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51C3B147" w:rsidR="005D7EAE" w:rsidRPr="00F552A1" w:rsidRDefault="00FA793F" w:rsidP="00CA18D2">
      <w:pPr>
        <w:tabs>
          <w:tab w:val="right" w:leader="underscore" w:pos="10080"/>
        </w:tabs>
        <w:jc w:val="center"/>
        <w:rPr>
          <w:rFonts w:asciiTheme="minorHAnsi" w:hAnsiTheme="minorHAnsi" w:cstheme="minorHAnsi"/>
          <w:b/>
          <w:sz w:val="32"/>
          <w:szCs w:val="32"/>
        </w:rPr>
      </w:pPr>
      <w:r w:rsidRPr="00F552A1">
        <w:rPr>
          <w:rFonts w:asciiTheme="minorHAnsi" w:hAnsiTheme="minorHAnsi" w:cstheme="minorHAnsi"/>
          <w:b/>
          <w:sz w:val="32"/>
          <w:szCs w:val="32"/>
        </w:rPr>
        <w:t>„</w:t>
      </w:r>
      <w:r w:rsidR="00F552A1" w:rsidRPr="00F552A1">
        <w:rPr>
          <w:rFonts w:asciiTheme="minorHAnsi" w:hAnsiTheme="minorHAnsi" w:cstheme="minorHAnsi"/>
          <w:b/>
          <w:sz w:val="32"/>
          <w:szCs w:val="32"/>
        </w:rPr>
        <w:t>Zariadenie pre seniorov</w:t>
      </w:r>
      <w:r w:rsidR="007D56C3" w:rsidRPr="00F552A1">
        <w:rPr>
          <w:rFonts w:asciiTheme="minorHAnsi" w:eastAsiaTheme="minorHAnsi" w:hAnsiTheme="minorHAnsi" w:cstheme="minorHAnsi"/>
          <w:b/>
          <w:sz w:val="32"/>
          <w:szCs w:val="32"/>
          <w:lang w:val="sk-SK" w:eastAsia="en-US"/>
        </w:rPr>
        <w:t xml:space="preserve"> – </w:t>
      </w:r>
      <w:r w:rsidR="00F552A1" w:rsidRPr="00F552A1">
        <w:rPr>
          <w:rFonts w:asciiTheme="minorHAnsi" w:eastAsiaTheme="minorHAnsi" w:hAnsiTheme="minorHAnsi" w:cstheme="minorHAnsi"/>
          <w:b/>
          <w:sz w:val="32"/>
          <w:szCs w:val="32"/>
          <w:lang w:val="sk-SK" w:eastAsia="en-US"/>
        </w:rPr>
        <w:t>mesto Svit</w:t>
      </w:r>
      <w:r w:rsidRPr="00F552A1">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6B1EE77E" w14:textId="3CE08EF4" w:rsidR="000226DC" w:rsidRPr="000226DC" w:rsidRDefault="000226DC" w:rsidP="000226DC">
      <w:pPr>
        <w:pStyle w:val="Nadpis1"/>
        <w:ind w:left="431" w:firstLine="420"/>
        <w:rPr>
          <w:rFonts w:asciiTheme="minorHAnsi" w:hAnsiTheme="minorHAnsi" w:cstheme="minorHAnsi"/>
          <w:b w:val="0"/>
          <w:bCs w:val="0"/>
          <w:sz w:val="22"/>
          <w:szCs w:val="22"/>
        </w:rPr>
      </w:pPr>
      <w:r w:rsidRPr="000226DC">
        <w:rPr>
          <w:rFonts w:asciiTheme="minorHAnsi" w:hAnsiTheme="minorHAnsi" w:cstheme="minorHAnsi"/>
          <w:sz w:val="22"/>
          <w:szCs w:val="22"/>
        </w:rPr>
        <w:t xml:space="preserve">Názov: </w:t>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b w:val="0"/>
          <w:bCs w:val="0"/>
          <w:sz w:val="22"/>
          <w:szCs w:val="22"/>
        </w:rPr>
        <w:t>Mesto Svit</w:t>
      </w:r>
    </w:p>
    <w:p w14:paraId="01E8D896" w14:textId="3F8F05A8" w:rsidR="000226DC" w:rsidRPr="000226DC" w:rsidRDefault="000226DC" w:rsidP="000226DC">
      <w:pPr>
        <w:adjustRightInd w:val="0"/>
        <w:ind w:left="851"/>
        <w:rPr>
          <w:rFonts w:asciiTheme="minorHAnsi" w:hAnsiTheme="minorHAnsi" w:cstheme="minorHAnsi"/>
          <w:color w:val="000000"/>
        </w:rPr>
      </w:pPr>
      <w:r w:rsidRPr="000226DC">
        <w:rPr>
          <w:rFonts w:asciiTheme="minorHAnsi" w:hAnsiTheme="minorHAnsi" w:cstheme="minorHAnsi"/>
          <w:b/>
          <w:bCs/>
        </w:rPr>
        <w:t>Sídlo:</w:t>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bookmarkStart w:id="0" w:name="_Hlk106028643"/>
      <w:r w:rsidRPr="000226DC">
        <w:rPr>
          <w:rFonts w:asciiTheme="minorHAnsi" w:hAnsiTheme="minorHAnsi" w:cstheme="minorHAnsi"/>
          <w:color w:val="000000"/>
        </w:rPr>
        <w:t xml:space="preserve">Hviezdoslavova 32, 059 21 Svit </w:t>
      </w:r>
    </w:p>
    <w:p w14:paraId="6CD8CB94" w14:textId="36B86B84"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IČO:</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00 326 607</w:t>
      </w:r>
    </w:p>
    <w:p w14:paraId="0B36E26F" w14:textId="7E65D28F"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DIČ:</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Cs/>
        </w:rPr>
        <w:t>2021212754</w:t>
      </w:r>
    </w:p>
    <w:p w14:paraId="022E2481" w14:textId="451BCEC7"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Zastúpený:</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Ing. Dáša Vojsovičová, primátorka</w:t>
      </w:r>
    </w:p>
    <w:bookmarkEnd w:id="0"/>
    <w:p w14:paraId="6AC5433E" w14:textId="27396FF8"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1894B64" w14:textId="77777777" w:rsidR="000226DC" w:rsidRPr="00632BB4" w:rsidRDefault="000226DC" w:rsidP="007D56C3">
      <w:pPr>
        <w:ind w:left="876"/>
        <w:jc w:val="both"/>
        <w:rPr>
          <w:rFonts w:asciiTheme="minorHAnsi" w:hAnsiTheme="minorHAnsi" w:cstheme="minorHAnsi"/>
        </w:rPr>
      </w:pP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560374C7" w:rsidR="005D7EAE" w:rsidRPr="00655538"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4A3FD6" w:rsidRPr="004A3FD6">
        <w:rPr>
          <w:rFonts w:asciiTheme="minorHAnsi" w:hAnsiTheme="minorHAnsi" w:cstheme="minorHAnsi"/>
          <w:bCs w:val="0"/>
          <w:sz w:val="22"/>
          <w:szCs w:val="22"/>
        </w:rPr>
        <w:t>Zariadenie pre seniorov</w:t>
      </w:r>
      <w:r w:rsidR="004A3FD6" w:rsidRPr="004A3FD6">
        <w:rPr>
          <w:rFonts w:asciiTheme="minorHAnsi" w:eastAsiaTheme="minorHAnsi" w:hAnsiTheme="minorHAnsi" w:cstheme="minorHAnsi"/>
          <w:bCs w:val="0"/>
          <w:sz w:val="22"/>
          <w:szCs w:val="22"/>
          <w:lang w:val="sk-SK" w:eastAsia="en-US"/>
        </w:rPr>
        <w:t xml:space="preserve"> – mesto Svit</w:t>
      </w:r>
      <w:r w:rsidRPr="00655538">
        <w:rPr>
          <w:rFonts w:asciiTheme="minorHAnsi" w:hAnsiTheme="minorHAnsi" w:cstheme="minorHAnsi"/>
          <w:i w:val="0"/>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324B7C">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13798A4C" w14:textId="1E9D761F" w:rsidR="00F552A1" w:rsidRPr="00F552A1" w:rsidRDefault="00FA793F" w:rsidP="00F552A1">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682ADB4C" w:rsidR="00655538" w:rsidRPr="00E743B9" w:rsidRDefault="00E743B9" w:rsidP="00655538">
      <w:pPr>
        <w:pStyle w:val="Odsekzoznamu"/>
        <w:spacing w:before="120"/>
        <w:ind w:left="873"/>
        <w:rPr>
          <w:rFonts w:asciiTheme="minorHAnsi" w:hAnsiTheme="minorHAnsi" w:cstheme="minorHAnsi"/>
          <w:b/>
          <w:bCs/>
          <w:i/>
        </w:rPr>
      </w:pPr>
      <w:r w:rsidRPr="00E743B9">
        <w:rPr>
          <w:rFonts w:asciiTheme="minorHAnsi" w:hAnsiTheme="minorHAnsi" w:cstheme="minorHAnsi"/>
          <w:b/>
        </w:rPr>
        <w:t>Svit, parcely č. 12/16 a 12/33, 12/32, 12/39 k. ú. Svit</w:t>
      </w:r>
      <w:r w:rsidR="00655538" w:rsidRPr="00E743B9">
        <w:rPr>
          <w:rFonts w:asciiTheme="minorHAnsi" w:eastAsiaTheme="minorHAnsi" w:hAnsiTheme="minorHAnsi" w:cstheme="minorHAnsi"/>
          <w:b/>
          <w:bCs/>
          <w:lang w:val="sk-SK" w:eastAsia="en-US"/>
        </w:rPr>
        <w:t>.</w:t>
      </w:r>
    </w:p>
    <w:p w14:paraId="7D77BB23" w14:textId="0ACDAAE3" w:rsidR="005D7EAE" w:rsidRPr="007D56C3"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E743B9">
        <w:rPr>
          <w:rFonts w:asciiTheme="minorHAnsi" w:hAnsiTheme="minorHAnsi" w:cstheme="minorHAnsi"/>
          <w:b/>
          <w:i/>
        </w:rPr>
        <w:t>20</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7029A3"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sz w:val="18"/>
          <w:szCs w:val="18"/>
          <w:lang w:val="sk-SK" w:eastAsia="en-US"/>
        </w:rPr>
      </w:pPr>
      <w:r w:rsidRPr="007029A3">
        <w:rPr>
          <w:rFonts w:asciiTheme="minorHAnsi" w:hAnsiTheme="minorHAnsi" w:cstheme="minorHAnsi"/>
        </w:rPr>
        <w:t>Predmet zákazky bude financovaný</w:t>
      </w:r>
      <w:r w:rsidR="007029A3" w:rsidRPr="007029A3">
        <w:rPr>
          <w:rFonts w:asciiTheme="minorHAnsi" w:hAnsiTheme="minorHAnsi" w:cstheme="minorHAnsi"/>
        </w:rPr>
        <w:t>:</w:t>
      </w:r>
    </w:p>
    <w:p w14:paraId="6C1DBEFF" w14:textId="2CE463AF" w:rsidR="007029A3" w:rsidRPr="007766B0" w:rsidRDefault="007029A3" w:rsidP="007766B0">
      <w:pPr>
        <w:pStyle w:val="Odsekzoznamu"/>
        <w:numPr>
          <w:ilvl w:val="0"/>
          <w:numId w:val="22"/>
        </w:numPr>
        <w:tabs>
          <w:tab w:val="left" w:pos="1134"/>
        </w:tabs>
        <w:adjustRightInd w:val="0"/>
        <w:jc w:val="both"/>
        <w:rPr>
          <w:rFonts w:asciiTheme="minorHAnsi" w:hAnsiTheme="minorHAnsi" w:cstheme="minorHAnsi"/>
        </w:rPr>
      </w:pPr>
      <w:r w:rsidRPr="007029A3">
        <w:rPr>
          <w:rFonts w:asciiTheme="minorHAnsi" w:hAnsiTheme="minorHAnsi" w:cstheme="minorHAnsi"/>
        </w:rPr>
        <w:t>z úveru zo Štátneho fondu rozvoja bývania</w:t>
      </w:r>
      <w:r w:rsidRPr="007766B0">
        <w:rPr>
          <w:rFonts w:asciiTheme="minorHAnsi" w:hAnsiTheme="minorHAnsi" w:cstheme="minorHAnsi"/>
        </w:rPr>
        <w:t xml:space="preserve"> (ďalej ako „poskytovate</w:t>
      </w:r>
      <w:r w:rsidR="007766B0">
        <w:rPr>
          <w:rFonts w:asciiTheme="minorHAnsi" w:hAnsiTheme="minorHAnsi" w:cstheme="minorHAnsi"/>
        </w:rPr>
        <w:t>ľa</w:t>
      </w:r>
      <w:r w:rsidRPr="007766B0">
        <w:rPr>
          <w:rFonts w:asciiTheme="minorHAnsi" w:hAnsiTheme="minorHAnsi" w:cstheme="minorHAnsi"/>
        </w:rPr>
        <w:t xml:space="preserve"> finančných prostriedkov“),</w:t>
      </w:r>
    </w:p>
    <w:p w14:paraId="4C351F51" w14:textId="7D5EEF53" w:rsidR="007029A3" w:rsidRPr="006E7804" w:rsidRDefault="007029A3" w:rsidP="00E60FC6">
      <w:pPr>
        <w:pStyle w:val="Odsekzoznamu"/>
        <w:numPr>
          <w:ilvl w:val="1"/>
          <w:numId w:val="5"/>
        </w:numPr>
        <w:tabs>
          <w:tab w:val="left" w:pos="876"/>
          <w:tab w:val="left" w:pos="877"/>
        </w:tabs>
        <w:spacing w:before="121"/>
        <w:ind w:right="153" w:hanging="576"/>
        <w:jc w:val="both"/>
        <w:rPr>
          <w:rFonts w:asciiTheme="minorHAnsi" w:hAnsiTheme="minorHAnsi" w:cstheme="minorHAnsi"/>
        </w:rPr>
      </w:pPr>
      <w:r w:rsidRPr="006E7804">
        <w:rPr>
          <w:rFonts w:asciiTheme="minorHAnsi" w:hAnsiTheme="minorHAnsi" w:cstheme="minorHAnsi"/>
        </w:rPr>
        <w:t>z vlastných zdrojov rozpočtu mesta S</w:t>
      </w:r>
      <w:r w:rsidR="00E743B9">
        <w:rPr>
          <w:rFonts w:asciiTheme="minorHAnsi" w:hAnsiTheme="minorHAnsi" w:cstheme="minorHAnsi"/>
        </w:rPr>
        <w:t>vit</w:t>
      </w:r>
      <w:r w:rsidRPr="006E7804">
        <w:rPr>
          <w:rFonts w:asciiTheme="minorHAnsi" w:hAnsiTheme="minorHAnsi" w:cstheme="minorHAnsi"/>
        </w:rPr>
        <w:t xml:space="preserve"> ako objednávateľa</w:t>
      </w:r>
      <w:r w:rsidR="00E743B9">
        <w:rPr>
          <w:rFonts w:asciiTheme="minorHAnsi" w:hAnsiTheme="minorHAnsi" w:cstheme="minorHAnsi"/>
        </w:rPr>
        <w:t>.</w:t>
      </w:r>
    </w:p>
    <w:p w14:paraId="00997161" w14:textId="7FF86AF1" w:rsidR="005D7EAE" w:rsidRPr="006E7804"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ED1BE3" w:rsidRPr="00ED1BE3">
        <w:rPr>
          <w:rFonts w:asciiTheme="minorHAnsi" w:eastAsiaTheme="minorHAnsi" w:hAnsiTheme="minorHAnsi" w:cstheme="minorHAnsi"/>
          <w:b/>
          <w:bCs/>
          <w:u w:val="single"/>
          <w:lang w:val="sk-SK" w:eastAsia="en-US"/>
        </w:rPr>
        <w:t>2 377 234,28</w:t>
      </w:r>
      <w:r w:rsidR="00ED1BE3" w:rsidRPr="0003405A">
        <w:rPr>
          <w:rFonts w:asciiTheme="minorHAnsi" w:hAnsiTheme="minorHAnsi" w:cstheme="minorHAnsi"/>
          <w:b/>
          <w:color w:val="000000"/>
          <w:highlight w:val="yellow"/>
          <w:u w:val="single"/>
          <w:lang w:eastAsia="sk-SK"/>
        </w:rPr>
        <w:t xml:space="preserve"> </w:t>
      </w:r>
      <w:r w:rsidR="00A0684E" w:rsidRPr="00ED1BE3">
        <w:rPr>
          <w:rFonts w:asciiTheme="minorHAnsi" w:hAnsiTheme="minorHAnsi" w:cstheme="minorHAnsi"/>
          <w:bCs/>
          <w:color w:val="000000"/>
          <w:u w:val="single"/>
          <w:lang w:eastAsia="sk-SK"/>
        </w:rPr>
        <w:t>€</w:t>
      </w:r>
      <w:r w:rsidR="00A0684E" w:rsidRPr="00ED1BE3">
        <w:rPr>
          <w:rFonts w:asciiTheme="minorHAnsi" w:hAnsiTheme="minorHAnsi" w:cstheme="minorHAnsi"/>
          <w:bCs/>
          <w:u w:val="single"/>
          <w:lang w:eastAsia="sk-SK"/>
        </w:rPr>
        <w:t xml:space="preserve">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7EB2F16C"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124C1D67" w14:textId="77777777" w:rsidR="005D7EAE" w:rsidRPr="00F574E4"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0F927C9E"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01</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7777777" w:rsidR="00A407B0" w:rsidRP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70C1F083" w14:textId="0D8FCC32" w:rsidR="00A407B0" w:rsidRPr="00F62B78"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ahoma" w:eastAsiaTheme="minorHAnsi" w:hAnsi="Tahoma" w:cs="Tahoma"/>
          <w:sz w:val="18"/>
          <w:szCs w:val="18"/>
          <w:lang w:eastAsia="en-US"/>
        </w:rPr>
        <w:tab/>
      </w:r>
      <w:hyperlink r:id="rId9" w:history="1">
        <w:r w:rsidR="00F62B78" w:rsidRPr="00F62B78">
          <w:rPr>
            <w:rStyle w:val="Hypertextovprepojenie"/>
            <w:rFonts w:asciiTheme="minorHAnsi" w:eastAsiaTheme="minorHAnsi" w:hAnsiTheme="minorHAnsi" w:cstheme="minorHAnsi"/>
            <w:sz w:val="22"/>
            <w:szCs w:val="22"/>
            <w:lang w:eastAsia="en-US"/>
          </w:rPr>
          <w:t>https://josephine.proebiz.com/sk/tender/25231/summary</w:t>
        </w:r>
      </w:hyperlink>
    </w:p>
    <w:p w14:paraId="12A37463" w14:textId="77777777" w:rsidR="00F62B78" w:rsidRPr="00F62B78" w:rsidRDefault="00F62B78"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4092483A"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4A3FD6" w:rsidRPr="004A3FD6">
        <w:rPr>
          <w:rFonts w:asciiTheme="minorHAnsi" w:hAnsiTheme="minorHAnsi" w:cstheme="minorHAnsi"/>
          <w:b/>
        </w:rPr>
        <w:t>Zariadenie pre seniorov</w:t>
      </w:r>
      <w:r w:rsidR="004A3FD6" w:rsidRPr="004A3FD6">
        <w:rPr>
          <w:rFonts w:asciiTheme="minorHAnsi" w:eastAsiaTheme="minorHAnsi" w:hAnsiTheme="minorHAnsi" w:cstheme="minorHAnsi"/>
          <w:b/>
          <w:lang w:val="sk-SK" w:eastAsia="en-US"/>
        </w:rPr>
        <w:t xml:space="preserve"> – mesto Svit</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1F5A2914"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2545F4" w:rsidRPr="00ED1BE3">
        <w:rPr>
          <w:rFonts w:asciiTheme="minorHAnsi" w:hAnsiTheme="minorHAnsi" w:cstheme="minorHAnsi"/>
          <w:i w:val="0"/>
          <w:sz w:val="22"/>
          <w:szCs w:val="22"/>
        </w:rPr>
        <w:t>60</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4C5014F4"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ED1BE3">
        <w:rPr>
          <w:rFonts w:asciiTheme="minorHAnsi" w:eastAsia="Calibri" w:hAnsiTheme="minorHAnsi" w:cstheme="minorHAnsi"/>
          <w:b/>
          <w:bCs/>
          <w:color w:val="000000"/>
        </w:rPr>
        <w:t>31.</w:t>
      </w:r>
      <w:r w:rsidR="00F64968" w:rsidRPr="00ED1BE3">
        <w:rPr>
          <w:rFonts w:asciiTheme="minorHAnsi" w:eastAsia="Calibri" w:hAnsiTheme="minorHAnsi" w:cstheme="minorHAnsi"/>
          <w:b/>
          <w:bCs/>
          <w:color w:val="000000"/>
        </w:rPr>
        <w:t>01</w:t>
      </w:r>
      <w:r w:rsidRPr="00ED1BE3">
        <w:rPr>
          <w:rFonts w:asciiTheme="minorHAnsi" w:eastAsia="Calibri" w:hAnsiTheme="minorHAnsi" w:cstheme="minorHAnsi"/>
          <w:b/>
          <w:bCs/>
          <w:color w:val="000000"/>
        </w:rPr>
        <w:t>.202</w:t>
      </w:r>
      <w:r w:rsidR="00F64968" w:rsidRPr="00ED1BE3">
        <w:rPr>
          <w:rFonts w:asciiTheme="minorHAnsi" w:eastAsia="Calibri" w:hAnsiTheme="minorHAnsi" w:cstheme="minorHAnsi"/>
          <w:b/>
          <w:bCs/>
          <w:color w:val="000000"/>
        </w:rPr>
        <w:t>3</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4AF8864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12.6 týchto súťažných podkladov resp. podľa bodu 12.7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60ACF233"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0" w:history="1">
        <w:r w:rsidR="00F62B78" w:rsidRPr="00B4688C">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0E2391B" w14:textId="77777777" w:rsidR="00F62B78" w:rsidRPr="00F62B78"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1" w:history="1">
        <w:r w:rsidR="00F62B78" w:rsidRPr="00F62B78">
          <w:rPr>
            <w:rStyle w:val="Hypertextovprepojenie"/>
            <w:rFonts w:asciiTheme="minorHAnsi" w:eastAsiaTheme="minorHAnsi" w:hAnsiTheme="minorHAnsi" w:cstheme="minorHAnsi"/>
            <w:sz w:val="22"/>
            <w:szCs w:val="22"/>
            <w:lang w:eastAsia="en-US"/>
          </w:rPr>
          <w:t>https://josephine.proebiz.com/sk/tender/25231/summary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002DEFE9"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Pr="00555786">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Svit</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2EBC969B"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Pr="00995E1D">
        <w:rPr>
          <w:rFonts w:asciiTheme="minorHAnsi" w:hAnsiTheme="minorHAnsi" w:cstheme="minorHAnsi"/>
          <w:b/>
          <w:bCs/>
          <w:i/>
          <w:iCs/>
        </w:rPr>
        <w:t>Zariadenie pre seniorov</w:t>
      </w:r>
      <w:r w:rsidRPr="00995E1D">
        <w:rPr>
          <w:rFonts w:asciiTheme="minorHAnsi" w:eastAsiaTheme="minorHAnsi" w:hAnsiTheme="minorHAnsi" w:cstheme="minorHAnsi"/>
          <w:b/>
          <w:bCs/>
          <w:i/>
          <w:iCs/>
          <w:lang w:val="sk-SK" w:eastAsia="en-US"/>
        </w:rPr>
        <w:t xml:space="preserve"> – mesto Svit</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7AD0E59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B1FB6B7"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0AB1807F"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25.5, 25.6 a 25.7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160BAACD"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58A42A93"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2D023AC5"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18DE2782" w14:textId="1D9E56DC" w:rsidR="00C80544" w:rsidRPr="0068230D" w:rsidRDefault="00C80544" w:rsidP="0068230D">
      <w:pPr>
        <w:pStyle w:val="Nadpis1"/>
        <w:ind w:left="284"/>
        <w:jc w:val="both"/>
        <w:rPr>
          <w:rFonts w:asciiTheme="minorHAnsi" w:hAnsiTheme="minorHAnsi" w:cstheme="minorHAnsi"/>
          <w:b w:val="0"/>
          <w:bCs w:val="0"/>
          <w:sz w:val="22"/>
          <w:szCs w:val="22"/>
        </w:rPr>
      </w:pP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513012EA" w14:textId="6B665DC6" w:rsidR="0068230D" w:rsidRPr="0068230D" w:rsidRDefault="0068230D" w:rsidP="0068230D">
      <w:pPr>
        <w:widowControl/>
        <w:adjustRightInd w:val="0"/>
        <w:ind w:firstLine="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Podľa § 33 ods. 1 písm. a) ZVO vyjadrením banky alebo pobočky zahraničnej banky.</w:t>
      </w:r>
    </w:p>
    <w:p w14:paraId="412E87F4" w14:textId="65A8C943"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2.1 Uchádzač predloží a preukáže vyjadrením každej banky alebo pobočky zahraničnej banky/bánk, v ktorej/ktorých má</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vedený účet, že:</w:t>
      </w:r>
    </w:p>
    <w:p w14:paraId="3AF1847C" w14:textId="3B4699E4"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začatia prevádzkovania činnosti/zriadenia účtu;</w:t>
      </w:r>
    </w:p>
    <w:p w14:paraId="6DE47A34" w14:textId="2ACF807F"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 bežný účet uchádzača nebol predmetom exekúcie za predchádzajúce obdobie 24 mesiacov ku dňu vystavenia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vyjadrenia každej banky alebo pobočky zahraničnej banky/bánk, resp. za obdobie, za ktoré sú údaje dostupné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závislosti od vzniku, alebo začatia prevádzkovania činnosti/zriadenia účtu;</w:t>
      </w:r>
    </w:p>
    <w:p w14:paraId="7130FDEC" w14:textId="7581430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pri splácaní úveru, uchádzač dodržuje splátkový kalendár.</w:t>
      </w:r>
    </w:p>
    <w:p w14:paraId="17EC828F" w14:textId="066EB82B"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Verejný obstarávateľ bude akceptovať len vyjadrenie banky alebo pobočky zahraničnej banky. Výpis z účtu sa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nepovažuje za vyjadrenie banky alebo pobočky zahraničnej banky a verejný obstarávateľ ho neuzná. Predložené</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vyjadrenie banky alebo pobočky zahraničnej banky, musí byť nie staršie ako tri mesiace ku dňu predloženia ponuky.</w:t>
      </w:r>
    </w:p>
    <w:p w14:paraId="698B3C7A" w14:textId="5D65E170"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2.2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banke/bankách alebo pobočky zahraničnej banke/bankách, od ktorých predložil vyjadrenie/</w:t>
      </w:r>
      <w:proofErr w:type="spellStart"/>
      <w:r w:rsidRPr="0068230D">
        <w:rPr>
          <w:rFonts w:asciiTheme="minorHAnsi" w:eastAsiaTheme="minorHAnsi" w:hAnsiTheme="minorHAnsi" w:cstheme="minorHAnsi"/>
          <w:lang w:val="sk-SK" w:eastAsia="en-US"/>
        </w:rPr>
        <w:t>ia</w:t>
      </w:r>
      <w:proofErr w:type="spellEnd"/>
      <w:r w:rsidRPr="0068230D">
        <w:rPr>
          <w:rFonts w:asciiTheme="minorHAnsi" w:eastAsiaTheme="minorHAnsi" w:hAnsiTheme="minorHAnsi" w:cstheme="minorHAnsi"/>
          <w:lang w:val="sk-SK" w:eastAsia="en-US"/>
        </w:rPr>
        <w:t xml:space="preserve"> požadované v bode 2.1.</w:t>
      </w:r>
    </w:p>
    <w:p w14:paraId="1D9BF3B5"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Predbežne nahradiť doklady na preukázanie splnenia podmienok účasti týkajúcich sa finančného a ekonomického</w:t>
      </w:r>
    </w:p>
    <w:p w14:paraId="02E12300"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postavenia, určených verejným obstarávateľom môže uchádzač aj spôsobom podľa § 39 ZVO a to Jednotným</w:t>
      </w:r>
    </w:p>
    <w:p w14:paraId="48CD968C" w14:textId="12086BFA" w:rsidR="00DC657B" w:rsidRPr="0068230D" w:rsidRDefault="0068230D" w:rsidP="0068230D">
      <w:pPr>
        <w:pStyle w:val="Zkladntext210"/>
        <w:ind w:left="284"/>
        <w:jc w:val="both"/>
        <w:rPr>
          <w:rFonts w:asciiTheme="minorHAnsi" w:hAnsiTheme="minorHAnsi" w:cstheme="minorHAnsi"/>
          <w:sz w:val="22"/>
          <w:szCs w:val="22"/>
        </w:rPr>
      </w:pPr>
      <w:r w:rsidRPr="0068230D">
        <w:rPr>
          <w:rFonts w:asciiTheme="minorHAnsi" w:eastAsiaTheme="minorHAnsi" w:hAnsiTheme="minorHAnsi" w:cstheme="minorHAnsi"/>
          <w:sz w:val="22"/>
          <w:szCs w:val="22"/>
          <w:lang w:eastAsia="en-US"/>
        </w:rPr>
        <w:t>európskym dokumentom alebo čestným vyhlásením.</w:t>
      </w:r>
    </w:p>
    <w:p w14:paraId="05C7F06A" w14:textId="625EB379" w:rsidR="00DC657B" w:rsidRPr="0068230D" w:rsidRDefault="00DC657B" w:rsidP="0068230D">
      <w:pPr>
        <w:pStyle w:val="Zkladntext210"/>
        <w:ind w:left="28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11CCEB43" w14:textId="136090A5" w:rsidR="0068230D" w:rsidRPr="00F763E6" w:rsidRDefault="0068230D" w:rsidP="00F763E6">
      <w:pPr>
        <w:pStyle w:val="Odsekzoznamu"/>
        <w:numPr>
          <w:ilvl w:val="2"/>
          <w:numId w:val="5"/>
        </w:numPr>
        <w:adjustRightInd w:val="0"/>
        <w:ind w:hanging="293"/>
        <w:jc w:val="both"/>
        <w:rPr>
          <w:rFonts w:asciiTheme="minorHAnsi" w:hAnsiTheme="minorHAnsi" w:cstheme="minorHAnsi"/>
        </w:rPr>
      </w:pPr>
      <w:r w:rsidRPr="00F763E6">
        <w:rPr>
          <w:rFonts w:asciiTheme="minorHAnsi" w:hAnsiTheme="minorHAnsi" w:cstheme="minorHAnsi"/>
        </w:rPr>
        <w:t xml:space="preserve">Podľa § 34 ods. 1 písm. b) ZVO: zoznamom stavebných prác uskutočnených za predchádzajúcich päť rokov od vyhlásenia verejného obstarávania s uvedením cien, miest a lehôt uskutočnenia stavebných prác; </w:t>
      </w:r>
      <w:r w:rsidR="00F763E6">
        <w:rPr>
          <w:rFonts w:asciiTheme="minorHAnsi" w:hAnsiTheme="minorHAnsi" w:cstheme="minorHAnsi"/>
        </w:rPr>
        <w:t xml:space="preserve"> z</w:t>
      </w:r>
      <w:r w:rsidRPr="00F763E6">
        <w:rPr>
          <w:rFonts w:asciiTheme="minorHAnsi" w:hAnsiTheme="minorHAnsi" w:cstheme="minorHAnsi"/>
        </w:rPr>
        <w:t xml:space="preserve">oznam musí byť doplnený potvrdením o uspokojivom vykonaní stavebných prác a zhodnotení uskutočnených stavebných prác podľa obchodných podmienok, ak odberateľom 1. bol verejný obstarávateľ alebo obstarávateľ podľa tohto zákona, dokladom je referencia; </w:t>
      </w:r>
      <w:r w:rsidRPr="00ED1BE3">
        <w:rPr>
          <w:rFonts w:asciiTheme="minorHAnsi" w:hAnsiTheme="minorHAnsi" w:cstheme="minorHAnsi"/>
        </w:rPr>
        <w:t>ak referencia nebola vyhotovená podľa § 12, dokladom môže byť aj vyhlásenie uchádzača alebo záujemcu o ich uskutočnení, doplnené dokladom, preukazujúcim ich uskutočnenie,</w:t>
      </w:r>
      <w:r w:rsidRPr="00F763E6">
        <w:rPr>
          <w:rFonts w:asciiTheme="minorHAnsi" w:hAnsiTheme="minorHAnsi" w:cstheme="minorHAnsi"/>
        </w:rPr>
        <w:t xml:space="preserv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D6A323E" w14:textId="2FCCEC96" w:rsidR="0068230D" w:rsidRPr="00F763E6" w:rsidRDefault="0068230D" w:rsidP="0068230D">
      <w:pPr>
        <w:pStyle w:val="Odsekzoznamu"/>
        <w:numPr>
          <w:ilvl w:val="2"/>
          <w:numId w:val="5"/>
        </w:numPr>
        <w:adjustRightInd w:val="0"/>
        <w:ind w:hanging="293"/>
        <w:rPr>
          <w:rFonts w:asciiTheme="minorHAnsi" w:hAnsiTheme="minorHAnsi" w:cstheme="minorHAnsi"/>
        </w:rPr>
      </w:pPr>
      <w:r w:rsidRPr="00F763E6">
        <w:rPr>
          <w:rFonts w:asciiTheme="minorHAnsi" w:hAnsiTheme="minorHAnsi" w:cstheme="minorHAnsi"/>
        </w:rPr>
        <w:t xml:space="preserve">Podľa § 34 ods. 1 písm. h) ZVO v nadväznosti na § 36 ZVO: </w:t>
      </w:r>
    </w:p>
    <w:p w14:paraId="6E166A9C" w14:textId="77777777" w:rsidR="0068230D" w:rsidRPr="00F763E6" w:rsidRDefault="0068230D" w:rsidP="00F763E6">
      <w:pPr>
        <w:adjustRightInd w:val="0"/>
        <w:ind w:left="860"/>
        <w:jc w:val="both"/>
        <w:rPr>
          <w:rFonts w:asciiTheme="minorHAnsi" w:hAnsiTheme="minorHAnsi" w:cstheme="minorHAnsi"/>
        </w:rPr>
      </w:pPr>
      <w:r w:rsidRPr="00F763E6">
        <w:rPr>
          <w:rFonts w:asciiTheme="minorHAnsi" w:hAnsiTheme="minorHAnsi" w:cstheme="minorHAnsi"/>
        </w:rPr>
        <w:t>uvedením opatrení environmentálneho manažérstva, ktoré uchádzač alebo záujemca použije pri plnení zmluvy, ktorej predmetom je uskutočnenie stavebných prác.</w:t>
      </w:r>
    </w:p>
    <w:p w14:paraId="596B5FA4" w14:textId="16D9A501" w:rsidR="00DC657B" w:rsidRPr="00DC657B" w:rsidRDefault="00DC657B" w:rsidP="0068230D">
      <w:pPr>
        <w:widowControl/>
        <w:autoSpaceDE/>
        <w:autoSpaceDN/>
        <w:jc w:val="both"/>
        <w:rPr>
          <w:rFonts w:asciiTheme="minorHAnsi" w:hAnsiTheme="minorHAnsi" w:cstheme="minorHAnsi"/>
          <w:color w:val="000000"/>
        </w:rPr>
      </w:pPr>
    </w:p>
    <w:p w14:paraId="0740F7C4" w14:textId="77777777" w:rsidR="00DC657B" w:rsidRPr="00DC657B" w:rsidRDefault="00DC657B" w:rsidP="00DC657B">
      <w:pPr>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52B94706"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K § 34 ods. 1 písm. b) ZVO:</w:t>
      </w:r>
    </w:p>
    <w:p w14:paraId="28E69729"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Uchádzač predloží Zoznam uskutočnených stavebných prác za predchádzajúcich päť rokov od vyhlásenia verejného</w:t>
      </w:r>
    </w:p>
    <w:p w14:paraId="26B39B8C" w14:textId="3085DCEA"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obstarávania, ktorým preukáže, že uskutočnil stavebné práce na predmete rovnakom alebo obdobnom ako je predmet</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zákazky, pričom preukáže, že celková hodnota stavebných prác na rovnakých alebo obdobných stavebných objektoch</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bola rovnaká alebo vyššia ako 2 000 000,- EUR bez DPH.</w:t>
      </w:r>
    </w:p>
    <w:p w14:paraId="53631A8E"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Ak je celková zmluvná cena uvedená v inej mene ako je EUR, je potrebné uviesť cenu v pôvodnej mene, cenu v EUR,</w:t>
      </w:r>
    </w:p>
    <w:p w14:paraId="659E61E1" w14:textId="6EA7F8FD"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jednotlivých rokov.</w:t>
      </w:r>
    </w:p>
    <w:p w14:paraId="77BBBEE7" w14:textId="77777777" w:rsidR="006F270A" w:rsidRDefault="006F270A" w:rsidP="006F270A">
      <w:pPr>
        <w:widowControl/>
        <w:adjustRightInd w:val="0"/>
        <w:ind w:left="284"/>
        <w:jc w:val="both"/>
        <w:rPr>
          <w:rFonts w:asciiTheme="minorHAnsi" w:eastAsiaTheme="minorHAnsi" w:hAnsiTheme="minorHAnsi" w:cstheme="minorHAnsi"/>
          <w:lang w:val="sk-SK" w:eastAsia="en-US"/>
        </w:rPr>
      </w:pPr>
    </w:p>
    <w:p w14:paraId="081DEF79" w14:textId="3D08052F"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K § 34 ods. 1 písm. h) zákona v nadväznosti na § 36 zákona:</w:t>
      </w:r>
    </w:p>
    <w:p w14:paraId="55EA9914" w14:textId="469FF152"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Certifikát EMAS, resp. registrácia v schéme EMAS, prípadne validované environmentálne vyhlásenie alebo iný</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rovnocenný dôkaz.</w:t>
      </w:r>
    </w:p>
    <w:p w14:paraId="189BCEBA" w14:textId="0BD4C0EB"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Uchádzač musí uviesť opatrenia environmentálneho manažérstva, ktoré použije pri plnení zmluvy, ktorá bude výsledkom</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verejného obstarávania, pričom tieto opatrenia musia zabezpečovať úroveň ochrany životného prostredia zodpovedajúcu</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úrovni, ktorú zabezpečuje schéma Európskej únie pre environmentálne manažérstvo a audit (Nariadenie Európskeho</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parlamentu a Rady (ES) č. 1221/2009 z 25. novembra 2009 o dobrovoľnej účasti organizácií v schéme Spoločenstva pre</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environmentálne manažérstvo a audit (EMAS), ktorým sa zrušuje nariadenie (ES) č. 761/2001 a rozhodnutia Komisie</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2001/681/ES a 2006/193/ES (Ú.v.EÚL342,22.12.2009) v platnom znení), resp. registrácia v tejto schéme, na ktorú</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schému týmto verejný obstarávateľ v súlade s ustanovením § 36 ZVO odkazuje.</w:t>
      </w:r>
    </w:p>
    <w:p w14:paraId="7D37646B" w14:textId="22ED7DC3" w:rsidR="00C80544"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Splnenie tejto podmienky účasti možno preukázať registráciou v schéme EMAS, prípadne validovaným</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environmentálnym vyhlásením alebo inými rovnocennými dôkazmi, dôkazmi preukazujúcimi rovnocennosť opatrení</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navrhovaných uchádzačom opatreniam požadovaným verejným obstarávateľom s tým, že pokiaľ ide o</w:t>
      </w:r>
      <w:r>
        <w:rPr>
          <w:rFonts w:asciiTheme="minorHAnsi" w:eastAsiaTheme="minorHAnsi" w:hAnsiTheme="minorHAnsi" w:cstheme="minorHAnsi"/>
          <w:lang w:val="sk-SK" w:eastAsia="en-US"/>
        </w:rPr>
        <w:t> </w:t>
      </w:r>
      <w:r w:rsidRPr="006F270A">
        <w:rPr>
          <w:rFonts w:asciiTheme="minorHAnsi" w:eastAsiaTheme="minorHAnsi" w:hAnsiTheme="minorHAnsi" w:cstheme="minorHAnsi"/>
          <w:lang w:val="sk-SK" w:eastAsia="en-US"/>
        </w:rPr>
        <w:t>preukázanie</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rovnocennosti opatrení navrhovaných uchádzačom opatreniam požadovaným verejným obstarávateľom dôkazné</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bremeno je na uchádzačovi. Túto podmienku účasti nebude spĺňať uchádzač, ktorý disponuje iba (výhradne)</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certifikátom podľa normy ISO 14001 a súčasne nepreukáže splnenie ostatných podmienok podľa predmetného</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nariadenia.</w:t>
      </w:r>
    </w:p>
    <w:p w14:paraId="0BFE559E" w14:textId="37275595" w:rsidR="006F270A" w:rsidRDefault="006F270A"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446EEA4E" w14:textId="6E1F78B1" w:rsidR="006F270A" w:rsidRDefault="006F270A" w:rsidP="006F270A">
      <w:pPr>
        <w:widowControl/>
        <w:adjustRightInd w:val="0"/>
        <w:ind w:left="284"/>
        <w:jc w:val="both"/>
        <w:rPr>
          <w:rFonts w:asciiTheme="minorHAnsi" w:eastAsiaTheme="minorHAnsi" w:hAnsiTheme="minorHAnsi" w:cstheme="minorHAnsi"/>
          <w:lang w:val="sk-SK" w:eastAsia="en-US"/>
        </w:rPr>
      </w:pPr>
    </w:p>
    <w:p w14:paraId="48660DA5" w14:textId="0E2649C9" w:rsidR="006F270A" w:rsidRDefault="006F270A" w:rsidP="006F270A">
      <w:pPr>
        <w:widowControl/>
        <w:adjustRightInd w:val="0"/>
        <w:ind w:left="284"/>
        <w:jc w:val="both"/>
        <w:rPr>
          <w:rFonts w:asciiTheme="minorHAnsi" w:eastAsiaTheme="minorHAnsi" w:hAnsiTheme="minorHAnsi" w:cstheme="minorHAnsi"/>
          <w:lang w:val="sk-SK" w:eastAsia="en-US"/>
        </w:rPr>
      </w:pPr>
    </w:p>
    <w:p w14:paraId="6DE96B80" w14:textId="2ECDF248" w:rsidR="006F270A" w:rsidRDefault="006F270A" w:rsidP="006F270A">
      <w:pPr>
        <w:widowControl/>
        <w:adjustRightInd w:val="0"/>
        <w:ind w:left="284"/>
        <w:jc w:val="both"/>
        <w:rPr>
          <w:rFonts w:asciiTheme="minorHAnsi" w:eastAsiaTheme="minorHAnsi" w:hAnsiTheme="minorHAnsi" w:cstheme="minorHAnsi"/>
          <w:lang w:val="sk-SK" w:eastAsia="en-US"/>
        </w:rPr>
      </w:pPr>
    </w:p>
    <w:p w14:paraId="2DD47379" w14:textId="4A5EAF17" w:rsidR="006F270A" w:rsidRDefault="006F270A" w:rsidP="006F270A">
      <w:pPr>
        <w:widowControl/>
        <w:adjustRightInd w:val="0"/>
        <w:ind w:left="284"/>
        <w:jc w:val="both"/>
        <w:rPr>
          <w:rFonts w:asciiTheme="minorHAnsi" w:eastAsiaTheme="minorHAnsi" w:hAnsiTheme="minorHAnsi" w:cstheme="minorHAnsi"/>
          <w:lang w:val="sk-SK" w:eastAsia="en-US"/>
        </w:rPr>
      </w:pPr>
    </w:p>
    <w:p w14:paraId="2D6FDFCC" w14:textId="37E951CD" w:rsidR="006F270A" w:rsidRDefault="006F270A" w:rsidP="006F270A">
      <w:pPr>
        <w:widowControl/>
        <w:adjustRightInd w:val="0"/>
        <w:ind w:left="284"/>
        <w:jc w:val="both"/>
        <w:rPr>
          <w:rFonts w:asciiTheme="minorHAnsi" w:eastAsiaTheme="minorHAnsi" w:hAnsiTheme="minorHAnsi" w:cstheme="minorHAnsi"/>
          <w:lang w:val="sk-SK" w:eastAsia="en-US"/>
        </w:rPr>
      </w:pPr>
    </w:p>
    <w:p w14:paraId="0CF40443" w14:textId="08542934" w:rsidR="006F270A" w:rsidRDefault="006F270A" w:rsidP="006F270A">
      <w:pPr>
        <w:widowControl/>
        <w:adjustRightInd w:val="0"/>
        <w:ind w:left="284"/>
        <w:jc w:val="both"/>
        <w:rPr>
          <w:rFonts w:asciiTheme="minorHAnsi" w:eastAsiaTheme="minorHAnsi" w:hAnsiTheme="minorHAnsi" w:cstheme="minorHAnsi"/>
          <w:lang w:val="sk-SK" w:eastAsia="en-US"/>
        </w:rPr>
      </w:pPr>
    </w:p>
    <w:p w14:paraId="1FBD5F79" w14:textId="3F04658C" w:rsidR="006F270A" w:rsidRDefault="006F270A" w:rsidP="006F270A">
      <w:pPr>
        <w:widowControl/>
        <w:adjustRightInd w:val="0"/>
        <w:ind w:left="284"/>
        <w:jc w:val="both"/>
        <w:rPr>
          <w:rFonts w:asciiTheme="minorHAnsi" w:eastAsiaTheme="minorHAnsi" w:hAnsiTheme="minorHAnsi" w:cstheme="minorHAnsi"/>
          <w:lang w:val="sk-SK" w:eastAsia="en-US"/>
        </w:rPr>
      </w:pPr>
    </w:p>
    <w:p w14:paraId="26B8755E" w14:textId="0D7B51E5" w:rsidR="006F270A" w:rsidRDefault="006F270A" w:rsidP="006F270A">
      <w:pPr>
        <w:widowControl/>
        <w:adjustRightInd w:val="0"/>
        <w:ind w:left="284"/>
        <w:jc w:val="both"/>
        <w:rPr>
          <w:rFonts w:asciiTheme="minorHAnsi" w:eastAsiaTheme="minorHAnsi" w:hAnsiTheme="minorHAnsi" w:cstheme="minorHAnsi"/>
          <w:lang w:val="sk-SK" w:eastAsia="en-US"/>
        </w:rPr>
      </w:pPr>
    </w:p>
    <w:p w14:paraId="4F018140" w14:textId="77777777" w:rsidR="006F270A" w:rsidRPr="006F270A" w:rsidRDefault="006F270A" w:rsidP="006F270A">
      <w:pPr>
        <w:widowControl/>
        <w:adjustRightInd w:val="0"/>
        <w:ind w:left="284"/>
        <w:jc w:val="both"/>
        <w:rPr>
          <w:rFonts w:asciiTheme="minorHAnsi" w:hAnsiTheme="minorHAnsi" w:cstheme="minorHAnsi"/>
          <w:b/>
          <w:bCs/>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ABF13BC" w14:textId="681B60FF" w:rsidR="00995BAE" w:rsidRPr="006F270A" w:rsidRDefault="006F270A" w:rsidP="006F270A">
      <w:pPr>
        <w:widowControl/>
        <w:adjustRightInd w:val="0"/>
        <w:ind w:left="284"/>
        <w:jc w:val="both"/>
        <w:rPr>
          <w:rFonts w:asciiTheme="minorHAnsi" w:hAnsiTheme="minorHAnsi" w:cstheme="minorHAnsi"/>
          <w:color w:val="140D13"/>
        </w:rPr>
      </w:pPr>
      <w:r w:rsidRPr="006F270A">
        <w:rPr>
          <w:rFonts w:asciiTheme="minorHAnsi" w:eastAsiaTheme="minorHAnsi" w:hAnsiTheme="minorHAnsi" w:cstheme="minorHAnsi"/>
          <w:lang w:val="sk-SK" w:eastAsia="en-US"/>
        </w:rPr>
        <w:t>Predmetom projektu je návrh výstavby nového objektu Zariadenia pre seniorov vo Svite. Cieľom riešenia je vytvorenie</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nového samostatného objektu budúceho centra sociálnych služieb mesta Svit, formou domova dôchodcov s</w:t>
      </w:r>
      <w:r>
        <w:rPr>
          <w:rFonts w:asciiTheme="minorHAnsi" w:eastAsiaTheme="minorHAnsi" w:hAnsiTheme="minorHAnsi" w:cstheme="minorHAnsi"/>
          <w:lang w:val="sk-SK" w:eastAsia="en-US"/>
        </w:rPr>
        <w:t> </w:t>
      </w:r>
      <w:r w:rsidRPr="006F270A">
        <w:rPr>
          <w:rFonts w:asciiTheme="minorHAnsi" w:eastAsiaTheme="minorHAnsi" w:hAnsiTheme="minorHAnsi" w:cstheme="minorHAnsi"/>
          <w:lang w:val="sk-SK" w:eastAsia="en-US"/>
        </w:rPr>
        <w:t>komplexnou</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starostlivosťou - s opatrovateľskou službou, stravovaním, poskytovaním základnej zdravotnej starostlivosti 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spoločensko-kultúrnymi aktivitami. Potreba vybudovania nového zariadenia sa vykryštalizovala, z fungovania a</w:t>
      </w:r>
      <w:r>
        <w:rPr>
          <w:rFonts w:asciiTheme="minorHAnsi" w:eastAsiaTheme="minorHAnsi" w:hAnsiTheme="minorHAnsi" w:cstheme="minorHAnsi"/>
          <w:lang w:val="sk-SK" w:eastAsia="en-US"/>
        </w:rPr>
        <w:t> </w:t>
      </w:r>
      <w:r w:rsidRPr="006F270A">
        <w:rPr>
          <w:rFonts w:asciiTheme="minorHAnsi" w:eastAsiaTheme="minorHAnsi" w:hAnsiTheme="minorHAnsi" w:cstheme="minorHAnsi"/>
          <w:lang w:val="sk-SK" w:eastAsia="en-US"/>
        </w:rPr>
        <w:t>náplne</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existujúcich zariadení a deficitu obdobných zariadení v meste a blízkom okolí.</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Podrobná špecifikácia je uvedená v PD a vo výkaze výmer, ktorý je súčasťou súťažných podkladov.</w:t>
      </w:r>
    </w:p>
    <w:p w14:paraId="2F64DE74" w14:textId="77777777" w:rsidR="00995BAE" w:rsidRPr="006F270A" w:rsidRDefault="00995BAE" w:rsidP="006F270A">
      <w:pPr>
        <w:pStyle w:val="Nadpis1"/>
        <w:spacing w:before="72"/>
        <w:ind w:left="284"/>
        <w:rPr>
          <w:rFonts w:asciiTheme="minorHAnsi" w:hAnsiTheme="minorHAnsi" w:cstheme="minorHAnsi"/>
          <w:color w:val="808080"/>
          <w:sz w:val="22"/>
          <w:szCs w:val="22"/>
        </w:rPr>
      </w:pPr>
    </w:p>
    <w:p w14:paraId="4BB6C2BC" w14:textId="7D64FAE3" w:rsidR="00995BAE" w:rsidRDefault="00995BAE">
      <w:pPr>
        <w:pStyle w:val="Nadpis1"/>
        <w:spacing w:before="72"/>
        <w:ind w:left="5566"/>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24D3F60E" w:rsidR="002E7483" w:rsidRPr="000A59B3" w:rsidRDefault="002E7483" w:rsidP="000A59B3">
            <w:pPr>
              <w:spacing w:before="60" w:after="60"/>
              <w:ind w:left="-250"/>
              <w:jc w:val="right"/>
              <w:rPr>
                <w:rFonts w:cs="Arial"/>
                <w:b/>
                <w:bCs/>
                <w:sz w:val="20"/>
                <w:szCs w:val="20"/>
              </w:rPr>
            </w:pPr>
            <w:r w:rsidRPr="000A59B3">
              <w:rPr>
                <w:rFonts w:eastAsiaTheme="minorHAnsi" w:cs="Tahoma"/>
                <w:b/>
                <w:bCs/>
                <w:sz w:val="20"/>
                <w:szCs w:val="20"/>
                <w:lang w:val="sk-SK" w:eastAsia="en-US"/>
              </w:rPr>
              <w:t>„</w:t>
            </w:r>
            <w:r w:rsidR="000A59B3" w:rsidRPr="000A59B3">
              <w:rPr>
                <w:rFonts w:eastAsiaTheme="minorHAnsi" w:cs="Tahoma"/>
                <w:b/>
                <w:bCs/>
                <w:sz w:val="20"/>
                <w:szCs w:val="20"/>
                <w:lang w:val="sk-SK" w:eastAsia="en-US"/>
              </w:rPr>
              <w:t>Zariadenie pre seniorov – mesto Svit</w:t>
            </w:r>
            <w:r w:rsidRPr="000A59B3">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00BA94DE"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B07F98">
        <w:rPr>
          <w:rFonts w:cstheme="minorHAnsi"/>
          <w:b/>
          <w:bCs/>
          <w:i/>
          <w:iCs/>
          <w:sz w:val="20"/>
          <w:szCs w:val="20"/>
        </w:rPr>
        <w:t>„</w:t>
      </w:r>
      <w:r w:rsidR="000A59B3" w:rsidRPr="000A59B3">
        <w:rPr>
          <w:rFonts w:eastAsiaTheme="minorHAnsi" w:cs="Tahoma"/>
          <w:b/>
          <w:bCs/>
          <w:i/>
          <w:iCs/>
          <w:sz w:val="20"/>
          <w:szCs w:val="20"/>
          <w:lang w:val="sk-SK" w:eastAsia="en-US"/>
        </w:rPr>
        <w:t>Zariadenie pre seniorov – mesto Svit</w:t>
      </w:r>
      <w:r w:rsidR="004A4B00" w:rsidRPr="00B07F98">
        <w:rPr>
          <w:rFonts w:eastAsiaTheme="minorHAnsi" w:cstheme="minorHAnsi"/>
          <w:b/>
          <w:bCs/>
          <w:i/>
          <w:iCs/>
          <w:sz w:val="20"/>
          <w:szCs w:val="20"/>
          <w:lang w:val="sk-SK" w:eastAsia="en-US"/>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bookmarkStart w:id="6" w:name="_Hlk106026192"/>
      <w:r w:rsidR="000A59B3">
        <w:rPr>
          <w:rFonts w:cstheme="minorHAnsi"/>
          <w:b/>
          <w:bCs/>
          <w:i/>
          <w:iCs/>
          <w:sz w:val="20"/>
          <w:szCs w:val="20"/>
        </w:rPr>
        <w:t>135</w:t>
      </w:r>
      <w:r w:rsidR="00877D45" w:rsidRPr="00877D45">
        <w:rPr>
          <w:rFonts w:cstheme="minorHAnsi"/>
          <w:b/>
          <w:bCs/>
          <w:i/>
          <w:iCs/>
          <w:sz w:val="20"/>
          <w:szCs w:val="20"/>
        </w:rPr>
        <w:t xml:space="preserve">/2022 - </w:t>
      </w:r>
      <w:r w:rsidR="000A59B3">
        <w:rPr>
          <w:rFonts w:cstheme="minorHAnsi"/>
          <w:b/>
          <w:bCs/>
          <w:i/>
          <w:iCs/>
          <w:sz w:val="20"/>
          <w:szCs w:val="20"/>
        </w:rPr>
        <w:t>13</w:t>
      </w:r>
      <w:r w:rsidR="00877D45" w:rsidRPr="00877D45">
        <w:rPr>
          <w:rFonts w:cstheme="minorHAnsi"/>
          <w:b/>
          <w:bCs/>
          <w:i/>
          <w:iCs/>
          <w:sz w:val="20"/>
          <w:szCs w:val="20"/>
        </w:rPr>
        <w:t>.0</w:t>
      </w:r>
      <w:r w:rsidR="000A59B3">
        <w:rPr>
          <w:rFonts w:cstheme="minorHAnsi"/>
          <w:b/>
          <w:bCs/>
          <w:i/>
          <w:iCs/>
          <w:sz w:val="20"/>
          <w:szCs w:val="20"/>
        </w:rPr>
        <w:t>6</w:t>
      </w:r>
      <w:r w:rsidR="00877D45" w:rsidRPr="00877D45">
        <w:rPr>
          <w:rFonts w:cstheme="minorHAnsi"/>
          <w:b/>
          <w:bCs/>
          <w:i/>
          <w:iCs/>
          <w:sz w:val="20"/>
          <w:szCs w:val="20"/>
        </w:rPr>
        <w:t>.2022</w:t>
      </w:r>
      <w:r w:rsidR="00877D45" w:rsidRPr="00877D45">
        <w:rPr>
          <w:rFonts w:cstheme="minorHAnsi"/>
          <w:b/>
          <w:bCs/>
          <w:i/>
          <w:iCs/>
          <w:color w:val="000000" w:themeColor="text1"/>
          <w:sz w:val="20"/>
          <w:szCs w:val="20"/>
        </w:rPr>
        <w:t xml:space="preserve">, zn. </w:t>
      </w:r>
      <w:r w:rsidR="000A59B3">
        <w:rPr>
          <w:rFonts w:cstheme="minorHAnsi"/>
          <w:b/>
          <w:bCs/>
          <w:i/>
          <w:iCs/>
          <w:sz w:val="20"/>
          <w:szCs w:val="20"/>
        </w:rPr>
        <w:t>29212</w:t>
      </w:r>
      <w:r w:rsidR="00877D45" w:rsidRPr="00877D45">
        <w:rPr>
          <w:rFonts w:cstheme="minorHAnsi"/>
          <w:b/>
          <w:bCs/>
          <w:i/>
          <w:iCs/>
          <w:sz w:val="20"/>
          <w:szCs w:val="20"/>
        </w:rPr>
        <w:t xml:space="preserve"> - WYP</w:t>
      </w:r>
      <w:r w:rsidR="00005252" w:rsidRPr="00005252">
        <w:rPr>
          <w:rFonts w:cs="Arial"/>
          <w:i/>
          <w:iCs/>
          <w:sz w:val="20"/>
          <w:szCs w:val="20"/>
        </w:rPr>
        <w:t xml:space="preserve"> </w:t>
      </w:r>
      <w:bookmarkEnd w:id="6"/>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2AE996A6"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2E6183" w:rsidRPr="00B07F98">
        <w:rPr>
          <w:rFonts w:cstheme="minorHAnsi"/>
          <w:b/>
          <w:bCs/>
          <w:i/>
          <w:iCs/>
          <w:sz w:val="20"/>
          <w:szCs w:val="20"/>
        </w:rPr>
        <w:t>„</w:t>
      </w:r>
      <w:r w:rsidR="000A59B3" w:rsidRPr="000A59B3">
        <w:rPr>
          <w:rFonts w:eastAsiaTheme="minorHAnsi" w:cs="Tahoma"/>
          <w:b/>
          <w:bCs/>
          <w:i/>
          <w:iCs/>
          <w:sz w:val="20"/>
          <w:szCs w:val="20"/>
          <w:lang w:val="sk-SK" w:eastAsia="en-US"/>
        </w:rPr>
        <w:t>Zariadenie pre seniorov – mesto Svit</w:t>
      </w:r>
      <w:r w:rsidR="000A59B3" w:rsidRPr="00B07F98">
        <w:rPr>
          <w:rFonts w:eastAsiaTheme="minorHAnsi" w:cstheme="minorHAnsi"/>
          <w:b/>
          <w:bCs/>
          <w:i/>
          <w:iCs/>
          <w:sz w:val="20"/>
          <w:szCs w:val="20"/>
          <w:lang w:val="sk-SK" w:eastAsia="en-US"/>
        </w:rPr>
        <w:t>“</w:t>
      </w:r>
      <w:r w:rsidR="000A59B3" w:rsidRPr="00B07F98">
        <w:rPr>
          <w:rFonts w:cstheme="minorHAnsi"/>
          <w:b/>
          <w:bCs/>
          <w:i/>
          <w:iCs/>
          <w:sz w:val="20"/>
          <w:szCs w:val="20"/>
        </w:rPr>
        <w:t xml:space="preserve">, vyhlásenej vo Vestníku č. </w:t>
      </w:r>
      <w:r w:rsidR="000A59B3">
        <w:rPr>
          <w:rFonts w:cstheme="minorHAnsi"/>
          <w:b/>
          <w:bCs/>
          <w:i/>
          <w:iCs/>
          <w:sz w:val="20"/>
          <w:szCs w:val="20"/>
        </w:rPr>
        <w:t>135</w:t>
      </w:r>
      <w:r w:rsidR="000A59B3" w:rsidRPr="00877D45">
        <w:rPr>
          <w:rFonts w:cstheme="minorHAnsi"/>
          <w:b/>
          <w:bCs/>
          <w:i/>
          <w:iCs/>
          <w:sz w:val="20"/>
          <w:szCs w:val="20"/>
        </w:rPr>
        <w:t xml:space="preserve">/2022 - </w:t>
      </w:r>
      <w:r w:rsidR="000A59B3">
        <w:rPr>
          <w:rFonts w:cstheme="minorHAnsi"/>
          <w:b/>
          <w:bCs/>
          <w:i/>
          <w:iCs/>
          <w:sz w:val="20"/>
          <w:szCs w:val="20"/>
        </w:rPr>
        <w:t>13</w:t>
      </w:r>
      <w:r w:rsidR="000A59B3" w:rsidRPr="00877D45">
        <w:rPr>
          <w:rFonts w:cstheme="minorHAnsi"/>
          <w:b/>
          <w:bCs/>
          <w:i/>
          <w:iCs/>
          <w:sz w:val="20"/>
          <w:szCs w:val="20"/>
        </w:rPr>
        <w:t>.0</w:t>
      </w:r>
      <w:r w:rsidR="000A59B3">
        <w:rPr>
          <w:rFonts w:cstheme="minorHAnsi"/>
          <w:b/>
          <w:bCs/>
          <w:i/>
          <w:iCs/>
          <w:sz w:val="20"/>
          <w:szCs w:val="20"/>
        </w:rPr>
        <w:t>6</w:t>
      </w:r>
      <w:r w:rsidR="000A59B3" w:rsidRPr="00877D45">
        <w:rPr>
          <w:rFonts w:cstheme="minorHAnsi"/>
          <w:b/>
          <w:bCs/>
          <w:i/>
          <w:iCs/>
          <w:sz w:val="20"/>
          <w:szCs w:val="20"/>
        </w:rPr>
        <w:t>.2022</w:t>
      </w:r>
      <w:r w:rsidR="000A59B3" w:rsidRPr="00877D45">
        <w:rPr>
          <w:rFonts w:cstheme="minorHAnsi"/>
          <w:b/>
          <w:bCs/>
          <w:i/>
          <w:iCs/>
          <w:color w:val="000000" w:themeColor="text1"/>
          <w:sz w:val="20"/>
          <w:szCs w:val="20"/>
        </w:rPr>
        <w:t xml:space="preserve">, zn. </w:t>
      </w:r>
      <w:r w:rsidR="000A59B3">
        <w:rPr>
          <w:rFonts w:cstheme="minorHAnsi"/>
          <w:b/>
          <w:bCs/>
          <w:i/>
          <w:iCs/>
          <w:sz w:val="20"/>
          <w:szCs w:val="20"/>
        </w:rPr>
        <w:t>29212</w:t>
      </w:r>
      <w:r w:rsidR="000A59B3" w:rsidRPr="00877D45">
        <w:rPr>
          <w:rFonts w:cstheme="minorHAnsi"/>
          <w:b/>
          <w:bCs/>
          <w:i/>
          <w:iCs/>
          <w:sz w:val="20"/>
          <w:szCs w:val="20"/>
        </w:rPr>
        <w:t xml:space="preserve"> - WYP</w:t>
      </w:r>
      <w:r w:rsidR="000A59B3" w:rsidRPr="00005252">
        <w:rPr>
          <w:rFonts w:cs="Arial"/>
          <w:i/>
          <w:iCs/>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0F2C9104"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0A59B3" w:rsidRPr="000A59B3">
        <w:rPr>
          <w:rFonts w:asciiTheme="minorHAnsi" w:hAnsiTheme="minorHAnsi" w:cstheme="minorHAnsi"/>
        </w:rPr>
        <w:t>„</w:t>
      </w:r>
      <w:r w:rsidR="000A59B3" w:rsidRPr="000A59B3">
        <w:rPr>
          <w:rFonts w:asciiTheme="minorHAnsi" w:eastAsiaTheme="minorHAnsi" w:hAnsiTheme="minorHAnsi" w:cstheme="minorHAnsi"/>
          <w:b/>
          <w:bCs/>
          <w:i/>
          <w:iCs/>
          <w:lang w:val="sk-SK" w:eastAsia="en-US"/>
        </w:rPr>
        <w:t>Zariadenie pre seniorov – mesto Svit“</w:t>
      </w:r>
      <w:r w:rsidR="000A59B3" w:rsidRPr="000A59B3">
        <w:rPr>
          <w:rFonts w:asciiTheme="minorHAnsi" w:hAnsiTheme="minorHAnsi" w:cstheme="minorHAnsi"/>
          <w:b/>
          <w:bCs/>
          <w:i/>
          <w:iCs/>
        </w:rPr>
        <w:t>, vyhlásenej vo Vestníku č. 135/2022 - 13.06.2022</w:t>
      </w:r>
      <w:r w:rsidR="000A59B3" w:rsidRPr="000A59B3">
        <w:rPr>
          <w:rFonts w:asciiTheme="minorHAnsi" w:hAnsiTheme="minorHAnsi" w:cstheme="minorHAnsi"/>
          <w:b/>
          <w:bCs/>
          <w:i/>
          <w:iCs/>
          <w:color w:val="000000" w:themeColor="text1"/>
        </w:rPr>
        <w:t xml:space="preserve">, zn. </w:t>
      </w:r>
      <w:r w:rsidR="000A59B3" w:rsidRPr="000A59B3">
        <w:rPr>
          <w:rFonts w:asciiTheme="minorHAnsi" w:hAnsiTheme="minorHAnsi" w:cstheme="minorHAnsi"/>
          <w:b/>
          <w:bCs/>
          <w:i/>
          <w:iCs/>
        </w:rPr>
        <w:t>29212 -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12985157" w14:textId="0930E949" w:rsidR="00F62B78" w:rsidRPr="00F62B78" w:rsidRDefault="00C34405"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2" w:history="1">
        <w:r w:rsidR="00F62B78" w:rsidRPr="00B4688C">
          <w:rPr>
            <w:rStyle w:val="Hypertextovprepojenie"/>
            <w:rFonts w:asciiTheme="minorHAnsi" w:eastAsiaTheme="minorHAnsi" w:hAnsiTheme="minorHAnsi" w:cstheme="minorHAnsi"/>
            <w:sz w:val="22"/>
            <w:szCs w:val="22"/>
            <w:lang w:eastAsia="en-US"/>
          </w:rPr>
          <w:t>https://josephine.proebiz.com/sk/tender/25231/summary</w:t>
        </w:r>
      </w:hyperlink>
    </w:p>
    <w:p w14:paraId="095AC079" w14:textId="77777777" w:rsidR="00470BB2" w:rsidRPr="00D9270E"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34E9F0F7" w14:textId="382963FA" w:rsidR="00F62B78" w:rsidRPr="00F62B78" w:rsidRDefault="00C34405"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3" w:history="1">
        <w:r w:rsidR="00F62B78" w:rsidRPr="00B4688C">
          <w:rPr>
            <w:rStyle w:val="Hypertextovprepojenie"/>
            <w:rFonts w:asciiTheme="minorHAnsi" w:eastAsiaTheme="minorHAnsi" w:hAnsiTheme="minorHAnsi" w:cstheme="minorHAnsi"/>
            <w:sz w:val="22"/>
            <w:szCs w:val="22"/>
            <w:lang w:eastAsia="en-US"/>
          </w:rPr>
          <w:t>https://josephine.proebiz.com/sk/tender/25231/summary</w:t>
        </w:r>
      </w:hyperlink>
    </w:p>
    <w:p w14:paraId="3FFD6047" w14:textId="77777777" w:rsidR="00D9270E" w:rsidRPr="00D9270E" w:rsidRDefault="00D9270E"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C34405" w:rsidP="00FB613B">
      <w:pPr>
        <w:pStyle w:val="Zkladntext"/>
        <w:spacing w:before="120" w:after="120"/>
        <w:rPr>
          <w:rFonts w:asciiTheme="minorHAnsi" w:hAnsiTheme="minorHAnsi" w:cstheme="minorHAnsi"/>
          <w:i/>
          <w:iCs/>
          <w:color w:val="0000FF"/>
          <w:sz w:val="22"/>
          <w:szCs w:val="22"/>
        </w:rPr>
      </w:pPr>
      <w:hyperlink r:id="rId14"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402E" w14:textId="77777777" w:rsidR="00C34405" w:rsidRDefault="00C34405">
      <w:r>
        <w:separator/>
      </w:r>
    </w:p>
  </w:endnote>
  <w:endnote w:type="continuationSeparator" w:id="0">
    <w:p w14:paraId="7E954955" w14:textId="77777777" w:rsidR="00C34405" w:rsidRDefault="00C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B3D2" w14:textId="77777777" w:rsidR="00C34405" w:rsidRDefault="00C34405">
      <w:r>
        <w:separator/>
      </w:r>
    </w:p>
  </w:footnote>
  <w:footnote w:type="continuationSeparator" w:id="0">
    <w:p w14:paraId="3351992E" w14:textId="77777777" w:rsidR="00C34405" w:rsidRDefault="00C34405">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1"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4"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5"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1"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2"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3"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6"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7"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9"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0"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2"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5"/>
  </w:num>
  <w:num w:numId="2">
    <w:abstractNumId w:val="22"/>
  </w:num>
  <w:num w:numId="3">
    <w:abstractNumId w:val="34"/>
  </w:num>
  <w:num w:numId="4">
    <w:abstractNumId w:val="4"/>
  </w:num>
  <w:num w:numId="5">
    <w:abstractNumId w:val="6"/>
  </w:num>
  <w:num w:numId="6">
    <w:abstractNumId w:val="20"/>
  </w:num>
  <w:num w:numId="7">
    <w:abstractNumId w:val="14"/>
  </w:num>
  <w:num w:numId="8">
    <w:abstractNumId w:val="29"/>
  </w:num>
  <w:num w:numId="9">
    <w:abstractNumId w:val="12"/>
  </w:num>
  <w:num w:numId="10">
    <w:abstractNumId w:val="23"/>
  </w:num>
  <w:num w:numId="11">
    <w:abstractNumId w:val="24"/>
  </w:num>
  <w:num w:numId="12">
    <w:abstractNumId w:val="24"/>
  </w:num>
  <w:num w:numId="13">
    <w:abstractNumId w:val="21"/>
  </w:num>
  <w:num w:numId="14">
    <w:abstractNumId w:val="27"/>
  </w:num>
  <w:num w:numId="15">
    <w:abstractNumId w:val="7"/>
  </w:num>
  <w:num w:numId="16">
    <w:abstractNumId w:val="9"/>
  </w:num>
  <w:num w:numId="17">
    <w:abstractNumId w:val="15"/>
  </w:num>
  <w:num w:numId="18">
    <w:abstractNumId w:val="19"/>
  </w:num>
  <w:num w:numId="19">
    <w:abstractNumId w:val="2"/>
  </w:num>
  <w:num w:numId="20">
    <w:abstractNumId w:val="5"/>
  </w:num>
  <w:num w:numId="21">
    <w:abstractNumId w:val="17"/>
  </w:num>
  <w:num w:numId="22">
    <w:abstractNumId w:val="2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0"/>
  </w:num>
  <w:num w:numId="26">
    <w:abstractNumId w:val="3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num>
  <w:num w:numId="32">
    <w:abstractNumId w:val="32"/>
  </w:num>
  <w:num w:numId="33">
    <w:abstractNumId w:val="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6"/>
  </w:num>
  <w:num w:numId="37">
    <w:abstractNumId w:val="8"/>
  </w:num>
  <w:num w:numId="3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33485"/>
    <w:rsid w:val="0003405A"/>
    <w:rsid w:val="00054BC5"/>
    <w:rsid w:val="00061AB6"/>
    <w:rsid w:val="00071AF0"/>
    <w:rsid w:val="00077A67"/>
    <w:rsid w:val="000A59B3"/>
    <w:rsid w:val="000A7071"/>
    <w:rsid w:val="000C4593"/>
    <w:rsid w:val="00142168"/>
    <w:rsid w:val="00143F76"/>
    <w:rsid w:val="00156645"/>
    <w:rsid w:val="001624F2"/>
    <w:rsid w:val="00166679"/>
    <w:rsid w:val="00182EE3"/>
    <w:rsid w:val="001A3A45"/>
    <w:rsid w:val="001D478C"/>
    <w:rsid w:val="001D485E"/>
    <w:rsid w:val="001F7C05"/>
    <w:rsid w:val="00220D18"/>
    <w:rsid w:val="00250866"/>
    <w:rsid w:val="002545F4"/>
    <w:rsid w:val="00291382"/>
    <w:rsid w:val="002C522B"/>
    <w:rsid w:val="002C6BAC"/>
    <w:rsid w:val="002E15F9"/>
    <w:rsid w:val="002E6183"/>
    <w:rsid w:val="002E7483"/>
    <w:rsid w:val="002F218C"/>
    <w:rsid w:val="00303429"/>
    <w:rsid w:val="003048ED"/>
    <w:rsid w:val="0031065E"/>
    <w:rsid w:val="003156A1"/>
    <w:rsid w:val="00324B7C"/>
    <w:rsid w:val="00331668"/>
    <w:rsid w:val="00346780"/>
    <w:rsid w:val="003602D5"/>
    <w:rsid w:val="00387994"/>
    <w:rsid w:val="00393100"/>
    <w:rsid w:val="00394BA9"/>
    <w:rsid w:val="00395C62"/>
    <w:rsid w:val="003A0854"/>
    <w:rsid w:val="003A700A"/>
    <w:rsid w:val="003D75FA"/>
    <w:rsid w:val="003E27C3"/>
    <w:rsid w:val="0040071E"/>
    <w:rsid w:val="00402C3C"/>
    <w:rsid w:val="00417B57"/>
    <w:rsid w:val="004449F1"/>
    <w:rsid w:val="00445738"/>
    <w:rsid w:val="00451FFD"/>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F2C04"/>
    <w:rsid w:val="004F4F39"/>
    <w:rsid w:val="00545661"/>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D1615"/>
    <w:rsid w:val="006E7804"/>
    <w:rsid w:val="006F270A"/>
    <w:rsid w:val="007029A3"/>
    <w:rsid w:val="00717AA2"/>
    <w:rsid w:val="00733E10"/>
    <w:rsid w:val="00752EC0"/>
    <w:rsid w:val="00755BE6"/>
    <w:rsid w:val="00756E1B"/>
    <w:rsid w:val="00757D6C"/>
    <w:rsid w:val="007766B0"/>
    <w:rsid w:val="00785773"/>
    <w:rsid w:val="007953D9"/>
    <w:rsid w:val="007A5B6F"/>
    <w:rsid w:val="007C07E2"/>
    <w:rsid w:val="007D56C3"/>
    <w:rsid w:val="007E606A"/>
    <w:rsid w:val="0080418C"/>
    <w:rsid w:val="0081515A"/>
    <w:rsid w:val="00816191"/>
    <w:rsid w:val="00823416"/>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95BAE"/>
    <w:rsid w:val="00995E1D"/>
    <w:rsid w:val="00996AA5"/>
    <w:rsid w:val="009C0CCD"/>
    <w:rsid w:val="009C4624"/>
    <w:rsid w:val="009C636C"/>
    <w:rsid w:val="009E55E4"/>
    <w:rsid w:val="009E6969"/>
    <w:rsid w:val="009F5E8E"/>
    <w:rsid w:val="00A0684E"/>
    <w:rsid w:val="00A078F0"/>
    <w:rsid w:val="00A166A0"/>
    <w:rsid w:val="00A1678F"/>
    <w:rsid w:val="00A328B3"/>
    <w:rsid w:val="00A367C7"/>
    <w:rsid w:val="00A407B0"/>
    <w:rsid w:val="00A537FE"/>
    <w:rsid w:val="00A75492"/>
    <w:rsid w:val="00A85F4B"/>
    <w:rsid w:val="00AD5823"/>
    <w:rsid w:val="00AD68DD"/>
    <w:rsid w:val="00B04347"/>
    <w:rsid w:val="00B05989"/>
    <w:rsid w:val="00B07F98"/>
    <w:rsid w:val="00B11E9A"/>
    <w:rsid w:val="00B25DB1"/>
    <w:rsid w:val="00B27855"/>
    <w:rsid w:val="00B32DE8"/>
    <w:rsid w:val="00B363A1"/>
    <w:rsid w:val="00B37341"/>
    <w:rsid w:val="00B41EF2"/>
    <w:rsid w:val="00B57153"/>
    <w:rsid w:val="00B64F1C"/>
    <w:rsid w:val="00B70E31"/>
    <w:rsid w:val="00B94673"/>
    <w:rsid w:val="00BE6806"/>
    <w:rsid w:val="00BF1FC9"/>
    <w:rsid w:val="00BF3AEF"/>
    <w:rsid w:val="00BF78FE"/>
    <w:rsid w:val="00C16EC5"/>
    <w:rsid w:val="00C176A8"/>
    <w:rsid w:val="00C20A9E"/>
    <w:rsid w:val="00C27E73"/>
    <w:rsid w:val="00C34405"/>
    <w:rsid w:val="00C42230"/>
    <w:rsid w:val="00C46A48"/>
    <w:rsid w:val="00C57391"/>
    <w:rsid w:val="00C7141B"/>
    <w:rsid w:val="00C80544"/>
    <w:rsid w:val="00C826C8"/>
    <w:rsid w:val="00C95D13"/>
    <w:rsid w:val="00C96F86"/>
    <w:rsid w:val="00CA18D2"/>
    <w:rsid w:val="00CA3C35"/>
    <w:rsid w:val="00CC084E"/>
    <w:rsid w:val="00CD32F9"/>
    <w:rsid w:val="00CE06A3"/>
    <w:rsid w:val="00CF2E5F"/>
    <w:rsid w:val="00CF570A"/>
    <w:rsid w:val="00CF79C8"/>
    <w:rsid w:val="00D14A8B"/>
    <w:rsid w:val="00D22B04"/>
    <w:rsid w:val="00D55162"/>
    <w:rsid w:val="00D74092"/>
    <w:rsid w:val="00D77906"/>
    <w:rsid w:val="00D9270E"/>
    <w:rsid w:val="00DC59FE"/>
    <w:rsid w:val="00DC657B"/>
    <w:rsid w:val="00DF35D5"/>
    <w:rsid w:val="00DF479D"/>
    <w:rsid w:val="00E03838"/>
    <w:rsid w:val="00E04168"/>
    <w:rsid w:val="00E3211A"/>
    <w:rsid w:val="00E32124"/>
    <w:rsid w:val="00E37000"/>
    <w:rsid w:val="00E4667D"/>
    <w:rsid w:val="00E470D2"/>
    <w:rsid w:val="00E474BF"/>
    <w:rsid w:val="00E60FC6"/>
    <w:rsid w:val="00E743B9"/>
    <w:rsid w:val="00E85E9B"/>
    <w:rsid w:val="00E91CE2"/>
    <w:rsid w:val="00E924B8"/>
    <w:rsid w:val="00E96A89"/>
    <w:rsid w:val="00E97BCB"/>
    <w:rsid w:val="00EA6539"/>
    <w:rsid w:val="00EB104D"/>
    <w:rsid w:val="00EB424C"/>
    <w:rsid w:val="00EC652B"/>
    <w:rsid w:val="00ED1BE3"/>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793F"/>
    <w:rsid w:val="00FB613B"/>
    <w:rsid w:val="00FB6FCC"/>
    <w:rsid w:val="00FC43A2"/>
    <w:rsid w:val="00FD0812"/>
    <w:rsid w:val="00FE1D36"/>
    <w:rsid w:val="00FE20F3"/>
    <w:rsid w:val="00FE4C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25231/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5231/summar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5231/summ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25231/summary" TargetMode="External"/><Relationship Id="rId14" Type="http://schemas.openxmlformats.org/officeDocument/2006/relationships/hyperlink" Target="https://www.uvo.gov.sk/legislativametodika-dohlad/jednotny-europsky-dokument-6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31</Pages>
  <Words>10924</Words>
  <Characters>62267</Characters>
  <Application>Microsoft Office Word</Application>
  <DocSecurity>0</DocSecurity>
  <Lines>518</Lines>
  <Paragraphs>146</Paragraphs>
  <ScaleCrop>false</ScaleCrop>
  <HeadingPairs>
    <vt:vector size="4" baseType="variant">
      <vt:variant>
        <vt:lpstr>Názov</vt:lpstr>
      </vt:variant>
      <vt:variant>
        <vt:i4>1</vt:i4>
      </vt:variant>
      <vt:variant>
        <vt:lpstr>Nadpisy</vt:lpstr>
      </vt:variant>
      <vt:variant>
        <vt:i4>66</vt:i4>
      </vt:variant>
    </vt:vector>
  </HeadingPairs>
  <TitlesOfParts>
    <vt:vector size="6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Názov: 			Mesto Svit</vt:lpstr>
      <vt:lpstr>Kontaktná osoba verejného obstarávateľa v tomto postupe verejného obstarávania:</vt:lpstr>
      <vt:lpstr>    Názov: „Zariadenie pre seniorov – mesto Svit“</vt:lpstr>
      <vt:lpstr>KOMUNIKÁCIA</vt:lpstr>
      <vt:lpstr/>
      <vt:lpstr>Časť III</vt:lpstr>
      <vt:lpstr>názov súťaže: „Zariadenie pre seniorov – mesto Svit“ a</vt:lpstr>
      <vt:lpstr>    Verejný obstarávateľ vyžaduje od uchádzača na zabezpečenie ponuky zloženie zábez</vt:lpstr>
      <vt:lpstr>    Zábezpeka je stanovená vo výške 60 000,00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
      <vt:lpstr/>
      <vt:lpstr/>
      <vt:lpstr/>
      <vt:lpstr>Časť A.3 KRITÉRIÁ NA VYHODNOTENIE PONÚK A PRAVIDLÁ ICH UPLATNENIA</vt:lpstr>
      <vt:lpstr>Časť B.1 OBCHODNÉ PODMIENKY</vt:lpstr>
      <vt:lpstr/>
      <vt:lpstr/>
      <vt:lpstr>Časť B.2 OPIS PREDMETU ZÁKAZKY</vt:lpstr>
      <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13</cp:revision>
  <cp:lastPrinted>2019-11-26T14:09:00Z</cp:lastPrinted>
  <dcterms:created xsi:type="dcterms:W3CDTF">2022-02-14T16:33:00Z</dcterms:created>
  <dcterms:modified xsi:type="dcterms:W3CDTF">2022-06-13T14:12:00Z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