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s</w:t>
      </w:r>
      <w:r w:rsidRPr="00260EEA">
        <w:rPr>
          <w:rFonts w:ascii="Arial Narrow" w:hAnsi="Arial Narrow"/>
          <w:b w:val="0"/>
          <w:sz w:val="22"/>
          <w:szCs w:val="22"/>
        </w:rPr>
        <w:t>ekcia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ekonomiky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Ministerstva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vnútra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Slovenskej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republiky</w:t>
      </w:r>
      <w:proofErr w:type="spellEnd"/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o</w:t>
      </w:r>
      <w:r w:rsidRPr="00260EEA">
        <w:rPr>
          <w:rFonts w:ascii="Arial Narrow" w:hAnsi="Arial Narrow"/>
          <w:b w:val="0"/>
          <w:sz w:val="22"/>
          <w:szCs w:val="22"/>
        </w:rPr>
        <w:t>dbor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hospodárskeho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zabezpečenia</w:t>
      </w:r>
      <w:bookmarkStart w:id="0" w:name="_GoBack"/>
      <w:bookmarkEnd w:id="0"/>
      <w:proofErr w:type="spellEnd"/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 w:rsidRPr="00260EEA">
        <w:rPr>
          <w:rFonts w:ascii="Arial Narrow" w:hAnsi="Arial Narrow"/>
          <w:b w:val="0"/>
          <w:sz w:val="22"/>
          <w:szCs w:val="22"/>
        </w:rPr>
        <w:t>Košická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47, 812 72 Bratislava</w:t>
      </w:r>
    </w:p>
    <w:p w:rsidR="00260EEA" w:rsidRPr="00260EEA" w:rsidRDefault="00260EEA" w:rsidP="00260EEA">
      <w:pPr>
        <w:autoSpaceDE w:val="0"/>
        <w:autoSpaceDN w:val="0"/>
        <w:adjustRightInd w:val="0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</w:t>
      </w:r>
    </w:p>
    <w:p w:rsidR="00D63123" w:rsidRPr="00260EEA" w:rsidRDefault="00D63123" w:rsidP="00260EEA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60EEA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52C79" w:rsidRPr="00260EEA">
        <w:rPr>
          <w:rFonts w:ascii="Arial Narrow" w:hAnsi="Arial Narrow"/>
          <w:b w:val="0"/>
          <w:sz w:val="22"/>
          <w:szCs w:val="22"/>
          <w:lang w:val="sk-SK"/>
        </w:rPr>
        <w:t>SE-OHZ3-2022/004007-007</w:t>
      </w:r>
    </w:p>
    <w:p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B359CE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B359CE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(zadávanie zákazky s nízkou hodnotou</w:t>
      </w:r>
    </w:p>
    <w:p w:rsidR="00260EEA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</w:t>
      </w:r>
      <w:r w:rsidR="00260EEA">
        <w:rPr>
          <w:rFonts w:ascii="Arial Narrow" w:hAnsi="Arial Narrow"/>
          <w:b w:val="0"/>
          <w:sz w:val="22"/>
          <w:szCs w:val="22"/>
          <w:lang w:val="sk-SK"/>
        </w:rPr>
        <w:t>a o zmene a doplnení niektorých</w:t>
      </w:r>
    </w:p>
    <w:p w:rsidR="00D63123" w:rsidRPr="00B359CE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:rsidR="00852C79" w:rsidRPr="00852C79" w:rsidRDefault="00211E45" w:rsidP="00852C79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</w:rPr>
      </w:pPr>
      <w:r w:rsidRPr="00852C79">
        <w:rPr>
          <w:rFonts w:ascii="Arial Narrow" w:hAnsi="Arial Narrow"/>
          <w:sz w:val="22"/>
          <w:szCs w:val="22"/>
          <w:lang w:val="sk-SK"/>
        </w:rPr>
        <w:t>Názov:</w:t>
      </w:r>
      <w:r w:rsidRPr="00852C7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852C7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852C79" w:rsidRPr="00852C7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, </w:t>
      </w:r>
      <w:proofErr w:type="spellStart"/>
      <w:r w:rsidR="00852C79">
        <w:rPr>
          <w:rFonts w:ascii="Arial Narrow" w:hAnsi="Arial Narrow"/>
          <w:b w:val="0"/>
          <w:sz w:val="22"/>
          <w:szCs w:val="22"/>
        </w:rPr>
        <w:t>sekcia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>
        <w:rPr>
          <w:rFonts w:ascii="Arial Narrow" w:hAnsi="Arial Narrow"/>
          <w:b w:val="0"/>
          <w:sz w:val="22"/>
          <w:szCs w:val="22"/>
        </w:rPr>
        <w:t>ekonomiky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>,</w:t>
      </w:r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odbor</w:t>
      </w:r>
      <w:proofErr w:type="spellEnd"/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hospodárskeho</w:t>
      </w:r>
      <w:proofErr w:type="spellEnd"/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zabezpečenia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 xml:space="preserve">,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Košická 47, 812 72 Bratislava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1" w:name="kontakt_meno"/>
      <w:bookmarkEnd w:id="1"/>
      <w:r w:rsidR="00852C79">
        <w:rPr>
          <w:rFonts w:ascii="Arial Narrow" w:hAnsi="Arial Narrow"/>
          <w:b w:val="0"/>
          <w:sz w:val="22"/>
          <w:szCs w:val="22"/>
          <w:lang w:val="sk-SK"/>
        </w:rPr>
        <w:t>Mgr. Janette Zajacová</w:t>
      </w:r>
    </w:p>
    <w:p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0961054093</w:t>
      </w:r>
    </w:p>
    <w:p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janette.zajacova@minv.sk</w:t>
      </w:r>
    </w:p>
    <w:p w:rsidR="00B27AB6" w:rsidRPr="00B359CE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r w:rsidR="007D2133" w:rsidRPr="007D2133">
        <w:rPr>
          <w:rFonts w:ascii="Arial Narrow" w:hAnsi="Arial Narrow"/>
          <w:b w:val="0"/>
          <w:sz w:val="22"/>
          <w:szCs w:val="22"/>
          <w:lang w:val="sk-SK"/>
        </w:rPr>
        <w:t>https://josephine.proebiz.com/sk/tender/25336/summary</w:t>
      </w:r>
      <w:r w:rsidR="00A35EBD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:rsidR="004A36A4" w:rsidRPr="00B359CE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852C79" w:rsidRPr="00852C79" w:rsidRDefault="00852C79" w:rsidP="00852C79">
      <w:pPr>
        <w:jc w:val="both"/>
        <w:rPr>
          <w:rFonts w:ascii="Arial Narrow" w:hAnsi="Arial Narrow"/>
          <w:b w:val="0"/>
          <w:iCs/>
          <w:sz w:val="22"/>
          <w:szCs w:val="22"/>
        </w:rPr>
      </w:pPr>
      <w:proofErr w:type="spellStart"/>
      <w:r w:rsidRPr="00852C79">
        <w:rPr>
          <w:rFonts w:ascii="Arial Narrow" w:hAnsi="Arial Narrow"/>
          <w:b w:val="0"/>
          <w:sz w:val="22"/>
          <w:szCs w:val="22"/>
        </w:rPr>
        <w:t>Poskytovanie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servisných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služieb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pre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plynové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kvapalinové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chromatografy</w:t>
      </w:r>
      <w:proofErr w:type="spellEnd"/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852C79">
        <w:rPr>
          <w:rFonts w:ascii="Arial Narrow" w:hAnsi="Arial Narrow"/>
          <w:sz w:val="22"/>
          <w:szCs w:val="22"/>
          <w:lang w:val="sk-SK"/>
        </w:rPr>
        <w:t xml:space="preserve">: </w:t>
      </w:r>
      <w:r w:rsidR="00852C79" w:rsidRPr="00852C79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852C79">
        <w:rPr>
          <w:rFonts w:ascii="Arial Narrow" w:hAnsi="Arial Narrow"/>
          <w:b w:val="0"/>
          <w:smallCaps/>
          <w:sz w:val="22"/>
          <w:szCs w:val="22"/>
          <w:lang w:val="sk-SK"/>
        </w:rPr>
        <w:t>50412000-6, 50433000-9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2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52C79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Kriminalistický a expertízny ústav P PZ Bratislava, Košice, Slovenská Ľupča</w:t>
      </w: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B359CE" w:rsidRDefault="00852C7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30. 11. 2022</w:t>
      </w:r>
    </w:p>
    <w:p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52C79" w:rsidRPr="00852C79" w:rsidRDefault="00852C79" w:rsidP="00852C79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852C79">
        <w:rPr>
          <w:rFonts w:ascii="Arial Narrow" w:hAnsi="Arial Narrow"/>
          <w:b w:val="0"/>
          <w:sz w:val="22"/>
          <w:szCs w:val="22"/>
        </w:rPr>
        <w:t>Špecifikácia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predmetu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uvedená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prílohe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č. 1.</w:t>
      </w:r>
    </w:p>
    <w:p w:rsidR="004935D3" w:rsidRPr="00B359CE" w:rsidRDefault="00852C79" w:rsidP="00852C79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>V cene zákazky sú zahrnuté aj dopravné náklady súvisiace o zabezpečením služby (napr. doprava, servisná hodina). C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:rsidR="00D94660" w:rsidRPr="00B359CE" w:rsidRDefault="006F2699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 xml:space="preserve">Predpokladaná hodnota zákazky </w:t>
      </w:r>
      <w:r w:rsidR="000E3F01" w:rsidRPr="00B359CE">
        <w:rPr>
          <w:rFonts w:ascii="Arial Narrow" w:hAnsi="Arial Narrow"/>
          <w:b w:val="0"/>
          <w:szCs w:val="22"/>
        </w:rPr>
        <w:t xml:space="preserve">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b w:val="0"/>
          <w:szCs w:val="22"/>
        </w:rPr>
        <w:t>43 052,88</w:t>
      </w:r>
      <w:r w:rsidR="000E3F01"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6F2699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227FAE" w:rsidRPr="00B359CE" w:rsidRDefault="005D20DC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</w:t>
      </w:r>
      <w:r w:rsidR="00227FAE" w:rsidRPr="00B359CE">
        <w:rPr>
          <w:rFonts w:ascii="Arial Narrow" w:hAnsi="Arial Narrow"/>
          <w:sz w:val="22"/>
          <w:szCs w:val="22"/>
          <w:lang w:val="sk-SK"/>
        </w:rPr>
        <w:t xml:space="preserve">oužije sa elektronická aukcia: </w:t>
      </w:r>
      <w:r w:rsidR="006F2699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60EEA">
        <w:rPr>
          <w:rFonts w:ascii="Arial Narrow" w:hAnsi="Arial Narrow"/>
          <w:b w:val="0"/>
          <w:sz w:val="22"/>
          <w:szCs w:val="22"/>
          <w:lang w:val="sk-SK"/>
        </w:rPr>
        <w:t>15. 7</w:t>
      </w:r>
      <w:r w:rsidR="0049657A">
        <w:rPr>
          <w:rFonts w:ascii="Arial Narrow" w:hAnsi="Arial Narrow"/>
          <w:b w:val="0"/>
          <w:sz w:val="22"/>
          <w:szCs w:val="22"/>
          <w:lang w:val="sk-SK"/>
        </w:rPr>
        <w:t>. 2022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</w:t>
      </w:r>
      <w:r w:rsidR="0049657A">
        <w:rPr>
          <w:rFonts w:ascii="Arial Narrow" w:hAnsi="Arial Narrow"/>
          <w:sz w:val="22"/>
          <w:szCs w:val="22"/>
          <w:lang w:val="sk-SK"/>
        </w:rPr>
        <w:t xml:space="preserve">: </w:t>
      </w:r>
      <w:r w:rsidR="0049657A" w:rsidRPr="00030933">
        <w:rPr>
          <w:rFonts w:ascii="Arial Narrow" w:hAnsi="Arial Narrow"/>
          <w:b w:val="0"/>
          <w:sz w:val="22"/>
          <w:szCs w:val="22"/>
          <w:lang w:val="sk-SK"/>
        </w:rPr>
        <w:t>12.00 h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6F2699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>
        <w:rPr>
          <w:rStyle w:val="Hypertextovprepojenie"/>
          <w:rFonts w:ascii="Arial Narrow" w:hAnsi="Arial Narrow" w:cs="Arial"/>
          <w:b w:val="0"/>
          <w:sz w:val="22"/>
          <w:szCs w:val="22"/>
          <w:lang w:val="sk-SK"/>
        </w:rPr>
        <w:t>.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:rsidR="00C34669" w:rsidRPr="00C34669" w:rsidRDefault="00C34669" w:rsidP="00C34669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Súčasťou ponuky uchádzača musí byť v zmysle § 14 zákona č. 18/2018 </w:t>
      </w:r>
      <w:proofErr w:type="spellStart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Z.z</w:t>
      </w:r>
      <w:proofErr w:type="spellEnd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. o ochrane osobných údajov a o zmene a doplnení niektorých zákonov jeho súhlas so spracovaním osobných údajov (tlačivo na súhlas je v prílohe tejto výzvy) a vyhlásenie, že v súlade s § 32 ods. 1 písm. f) zákona č. 343/2015 </w:t>
      </w:r>
      <w:proofErr w:type="spellStart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Z.z</w:t>
      </w:r>
      <w:proofErr w:type="spellEnd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:rsidR="000B1601" w:rsidRPr="00B359CE" w:rsidRDefault="00C34669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C34669">
        <w:rPr>
          <w:rFonts w:ascii="Arial Narrow" w:hAnsi="Arial Narrow"/>
          <w:b w:val="0"/>
          <w:sz w:val="22"/>
          <w:szCs w:val="22"/>
          <w:lang w:val="sk-SK" w:bidi="en-US"/>
        </w:rPr>
        <w:t xml:space="preserve">Kritériom na vyhodnotenie cenových ponúk je najnižšia cena za celý predmet zákazky bez DPH. </w:t>
      </w:r>
      <w:r w:rsidRPr="00C34669">
        <w:rPr>
          <w:rFonts w:ascii="Arial Narrow" w:hAnsi="Arial Narrow"/>
          <w:b w:val="0"/>
          <w:sz w:val="22"/>
          <w:szCs w:val="22"/>
          <w:lang w:val="sk-SK"/>
        </w:rPr>
        <w:t xml:space="preserve">Na základe výsledku vyhodnotenia ponúk bude určený úspešný uchádzač. </w:t>
      </w:r>
      <w:r w:rsidR="000B1601" w:rsidRPr="00C34669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Neúspešných uchádzačov bude verejný obstarávateľ informovať o výsledku vyhodnotenia ponúk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0B1601" w:rsidRPr="00B359CE">
        <w:rPr>
          <w:rFonts w:ascii="Arial Narrow" w:hAnsi="Arial Narrow"/>
          <w:sz w:val="22"/>
          <w:szCs w:val="22"/>
          <w:lang w:val="sk-SK" w:bidi="en-US"/>
        </w:rPr>
        <w:t xml:space="preserve">) </w:t>
      </w:r>
    </w:p>
    <w:p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10DB0" w:rsidRPr="00B359CE">
        <w:rPr>
          <w:rFonts w:ascii="Arial Narrow" w:hAnsi="Arial Narrow"/>
          <w:b w:val="0"/>
          <w:iCs/>
          <w:sz w:val="22"/>
          <w:szCs w:val="22"/>
          <w:lang w:val="sk-SK"/>
        </w:rPr>
        <w:t>“)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. </w:t>
      </w: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:rsidR="00E60784" w:rsidRPr="00B359CE" w:rsidRDefault="00C34669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E60784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erejný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="00E60784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:rsidR="001F7AA8" w:rsidRPr="00B359CE" w:rsidRDefault="001F7AA8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p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772600" w:rsidRPr="00B359CE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E410A" w:rsidRPr="00B359CE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260EEA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4B0F3F"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 dňa ..........................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:rsidR="002A45DE" w:rsidRPr="00B359CE" w:rsidRDefault="00321273" w:rsidP="000F0A8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</w:t>
      </w:r>
      <w:r w:rsidR="00C34669">
        <w:rPr>
          <w:rFonts w:ascii="Arial Narrow" w:hAnsi="Arial Narrow"/>
          <w:sz w:val="22"/>
          <w:szCs w:val="22"/>
          <w:lang w:val="sk-SK"/>
        </w:rPr>
        <w:t xml:space="preserve"> 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492A5B" w:rsidRPr="00B359CE">
        <w:rPr>
          <w:rFonts w:ascii="Arial Narrow" w:hAnsi="Arial Narrow"/>
          <w:sz w:val="22"/>
          <w:szCs w:val="22"/>
          <w:lang w:val="sk-SK"/>
        </w:rPr>
        <w:t>...........................</w:t>
      </w:r>
      <w:r w:rsidR="00FD5709" w:rsidRPr="00B359CE">
        <w:rPr>
          <w:rFonts w:ascii="Arial Narrow" w:hAnsi="Arial Narrow"/>
          <w:sz w:val="22"/>
          <w:szCs w:val="22"/>
          <w:lang w:val="sk-SK"/>
        </w:rPr>
        <w:t>.......</w:t>
      </w:r>
    </w:p>
    <w:p w:rsidR="00FD5709" w:rsidRPr="00B359CE" w:rsidRDefault="00376F0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</w:t>
      </w:r>
      <w:r w:rsidR="00260EEA">
        <w:rPr>
          <w:rFonts w:ascii="Arial Narrow" w:hAnsi="Arial Narrow"/>
          <w:b w:val="0"/>
          <w:sz w:val="22"/>
          <w:szCs w:val="22"/>
          <w:lang w:val="sk-SK" w:eastAsia="sk-SK"/>
        </w:rPr>
        <w:t xml:space="preserve">Ing. Martina Hrnčiarová </w:t>
      </w:r>
    </w:p>
    <w:p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lastRenderedPageBreak/>
        <w:t xml:space="preserve">                                                                                </w:t>
      </w:r>
    </w:p>
    <w:sectPr w:rsidR="00B66531" w:rsidRPr="00B359CE" w:rsidSect="002F52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41" w:rsidRDefault="00F36041" w:rsidP="000F49C3">
      <w:r>
        <w:separator/>
      </w:r>
    </w:p>
  </w:endnote>
  <w:endnote w:type="continuationSeparator" w:id="0">
    <w:p w:rsidR="00F36041" w:rsidRDefault="00F36041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2E7A30" w:rsidRPr="002E7A30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41" w:rsidRDefault="00F36041" w:rsidP="000F49C3">
      <w:r>
        <w:separator/>
      </w:r>
    </w:p>
  </w:footnote>
  <w:footnote w:type="continuationSeparator" w:id="0">
    <w:p w:rsidR="00F36041" w:rsidRDefault="00F36041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30933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0EEA"/>
    <w:rsid w:val="00262045"/>
    <w:rsid w:val="0028504B"/>
    <w:rsid w:val="0029230A"/>
    <w:rsid w:val="002938D9"/>
    <w:rsid w:val="00295379"/>
    <w:rsid w:val="002A28E2"/>
    <w:rsid w:val="002A45DE"/>
    <w:rsid w:val="002E3E81"/>
    <w:rsid w:val="002E7A30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76F0A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9657A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20DC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D352F"/>
    <w:rsid w:val="006E6D41"/>
    <w:rsid w:val="006F2699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2133"/>
    <w:rsid w:val="007D41DF"/>
    <w:rsid w:val="007D4FFB"/>
    <w:rsid w:val="00807A08"/>
    <w:rsid w:val="00816EEE"/>
    <w:rsid w:val="00817AAE"/>
    <w:rsid w:val="00824EB7"/>
    <w:rsid w:val="00827EF0"/>
    <w:rsid w:val="008500C1"/>
    <w:rsid w:val="00852C79"/>
    <w:rsid w:val="00870AEF"/>
    <w:rsid w:val="00877D99"/>
    <w:rsid w:val="00884C53"/>
    <w:rsid w:val="0088742C"/>
    <w:rsid w:val="008A7415"/>
    <w:rsid w:val="008B6B60"/>
    <w:rsid w:val="008C64B7"/>
    <w:rsid w:val="008C6767"/>
    <w:rsid w:val="008D2863"/>
    <w:rsid w:val="008D2919"/>
    <w:rsid w:val="008E2AE9"/>
    <w:rsid w:val="008E59E3"/>
    <w:rsid w:val="008F10EC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A459E"/>
    <w:rsid w:val="009B38DE"/>
    <w:rsid w:val="009B505B"/>
    <w:rsid w:val="009B5CAC"/>
    <w:rsid w:val="009E60F1"/>
    <w:rsid w:val="009F1522"/>
    <w:rsid w:val="009F18EF"/>
    <w:rsid w:val="00A05259"/>
    <w:rsid w:val="00A065AC"/>
    <w:rsid w:val="00A14BE9"/>
    <w:rsid w:val="00A172EA"/>
    <w:rsid w:val="00A2115D"/>
    <w:rsid w:val="00A2629B"/>
    <w:rsid w:val="00A27F82"/>
    <w:rsid w:val="00A35EBD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34669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36041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E5596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52C79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E11E4-BADC-427C-A096-ABFA4CD1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5999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Janette Zajacová</cp:lastModifiedBy>
  <cp:revision>5</cp:revision>
  <cp:lastPrinted>2022-06-30T12:16:00Z</cp:lastPrinted>
  <dcterms:created xsi:type="dcterms:W3CDTF">2022-06-09T07:43:00Z</dcterms:created>
  <dcterms:modified xsi:type="dcterms:W3CDTF">2022-06-30T12:16:00Z</dcterms:modified>
</cp:coreProperties>
</file>