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8D5E83D" w:rsidR="003328EB" w:rsidRPr="00AC7742" w:rsidRDefault="003328EB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 xml:space="preserve">Marta </w:t>
      </w:r>
      <w:proofErr w:type="spellStart"/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Kozárová</w:t>
      </w:r>
      <w:proofErr w:type="spellEnd"/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05 Malý Cetín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55C3CAD8" w14:textId="2BCD3619" w:rsidR="00AC7742" w:rsidRPr="00AC7742" w:rsidRDefault="00AC7742" w:rsidP="004E05C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76ADE6D1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A24A2">
        <w:rPr>
          <w:rFonts w:asciiTheme="minorHAnsi" w:hAnsiTheme="minorHAnsi" w:cstheme="minorHAnsi"/>
          <w:b/>
          <w:bCs/>
        </w:rPr>
        <w:t xml:space="preserve">Linka na </w:t>
      </w:r>
      <w:r w:rsidR="006E3D00">
        <w:rPr>
          <w:rFonts w:asciiTheme="minorHAnsi" w:hAnsiTheme="minorHAnsi" w:cstheme="minorHAnsi"/>
          <w:b/>
          <w:bCs/>
        </w:rPr>
        <w:t xml:space="preserve">pozberovú úpravu 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50C9ABDD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6E3D00">
        <w:rPr>
          <w:rFonts w:asciiTheme="minorHAnsi" w:hAnsiTheme="minorHAnsi" w:cstheme="minorHAnsi"/>
          <w:bCs/>
          <w:sz w:val="22"/>
          <w:szCs w:val="22"/>
        </w:rPr>
        <w:t xml:space="preserve">na pozberovú úpravu.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10CBCF" w14:textId="77777777" w:rsidR="006E3D00" w:rsidRPr="006E3D00" w:rsidRDefault="006E3D00" w:rsidP="006E3D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D00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0067B3FF" w14:textId="77777777" w:rsidR="006E3D00" w:rsidRPr="006E3D00" w:rsidRDefault="006E3D00" w:rsidP="006E3D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68703696"/>
      <w:bookmarkEnd w:id="1"/>
    </w:p>
    <w:p w14:paraId="2570F16A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>bubnová práčka</w:t>
      </w:r>
      <w:r w:rsidRPr="006E3D00">
        <w:rPr>
          <w:rFonts w:cstheme="minorHAnsi"/>
        </w:rPr>
        <w:t xml:space="preserve"> - automatický proces umývania zeleniny (zemiaky a koreňová zelenina) s riadeným vypúšťaním kalov zo spodnej časti nádrže (nastaviteľné pneumatické ventily, vyžadujú si prívod stlačeného vzduchu pre otváranie/zatváranie ventilov) a automatickou kontrolou hladiny vody v bubne práčky. Objem nádrže na vodu min 1 m</w:t>
      </w:r>
      <w:r w:rsidRPr="006E3D00">
        <w:rPr>
          <w:rFonts w:cstheme="minorHAnsi"/>
          <w:vertAlign w:val="superscript"/>
        </w:rPr>
        <w:t>3</w:t>
      </w:r>
    </w:p>
    <w:p w14:paraId="78EA36B0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>valcový sušič</w:t>
      </w:r>
      <w:r w:rsidRPr="006E3D00">
        <w:rPr>
          <w:rFonts w:cstheme="minorHAnsi"/>
        </w:rPr>
        <w:t xml:space="preserve"> – počet valcov 10ks vrátane </w:t>
      </w:r>
      <w:proofErr w:type="spellStart"/>
      <w:r w:rsidRPr="006E3D00">
        <w:rPr>
          <w:rFonts w:cstheme="minorHAnsi"/>
        </w:rPr>
        <w:t>invertora</w:t>
      </w:r>
      <w:proofErr w:type="spellEnd"/>
      <w:r w:rsidRPr="006E3D00">
        <w:rPr>
          <w:rFonts w:cstheme="minorHAnsi"/>
        </w:rPr>
        <w:t xml:space="preserve"> pre reguláciu rýchlosti otáčania valcov. Pracovná šírka min. 800mm. </w:t>
      </w:r>
    </w:p>
    <w:p w14:paraId="4C40FB98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>orezávač cibule</w:t>
      </w:r>
      <w:r w:rsidRPr="006E3D00">
        <w:rPr>
          <w:rFonts w:cstheme="minorHAnsi"/>
        </w:rPr>
        <w:t xml:space="preserve"> - je určený na predpredajné spracovanie cibule - rezanie usušenej stonky, korienkov</w:t>
      </w:r>
    </w:p>
    <w:p w14:paraId="7400C138" w14:textId="77777777" w:rsidR="006E3D00" w:rsidRPr="006E3D00" w:rsidRDefault="006E3D00" w:rsidP="006E3D00">
      <w:pPr>
        <w:pStyle w:val="Odsekzoznamu"/>
        <w:jc w:val="both"/>
        <w:rPr>
          <w:rFonts w:cstheme="minorHAnsi"/>
        </w:rPr>
      </w:pPr>
      <w:r w:rsidRPr="006E3D00">
        <w:rPr>
          <w:rFonts w:cstheme="minorHAnsi"/>
        </w:rPr>
        <w:t xml:space="preserve">a odstránenie uvoľnenej šupky, rýchlosť otáčania 2 kotúčových nožov je možné regulovať </w:t>
      </w:r>
      <w:proofErr w:type="spellStart"/>
      <w:r w:rsidRPr="006E3D00">
        <w:rPr>
          <w:rFonts w:cstheme="minorHAnsi"/>
        </w:rPr>
        <w:t>invertorom</w:t>
      </w:r>
      <w:proofErr w:type="spellEnd"/>
      <w:r w:rsidRPr="006E3D00">
        <w:rPr>
          <w:rFonts w:cstheme="minorHAnsi"/>
        </w:rPr>
        <w:t xml:space="preserve">. Pracovná šírka min. 800mm. </w:t>
      </w:r>
    </w:p>
    <w:p w14:paraId="5C017ABA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>inšpekčný stôl + dopravník</w:t>
      </w:r>
      <w:r w:rsidRPr="006E3D00">
        <w:rPr>
          <w:rFonts w:cstheme="minorHAnsi"/>
        </w:rPr>
        <w:t xml:space="preserve"> - v štandardnej výbave je vrchné osvetlenie, odpadový kanál (stredový) a dopravník pre manipuláciu s odseparovaným odpadom (napr. pre plnenie debien). Pracovná šírka min. 1000mm a pracovná dĺžka min. 3000mm.</w:t>
      </w:r>
    </w:p>
    <w:p w14:paraId="3FCE154D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>kombinačná váha</w:t>
      </w:r>
      <w:r w:rsidRPr="006E3D00">
        <w:rPr>
          <w:rFonts w:cstheme="minorHAnsi"/>
        </w:rPr>
        <w:t xml:space="preserve"> – kombinačná váha z nehrdzavejúcej ocele pre všetky druhy produktov. Rozsah váženia od 1000g do 10kg. Objem váhového košíka min. 5l.  </w:t>
      </w:r>
      <w:r w:rsidRPr="006E3D00">
        <w:rPr>
          <w:rFonts w:eastAsia="Calibri" w:cstheme="minorHAnsi"/>
        </w:rPr>
        <w:t>Dávkovanie produktu sústavou vibračných dráh alebo pásových dopravníkov. Požiadavka na umývanie netlakovou vodou.</w:t>
      </w:r>
    </w:p>
    <w:p w14:paraId="6013FBBE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  <w:b/>
          <w:bCs/>
        </w:rPr>
      </w:pPr>
      <w:proofErr w:type="spellStart"/>
      <w:r w:rsidRPr="006E3D00">
        <w:rPr>
          <w:rFonts w:cstheme="minorHAnsi"/>
          <w:b/>
          <w:bCs/>
        </w:rPr>
        <w:t>carry-fresh</w:t>
      </w:r>
      <w:proofErr w:type="spellEnd"/>
      <w:r w:rsidRPr="006E3D00">
        <w:rPr>
          <w:rFonts w:cstheme="minorHAnsi"/>
          <w:b/>
          <w:bCs/>
        </w:rPr>
        <w:t xml:space="preserve"> balička </w:t>
      </w:r>
      <w:r w:rsidRPr="006E3D00">
        <w:rPr>
          <w:rFonts w:cstheme="minorHAnsi"/>
        </w:rPr>
        <w:t xml:space="preserve">– vertikálna kontinuálna balička, ktorá si sama tvaruje a uzatvorí vrecko z nekonečného pásu navinutého v rolke, pričom výsledný obal je kombináciou plastu a sieťoviny, ku ktorému pripája úchyt. Rýchlosť balenia min. 20 balení za minútu.  </w:t>
      </w:r>
      <w:r w:rsidRPr="006E3D00">
        <w:rPr>
          <w:rFonts w:eastAsia="Calibri" w:cstheme="minorHAnsi"/>
        </w:rPr>
        <w:t>Stroj dokáže vytvárať obal podľa  zadanej dĺžky alebo značiek na obalovom materiáli.</w:t>
      </w:r>
    </w:p>
    <w:p w14:paraId="79ADA0E1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 xml:space="preserve">baliaci stroj do sieťových vriec vrátane baliaceho stolíka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>stroj na balenie zemiakov, zeleniny a podobných produktov je určený pre automatické balenie do sieťového úpletu, dodávaného v roliach, pre balenie po 5 – 25 kg. Šírka vreca min. 300mm, výška min. 300mm. Súčasťou je baliaci okrúhly stôl</w:t>
      </w:r>
      <w:r w:rsidRPr="006E3D00">
        <w:rPr>
          <w:rFonts w:cstheme="minorHAnsi"/>
          <w:b/>
          <w:bCs/>
        </w:rPr>
        <w:t>.</w:t>
      </w:r>
      <w:r w:rsidRPr="006E3D00">
        <w:rPr>
          <w:rFonts w:cstheme="minorHAnsi"/>
        </w:rPr>
        <w:t xml:space="preserve"> Výkonnosť stroja min. 10 balení/min (pri balení 10 kg vriec).</w:t>
      </w:r>
    </w:p>
    <w:p w14:paraId="1501D76B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proofErr w:type="spellStart"/>
      <w:r w:rsidRPr="006E3D00">
        <w:rPr>
          <w:rFonts w:cstheme="minorHAnsi"/>
          <w:b/>
          <w:bCs/>
        </w:rPr>
        <w:t>paletizér</w:t>
      </w:r>
      <w:proofErr w:type="spellEnd"/>
      <w:r w:rsidRPr="006E3D00">
        <w:rPr>
          <w:rFonts w:cstheme="minorHAnsi"/>
          <w:b/>
          <w:bCs/>
        </w:rPr>
        <w:t xml:space="preserve"> s automatickým ovíjaním paliet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 xml:space="preserve">uzavreté vrecia sú pásom spod šijacieho zariadenia transportované do </w:t>
      </w:r>
      <w:proofErr w:type="spellStart"/>
      <w:r w:rsidRPr="006E3D00">
        <w:rPr>
          <w:rFonts w:cstheme="minorHAnsi"/>
        </w:rPr>
        <w:t>paletizéra</w:t>
      </w:r>
      <w:proofErr w:type="spellEnd"/>
      <w:r w:rsidRPr="006E3D00">
        <w:rPr>
          <w:rFonts w:cstheme="minorHAnsi"/>
        </w:rPr>
        <w:t xml:space="preserve">. Špeciálny dizajn valčekov zaistí urovnanie vreca. </w:t>
      </w:r>
      <w:proofErr w:type="spellStart"/>
      <w:r w:rsidRPr="006E3D00">
        <w:rPr>
          <w:rFonts w:cstheme="minorHAnsi"/>
        </w:rPr>
        <w:t>Vynášač</w:t>
      </w:r>
      <w:proofErr w:type="spellEnd"/>
      <w:r w:rsidRPr="006E3D00">
        <w:rPr>
          <w:rFonts w:cstheme="minorHAnsi"/>
        </w:rPr>
        <w:t xml:space="preserve"> vriec vynesie vrece do čeľustí, ktoré uchopia vrece a uložia ho do predvolenej pozície na paletu. </w:t>
      </w:r>
      <w:proofErr w:type="spellStart"/>
      <w:r w:rsidRPr="006E3D00">
        <w:rPr>
          <w:rFonts w:cstheme="minorHAnsi"/>
        </w:rPr>
        <w:t>Paletizér</w:t>
      </w:r>
      <w:proofErr w:type="spellEnd"/>
      <w:r w:rsidRPr="006E3D00">
        <w:rPr>
          <w:rFonts w:cstheme="minorHAnsi"/>
        </w:rPr>
        <w:t xml:space="preserve"> môže ukladať vrecia na palety s rozmermi: 1,6 x 1,2 m, 1,2 x 1,0 m, alebo 1,2 x 0,8 m. Výkonnosť stroja min. 500 uložených vriec/hodinu. Automatické ovíjanie ukladanej palety.</w:t>
      </w:r>
    </w:p>
    <w:p w14:paraId="02B1EB22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 xml:space="preserve">plnoautomatický </w:t>
      </w:r>
      <w:proofErr w:type="spellStart"/>
      <w:r w:rsidRPr="006E3D00">
        <w:rPr>
          <w:rFonts w:cstheme="minorHAnsi"/>
          <w:b/>
          <w:bCs/>
        </w:rPr>
        <w:t>kliper</w:t>
      </w:r>
      <w:proofErr w:type="spellEnd"/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 xml:space="preserve">baliaci stroj pre plnoautomatické balenie rozmanitej škály produktov, napr. zemiakov a cibule. </w:t>
      </w:r>
      <w:proofErr w:type="spellStart"/>
      <w:r w:rsidRPr="006E3D00">
        <w:rPr>
          <w:rFonts w:ascii="Iosevka-Term" w:hAnsi="Iosevka-Term" w:cs="Iosevka-Term"/>
        </w:rPr>
        <w:t>Kliper</w:t>
      </w:r>
      <w:proofErr w:type="spellEnd"/>
      <w:r w:rsidRPr="006E3D00">
        <w:rPr>
          <w:rFonts w:ascii="Iosevka-Term" w:hAnsi="Iosevka-Term" w:cs="Iosevka-Term"/>
        </w:rPr>
        <w:t xml:space="preserve"> spolupracuje so všetkými typmi váh.</w:t>
      </w:r>
      <w:r w:rsidRPr="006E3D00">
        <w:rPr>
          <w:rFonts w:ascii="Iosevka-Term" w:hAnsi="Iosevka-Term" w:cstheme="minorHAnsi"/>
        </w:rPr>
        <w:t xml:space="preserve"> </w:t>
      </w:r>
      <w:proofErr w:type="spellStart"/>
      <w:r w:rsidRPr="006E3D00">
        <w:rPr>
          <w:rFonts w:ascii="Iosevka-Term" w:hAnsi="Iosevka-Term" w:cstheme="minorHAnsi"/>
        </w:rPr>
        <w:t>Klipovacia</w:t>
      </w:r>
      <w:proofErr w:type="spellEnd"/>
      <w:r w:rsidRPr="006E3D00">
        <w:rPr>
          <w:rFonts w:ascii="Iosevka-Term" w:hAnsi="Iosevka-Term" w:cstheme="minorHAnsi"/>
        </w:rPr>
        <w:t xml:space="preserve"> hlava vybavená automatickým čistením. Stroj </w:t>
      </w:r>
      <w:r w:rsidRPr="006E3D00">
        <w:rPr>
          <w:rFonts w:ascii="Iosevka-Term" w:eastAsia="Calibri" w:hAnsi="Iosevka-Term" w:cstheme="minorHAnsi"/>
        </w:rPr>
        <w:t>obsahuje zariadenie na vloženie potlačeného štítku pod kovový klip. Automatická výmena obalového materiálu.</w:t>
      </w:r>
    </w:p>
    <w:p w14:paraId="7E9620DC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lastRenderedPageBreak/>
        <w:t xml:space="preserve">automatická plnička prepraviek s dopravníkom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>plnič prepraviek 600 x 400 mm s pohybom prepraviek po dĺžke. Tlmenie pádu produktu. Vibrácia nosného dopravníka.</w:t>
      </w:r>
    </w:p>
    <w:p w14:paraId="607789E3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proofErr w:type="spellStart"/>
      <w:r w:rsidRPr="006E3D00">
        <w:rPr>
          <w:rFonts w:cstheme="minorHAnsi"/>
          <w:b/>
          <w:bCs/>
        </w:rPr>
        <w:t>termotransferová</w:t>
      </w:r>
      <w:proofErr w:type="spellEnd"/>
      <w:r w:rsidRPr="006E3D00">
        <w:rPr>
          <w:rFonts w:cstheme="minorHAnsi"/>
          <w:b/>
          <w:bCs/>
        </w:rPr>
        <w:t xml:space="preserve"> tlačiareň </w:t>
      </w:r>
      <w:r w:rsidRPr="006E3D00">
        <w:rPr>
          <w:rFonts w:cstheme="minorHAnsi"/>
        </w:rPr>
        <w:t xml:space="preserve">– každý baliaci stroj bude vybavený krokovou </w:t>
      </w:r>
      <w:proofErr w:type="spellStart"/>
      <w:r w:rsidRPr="006E3D00">
        <w:rPr>
          <w:rFonts w:cstheme="minorHAnsi"/>
        </w:rPr>
        <w:t>termotransferovou</w:t>
      </w:r>
      <w:proofErr w:type="spellEnd"/>
      <w:r w:rsidRPr="006E3D00">
        <w:rPr>
          <w:rFonts w:cstheme="minorHAnsi"/>
        </w:rPr>
        <w:t xml:space="preserve"> tlačiarňou. Rýchlosť tlače min. 30mm za sekundu. Rozlíšenie min. 300 DPI.  Softvér pre vizuálny návrh tlačovej úlohy. Prenos dát pomocou USB, LAN, RS232. Držiak tlačiarne prispôsobený konkrétnemu baliacemu stroju.</w:t>
      </w:r>
    </w:p>
    <w:p w14:paraId="64F1C4DF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</w:rPr>
      </w:pPr>
      <w:r w:rsidRPr="006E3D00">
        <w:rPr>
          <w:rFonts w:cstheme="minorHAnsi"/>
          <w:b/>
          <w:bCs/>
        </w:rPr>
        <w:t xml:space="preserve">dopravné cesty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 xml:space="preserve">kvôli univerzálnosti celej linky sú nevyhnuté rôzne dopravné cesty pre všetky kategórie produktov. Pásové dopravníky s PVC pásmi s rôznym prevedením podľa typu produktu. </w:t>
      </w:r>
    </w:p>
    <w:p w14:paraId="2A1A7F12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  <w:b/>
          <w:bCs/>
        </w:rPr>
      </w:pPr>
      <w:r w:rsidRPr="006E3D00">
        <w:rPr>
          <w:rFonts w:cstheme="minorHAnsi"/>
          <w:b/>
          <w:bCs/>
        </w:rPr>
        <w:t xml:space="preserve">kompresor </w:t>
      </w:r>
      <w:r w:rsidRPr="006E3D00">
        <w:rPr>
          <w:rFonts w:cstheme="minorHAnsi"/>
        </w:rPr>
        <w:t>–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>klinovým  remeňom poháňaný piestový kompresor s 2 valcami a dvojstupňovou kompresiou na tlak 10-15 barov.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>Objem tlakovej nádoby min 250 l, sací výkon min. 550 l/min.</w:t>
      </w:r>
    </w:p>
    <w:p w14:paraId="5589AA22" w14:textId="77777777" w:rsidR="006E3D00" w:rsidRPr="006E3D00" w:rsidRDefault="006E3D00" w:rsidP="006E3D00">
      <w:pPr>
        <w:pStyle w:val="Odsekzoznamu"/>
        <w:numPr>
          <w:ilvl w:val="0"/>
          <w:numId w:val="8"/>
        </w:numPr>
        <w:suppressAutoHyphens/>
        <w:jc w:val="both"/>
        <w:rPr>
          <w:rFonts w:cstheme="minorHAnsi"/>
          <w:b/>
          <w:bCs/>
        </w:rPr>
      </w:pPr>
      <w:r w:rsidRPr="006E3D00">
        <w:rPr>
          <w:rFonts w:cstheme="minorHAnsi"/>
          <w:b/>
          <w:bCs/>
        </w:rPr>
        <w:t xml:space="preserve">nadradená riadiaca elektronika – </w:t>
      </w:r>
      <w:r w:rsidRPr="006E3D00">
        <w:rPr>
          <w:rFonts w:cstheme="minorHAnsi"/>
        </w:rPr>
        <w:t xml:space="preserve">systém pre efektívne a funkčné riadenie celej technologickej linky podľa stavu strojov a toku produktu. </w:t>
      </w:r>
      <w:r w:rsidRPr="006E3D00">
        <w:rPr>
          <w:rFonts w:cstheme="minorHAnsi"/>
          <w:b/>
          <w:bCs/>
        </w:rPr>
        <w:t xml:space="preserve"> </w:t>
      </w:r>
      <w:r w:rsidRPr="006E3D00">
        <w:rPr>
          <w:rFonts w:cstheme="minorHAnsi"/>
        </w:rPr>
        <w:t xml:space="preserve">Ovládanie linky pomocou bezpečného napätia 12 alebo 24 VDC. Rozšíriteľnosť o LCD displej. Štandardné </w:t>
      </w:r>
      <w:r w:rsidRPr="006E3D00">
        <w:rPr>
          <w:rFonts w:eastAsia="Calibri" w:cstheme="minorHAnsi"/>
        </w:rPr>
        <w:t xml:space="preserve">priemyselné komunikačné protokoly – RS232, RS485, I2C, SPI, UART. </w:t>
      </w:r>
    </w:p>
    <w:p w14:paraId="46B3CFE6" w14:textId="4A8A2469" w:rsid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osevka-Ter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C0C"/>
    <w:multiLevelType w:val="multilevel"/>
    <w:tmpl w:val="4D121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082483847">
    <w:abstractNumId w:val="5"/>
  </w:num>
  <w:num w:numId="7" w16cid:durableId="828249580">
    <w:abstractNumId w:val="3"/>
  </w:num>
  <w:num w:numId="8" w16cid:durableId="1157260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81F23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6E3D00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8</cp:revision>
  <dcterms:created xsi:type="dcterms:W3CDTF">2022-04-21T10:52:00Z</dcterms:created>
  <dcterms:modified xsi:type="dcterms:W3CDTF">2022-06-16T19:08:00Z</dcterms:modified>
</cp:coreProperties>
</file>