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A15" w:rsidRPr="00A6020D" w:rsidRDefault="004D7A15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4D7A15" w:rsidRDefault="004D7A15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4D7A15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4D7A15" w:rsidRPr="003C3DA3" w:rsidRDefault="004D7A15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4D7A15" w:rsidRPr="0099493F" w:rsidRDefault="00301D38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01D3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Fixačná paznechtárska klietka pre dobytok s ohradnými panelmi</w:t>
            </w:r>
          </w:p>
        </w:tc>
      </w:tr>
      <w:tr w:rsidR="004D7A15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4D7A15" w:rsidRPr="003C3DA3" w:rsidRDefault="004D7A15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4D7A15" w:rsidRPr="00703DFC" w:rsidRDefault="004D7A15" w:rsidP="00E724EC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3DFC">
              <w:rPr>
                <w:rFonts w:asciiTheme="minorHAnsi" w:hAnsiTheme="minorHAnsi" w:cstheme="minorHAnsi"/>
                <w:sz w:val="24"/>
                <w:szCs w:val="24"/>
              </w:rPr>
              <w:t>AKRON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4D7A15" w:rsidRDefault="004D7A15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3DFC">
              <w:rPr>
                <w:rFonts w:asciiTheme="minorHAnsi" w:hAnsiTheme="minorHAnsi" w:cstheme="minorHAnsi"/>
                <w:sz w:val="24"/>
                <w:szCs w:val="24"/>
              </w:rPr>
              <w:t>Hviezdoslavova 495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703DFC">
              <w:rPr>
                <w:rFonts w:asciiTheme="minorHAnsi" w:hAnsiTheme="minorHAnsi" w:cstheme="minorHAnsi"/>
                <w:sz w:val="24"/>
                <w:szCs w:val="24"/>
              </w:rPr>
              <w:t>053 15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3DFC">
              <w:rPr>
                <w:rFonts w:asciiTheme="minorHAnsi" w:hAnsiTheme="minorHAnsi" w:cstheme="minorHAnsi"/>
                <w:sz w:val="24"/>
                <w:szCs w:val="24"/>
              </w:rPr>
              <w:t>Hrabušice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4D7A15" w:rsidRPr="00F761E5" w:rsidRDefault="004D7A15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703DFC">
              <w:rPr>
                <w:rFonts w:asciiTheme="minorHAnsi" w:hAnsiTheme="minorHAnsi" w:cstheme="minorHAnsi"/>
                <w:sz w:val="24"/>
                <w:szCs w:val="24"/>
              </w:rPr>
              <w:t>36188506</w:t>
            </w:r>
          </w:p>
        </w:tc>
      </w:tr>
    </w:tbl>
    <w:p w:rsidR="004D7A15" w:rsidRDefault="004D7A15">
      <w:pPr>
        <w:rPr>
          <w:rFonts w:asciiTheme="minorHAnsi" w:hAnsiTheme="minorHAnsi" w:cstheme="minorHAnsi"/>
          <w:b/>
          <w:sz w:val="28"/>
          <w:szCs w:val="28"/>
        </w:rPr>
      </w:pPr>
    </w:p>
    <w:p w:rsidR="004D7A15" w:rsidRPr="004D196D" w:rsidRDefault="004D7A15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4D7A15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4D7A15" w:rsidRDefault="004D7A15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4D7A15" w:rsidRPr="003C3DA3" w:rsidRDefault="004D7A15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4D7A15" w:rsidRPr="00B704C5" w:rsidTr="00A6020D">
        <w:trPr>
          <w:trHeight w:val="567"/>
        </w:trPr>
        <w:tc>
          <w:tcPr>
            <w:tcW w:w="1999" w:type="pct"/>
            <w:vAlign w:val="center"/>
          </w:tcPr>
          <w:p w:rsidR="004D7A15" w:rsidRPr="003C3DA3" w:rsidRDefault="004D7A15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4D7A15" w:rsidRPr="00CD66D8" w:rsidRDefault="001D395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bookmarkStart w:id="0" w:name="_GoBack"/>
            <w:bookmarkEnd w:id="0"/>
          </w:p>
        </w:tc>
      </w:tr>
      <w:tr w:rsidR="004D7A15" w:rsidRPr="00B704C5" w:rsidTr="00A6020D">
        <w:trPr>
          <w:trHeight w:val="567"/>
        </w:trPr>
        <w:tc>
          <w:tcPr>
            <w:tcW w:w="1999" w:type="pct"/>
            <w:vAlign w:val="center"/>
          </w:tcPr>
          <w:p w:rsidR="004D7A15" w:rsidRPr="003C3DA3" w:rsidRDefault="004D7A15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4D7A15" w:rsidRPr="00CD66D8" w:rsidRDefault="004D7A15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7A15" w:rsidRPr="00B704C5" w:rsidTr="00A6020D">
        <w:trPr>
          <w:trHeight w:val="567"/>
        </w:trPr>
        <w:tc>
          <w:tcPr>
            <w:tcW w:w="1999" w:type="pct"/>
            <w:vAlign w:val="center"/>
          </w:tcPr>
          <w:p w:rsidR="004D7A15" w:rsidRPr="003C3DA3" w:rsidRDefault="004D7A15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4D7A15" w:rsidRPr="00CD66D8" w:rsidRDefault="004D7A15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D7A15" w:rsidRPr="00B704C5" w:rsidTr="00A6020D">
        <w:trPr>
          <w:trHeight w:val="567"/>
        </w:trPr>
        <w:tc>
          <w:tcPr>
            <w:tcW w:w="1999" w:type="pct"/>
            <w:vAlign w:val="center"/>
          </w:tcPr>
          <w:p w:rsidR="004D7A15" w:rsidRPr="003C3DA3" w:rsidRDefault="004D7A15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4D7A15" w:rsidRPr="00CD66D8" w:rsidRDefault="004D7A15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4D7A15" w:rsidRPr="00B704C5" w:rsidTr="00A6020D">
        <w:trPr>
          <w:trHeight w:val="567"/>
        </w:trPr>
        <w:tc>
          <w:tcPr>
            <w:tcW w:w="1999" w:type="pct"/>
            <w:vAlign w:val="center"/>
          </w:tcPr>
          <w:p w:rsidR="004D7A15" w:rsidRPr="003C3DA3" w:rsidRDefault="004D7A15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4D7A15" w:rsidRPr="00CD66D8" w:rsidRDefault="004D7A15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4D7A15" w:rsidRDefault="004D7A15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4D7A15" w:rsidRPr="00A6020D" w:rsidRDefault="004D7A15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4D7A15" w:rsidRPr="00B704C5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A15" w:rsidRPr="00B704C5" w:rsidRDefault="004D7A15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4D7A15" w:rsidRPr="00B704C5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D7A15" w:rsidRPr="0011272A" w:rsidRDefault="004D7A15" w:rsidP="00301D38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301D38" w:rsidRPr="00301D3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Fixačná paznechtárska klietka pre dobytok s ohradnými panelmi</w:t>
            </w:r>
          </w:p>
        </w:tc>
      </w:tr>
      <w:tr w:rsidR="004D7A15" w:rsidRPr="00B704C5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A15" w:rsidRDefault="004D7A15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A15" w:rsidRPr="00B704C5" w:rsidRDefault="004D7A15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8F65A7" w:rsidRPr="00B704C5" w:rsidTr="009F340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A7" w:rsidRPr="00EE2A43" w:rsidRDefault="008F65A7" w:rsidP="008F65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F65A7" w:rsidRPr="008F65A7" w:rsidRDefault="008F65A7" w:rsidP="008F65A7">
            <w:pPr>
              <w:rPr>
                <w:rFonts w:asciiTheme="minorHAnsi" w:hAnsiTheme="minorHAnsi"/>
                <w:sz w:val="22"/>
                <w:szCs w:val="22"/>
              </w:rPr>
            </w:pPr>
            <w:r w:rsidRPr="008F65A7">
              <w:rPr>
                <w:rFonts w:asciiTheme="minorHAnsi" w:hAnsiTheme="minorHAnsi"/>
                <w:sz w:val="22"/>
                <w:szCs w:val="22"/>
              </w:rPr>
              <w:t xml:space="preserve">nastaviteľná vnútorná šírka priechodu </w:t>
            </w:r>
          </w:p>
        </w:tc>
      </w:tr>
      <w:tr w:rsidR="008F65A7" w:rsidRPr="00B704C5" w:rsidTr="009F340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A7" w:rsidRPr="00EE2A43" w:rsidRDefault="008F65A7" w:rsidP="008F65A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F65A7" w:rsidRPr="008F65A7" w:rsidRDefault="008F65A7" w:rsidP="008F65A7">
            <w:pPr>
              <w:rPr>
                <w:rFonts w:asciiTheme="minorHAnsi" w:hAnsiTheme="minorHAnsi"/>
                <w:sz w:val="22"/>
                <w:szCs w:val="22"/>
              </w:rPr>
            </w:pPr>
            <w:r w:rsidRPr="008F65A7">
              <w:rPr>
                <w:rFonts w:asciiTheme="minorHAnsi" w:hAnsiTheme="minorHAnsi"/>
                <w:sz w:val="22"/>
                <w:szCs w:val="22"/>
              </w:rPr>
              <w:t xml:space="preserve"> 4 otvárateľné boky</w:t>
            </w:r>
          </w:p>
        </w:tc>
      </w:tr>
      <w:tr w:rsidR="008F65A7" w:rsidRPr="00B704C5" w:rsidTr="009F340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A7" w:rsidRDefault="008F65A7" w:rsidP="008F65A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F65A7" w:rsidRPr="008F65A7" w:rsidRDefault="008F65A7" w:rsidP="008F65A7">
            <w:pPr>
              <w:rPr>
                <w:rFonts w:asciiTheme="minorHAnsi" w:hAnsiTheme="minorHAnsi"/>
                <w:sz w:val="22"/>
                <w:szCs w:val="22"/>
              </w:rPr>
            </w:pPr>
            <w:r w:rsidRPr="008F65A7">
              <w:rPr>
                <w:rFonts w:asciiTheme="minorHAnsi" w:hAnsiTheme="minorHAnsi"/>
                <w:sz w:val="22"/>
                <w:szCs w:val="22"/>
              </w:rPr>
              <w:t>manuálne fixačné čelo s otvárateľnými bokmi a  so záchytným košom</w:t>
            </w:r>
          </w:p>
        </w:tc>
      </w:tr>
      <w:tr w:rsidR="008F65A7" w:rsidRPr="00B704C5" w:rsidTr="009F340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A7" w:rsidRDefault="008F65A7" w:rsidP="008F65A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F65A7" w:rsidRPr="008F65A7" w:rsidRDefault="008F65A7" w:rsidP="008F65A7">
            <w:pPr>
              <w:rPr>
                <w:rFonts w:asciiTheme="minorHAnsi" w:hAnsiTheme="minorHAnsi"/>
                <w:sz w:val="22"/>
                <w:szCs w:val="22"/>
              </w:rPr>
            </w:pPr>
            <w:r w:rsidRPr="008F65A7">
              <w:rPr>
                <w:rFonts w:asciiTheme="minorHAnsi" w:hAnsiTheme="minorHAnsi"/>
                <w:sz w:val="22"/>
                <w:szCs w:val="22"/>
              </w:rPr>
              <w:t xml:space="preserve">manuálne ovládaný fixačný zdvihák hlavy dobytka pre fixačné čelo </w:t>
            </w:r>
          </w:p>
        </w:tc>
      </w:tr>
      <w:tr w:rsidR="008F65A7" w:rsidRPr="00B704C5" w:rsidTr="009F340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A7" w:rsidRDefault="008F65A7" w:rsidP="008F65A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F65A7" w:rsidRPr="008F65A7" w:rsidRDefault="008F65A7" w:rsidP="008F65A7">
            <w:pPr>
              <w:rPr>
                <w:rFonts w:asciiTheme="minorHAnsi" w:hAnsiTheme="minorHAnsi"/>
                <w:sz w:val="22"/>
                <w:szCs w:val="22"/>
              </w:rPr>
            </w:pPr>
            <w:r w:rsidRPr="008F65A7">
              <w:rPr>
                <w:rFonts w:asciiTheme="minorHAnsi" w:hAnsiTheme="minorHAnsi"/>
                <w:sz w:val="22"/>
                <w:szCs w:val="22"/>
              </w:rPr>
              <w:t>protišmyková podlaha</w:t>
            </w:r>
          </w:p>
        </w:tc>
      </w:tr>
      <w:tr w:rsidR="008F65A7" w:rsidRPr="00B704C5" w:rsidTr="009F340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A7" w:rsidRDefault="008F65A7" w:rsidP="008F65A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F65A7" w:rsidRPr="008F65A7" w:rsidRDefault="008F65A7" w:rsidP="008F65A7">
            <w:pPr>
              <w:rPr>
                <w:rFonts w:asciiTheme="minorHAnsi" w:hAnsiTheme="minorHAnsi"/>
                <w:sz w:val="22"/>
                <w:szCs w:val="22"/>
              </w:rPr>
            </w:pPr>
            <w:r w:rsidRPr="008F65A7">
              <w:rPr>
                <w:rFonts w:asciiTheme="minorHAnsi" w:hAnsiTheme="minorHAnsi"/>
                <w:sz w:val="22"/>
                <w:szCs w:val="22"/>
              </w:rPr>
              <w:t>systém proti cúvaniu zvierat</w:t>
            </w:r>
          </w:p>
        </w:tc>
      </w:tr>
      <w:tr w:rsidR="008F65A7" w:rsidRPr="00B704C5" w:rsidTr="009F340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A7" w:rsidRDefault="008F65A7" w:rsidP="008F65A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F65A7" w:rsidRPr="008F65A7" w:rsidRDefault="008F65A7" w:rsidP="008F65A7">
            <w:pPr>
              <w:rPr>
                <w:rFonts w:asciiTheme="minorHAnsi" w:hAnsiTheme="minorHAnsi"/>
                <w:sz w:val="22"/>
                <w:szCs w:val="22"/>
              </w:rPr>
            </w:pPr>
            <w:r w:rsidRPr="008F65A7">
              <w:rPr>
                <w:rFonts w:asciiTheme="minorHAnsi" w:hAnsiTheme="minorHAnsi"/>
                <w:sz w:val="22"/>
                <w:szCs w:val="22"/>
              </w:rPr>
              <w:t xml:space="preserve">dvojitá zadná brána </w:t>
            </w:r>
          </w:p>
        </w:tc>
      </w:tr>
      <w:tr w:rsidR="008F65A7" w:rsidRPr="00B704C5" w:rsidTr="009F340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A7" w:rsidRDefault="008F65A7" w:rsidP="008F65A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5A7" w:rsidRPr="008F65A7" w:rsidRDefault="008F65A7" w:rsidP="008F65A7">
            <w:pPr>
              <w:rPr>
                <w:rFonts w:asciiTheme="minorHAnsi" w:hAnsiTheme="minorHAnsi"/>
                <w:sz w:val="22"/>
                <w:szCs w:val="22"/>
              </w:rPr>
            </w:pPr>
            <w:r w:rsidRPr="008F65A7">
              <w:rPr>
                <w:rFonts w:asciiTheme="minorHAnsi" w:hAnsiTheme="minorHAnsi"/>
                <w:sz w:val="22"/>
                <w:szCs w:val="22"/>
              </w:rPr>
              <w:t>vážiaci systém</w:t>
            </w:r>
          </w:p>
        </w:tc>
      </w:tr>
      <w:tr w:rsidR="008F65A7" w:rsidRPr="00B704C5" w:rsidTr="009F340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A7" w:rsidRDefault="008F65A7" w:rsidP="008F65A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5A7" w:rsidRPr="008F65A7" w:rsidRDefault="008F65A7" w:rsidP="008F65A7">
            <w:pPr>
              <w:rPr>
                <w:rFonts w:asciiTheme="minorHAnsi" w:hAnsiTheme="minorHAnsi"/>
                <w:sz w:val="22"/>
                <w:szCs w:val="22"/>
              </w:rPr>
            </w:pPr>
            <w:r w:rsidRPr="008F65A7">
              <w:rPr>
                <w:rFonts w:asciiTheme="minorHAnsi" w:hAnsiTheme="minorHAnsi"/>
                <w:sz w:val="22"/>
                <w:szCs w:val="22"/>
              </w:rPr>
              <w:t>paznechtárska sada s elektrickými navyjákmi</w:t>
            </w:r>
          </w:p>
        </w:tc>
      </w:tr>
      <w:tr w:rsidR="004D7A15" w:rsidRPr="00B704C5" w:rsidTr="00817B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A15" w:rsidRDefault="004D7A15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A7" w:rsidRPr="008F65A7" w:rsidRDefault="008F65A7" w:rsidP="008F65A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F65A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Ohradný panel :</w:t>
            </w:r>
          </w:p>
          <w:p w:rsidR="008F65A7" w:rsidRPr="008F65A7" w:rsidRDefault="008F65A7" w:rsidP="008F65A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Rozmer 3 x 1,6 m  </w:t>
            </w:r>
            <w:r w:rsidRPr="008F65A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 oc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eľových plochooválných profilov, žiarovo zinkované </w:t>
            </w:r>
            <w:r w:rsidRPr="008F65A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spevnené plochou oceľovou rúrkou uprostred</w:t>
            </w:r>
          </w:p>
          <w:p w:rsidR="004D7A15" w:rsidRPr="00B704C5" w:rsidRDefault="008F65A7" w:rsidP="008F65A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F65A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2x fi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xačná retiazka na jednej strane </w:t>
            </w:r>
            <w:r w:rsidRPr="008F65A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100 ks</w:t>
            </w:r>
          </w:p>
        </w:tc>
      </w:tr>
    </w:tbl>
    <w:p w:rsidR="004D7A15" w:rsidRDefault="004D7A15" w:rsidP="00E86327">
      <w:pPr>
        <w:jc w:val="both"/>
        <w:rPr>
          <w:rFonts w:ascii="Calibri" w:hAnsi="Calibri" w:cs="Calibri"/>
          <w:sz w:val="22"/>
          <w:szCs w:val="22"/>
        </w:rPr>
      </w:pPr>
    </w:p>
    <w:p w:rsidR="004D7A15" w:rsidRPr="006423FC" w:rsidRDefault="004D7A15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4D7A15" w:rsidRDefault="004D7A15" w:rsidP="00E86327">
      <w:pPr>
        <w:jc w:val="both"/>
        <w:rPr>
          <w:rFonts w:ascii="Calibri" w:hAnsi="Calibri" w:cs="Calibri"/>
          <w:sz w:val="22"/>
          <w:szCs w:val="22"/>
        </w:rPr>
      </w:pPr>
    </w:p>
    <w:p w:rsidR="004D7A15" w:rsidRDefault="004D7A15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D7A15" w:rsidRPr="00A6020D" w:rsidRDefault="004D7A15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4D7A15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4D7A15" w:rsidRPr="00B24D53" w:rsidRDefault="004D7A15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4D7A15" w:rsidRDefault="004D7A15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4D7A15" w:rsidRDefault="004D7A15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4D7A15" w:rsidRPr="00A6020D" w:rsidRDefault="004D7A15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4D7A15" w:rsidRDefault="004D7A15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4D7A15" w:rsidRPr="00A6020D" w:rsidRDefault="004D7A15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4D7A15" w:rsidRDefault="004D7A15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4D7A15" w:rsidRDefault="004D7A15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4D7A15" w:rsidRPr="00A6020D" w:rsidRDefault="004D7A15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D7A15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4D7A15" w:rsidRPr="00204529" w:rsidRDefault="00301D38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01D3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Fixačná paznechtárska klietka pre dobytok s ohradnými panelmi</w:t>
            </w:r>
          </w:p>
        </w:tc>
        <w:tc>
          <w:tcPr>
            <w:tcW w:w="938" w:type="pct"/>
            <w:vAlign w:val="center"/>
          </w:tcPr>
          <w:p w:rsidR="004D7A15" w:rsidRPr="00E034BE" w:rsidRDefault="004D7A15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4D7A15" w:rsidRPr="001900DA" w:rsidRDefault="00301D38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4D7A15" w:rsidRPr="001900DA" w:rsidRDefault="004D7A15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D7A15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4D7A15" w:rsidRDefault="004D7A15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4D7A15" w:rsidRPr="00B24D53" w:rsidRDefault="004D7A15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4D7A15" w:rsidRPr="00B24D53" w:rsidRDefault="004D7A15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D7A15" w:rsidRPr="00E034BE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4D7A15" w:rsidRPr="00B24D53" w:rsidRDefault="004D7A15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:rsidR="004D7A15" w:rsidRPr="00B24D53" w:rsidRDefault="004D7A15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4D7A15" w:rsidRDefault="004D7A15" w:rsidP="00A6020D">
      <w:pPr>
        <w:rPr>
          <w:rFonts w:asciiTheme="minorHAnsi" w:hAnsiTheme="minorHAnsi" w:cstheme="minorHAnsi"/>
          <w:sz w:val="22"/>
          <w:szCs w:val="22"/>
        </w:rPr>
      </w:pPr>
    </w:p>
    <w:p w:rsidR="004D7A15" w:rsidRPr="00F96D09" w:rsidRDefault="004D7A15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D7A15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A15" w:rsidRDefault="004D7A15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4D7A15" w:rsidRPr="00E86327" w:rsidRDefault="004D7A15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A15" w:rsidRPr="00E86327" w:rsidRDefault="004D7A15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7A15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A15" w:rsidRPr="00E86327" w:rsidRDefault="004D7A15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A15" w:rsidRPr="00E86327" w:rsidRDefault="004D7A15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7A15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A15" w:rsidRPr="00E86327" w:rsidRDefault="004D7A15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A15" w:rsidRPr="00E86327" w:rsidRDefault="004D7A15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D7A15" w:rsidRPr="00B704C5" w:rsidRDefault="004D7A15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D7A15" w:rsidRPr="00B704C5" w:rsidRDefault="004D7A15">
      <w:pPr>
        <w:rPr>
          <w:rFonts w:asciiTheme="minorHAnsi" w:hAnsiTheme="minorHAnsi" w:cstheme="minorHAnsi"/>
          <w:sz w:val="22"/>
          <w:szCs w:val="22"/>
        </w:rPr>
        <w:sectPr w:rsidR="004D7A15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4D7A15" w:rsidRDefault="004D7A15">
      <w:pPr>
        <w:rPr>
          <w:rFonts w:asciiTheme="minorHAnsi" w:hAnsiTheme="minorHAnsi" w:cstheme="minorHAnsi"/>
          <w:sz w:val="22"/>
          <w:szCs w:val="22"/>
        </w:rPr>
        <w:sectPr w:rsidR="004D7A15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D7A15" w:rsidRDefault="004D7A15">
      <w:pPr>
        <w:rPr>
          <w:rFonts w:asciiTheme="minorHAnsi" w:hAnsiTheme="minorHAnsi" w:cstheme="minorHAnsi"/>
          <w:sz w:val="22"/>
          <w:szCs w:val="22"/>
        </w:rPr>
      </w:pPr>
    </w:p>
    <w:p w:rsidR="004D7A15" w:rsidRDefault="004D7A15">
      <w:pPr>
        <w:rPr>
          <w:rFonts w:asciiTheme="minorHAnsi" w:hAnsiTheme="minorHAnsi" w:cstheme="minorHAnsi"/>
          <w:sz w:val="22"/>
          <w:szCs w:val="22"/>
        </w:rPr>
      </w:pPr>
    </w:p>
    <w:p w:rsidR="004D7A15" w:rsidRDefault="004D7A15">
      <w:pPr>
        <w:rPr>
          <w:rFonts w:asciiTheme="minorHAnsi" w:hAnsiTheme="minorHAnsi" w:cstheme="minorHAnsi"/>
          <w:sz w:val="22"/>
          <w:szCs w:val="22"/>
        </w:rPr>
      </w:pPr>
    </w:p>
    <w:p w:rsidR="004D7A15" w:rsidRDefault="004D7A15">
      <w:pPr>
        <w:rPr>
          <w:rFonts w:asciiTheme="minorHAnsi" w:hAnsiTheme="minorHAnsi" w:cstheme="minorHAnsi"/>
          <w:sz w:val="22"/>
          <w:szCs w:val="22"/>
        </w:rPr>
      </w:pPr>
    </w:p>
    <w:p w:rsidR="004D7A15" w:rsidRDefault="004D7A15">
      <w:pPr>
        <w:rPr>
          <w:rFonts w:asciiTheme="minorHAnsi" w:hAnsiTheme="minorHAnsi" w:cstheme="minorHAnsi"/>
          <w:sz w:val="22"/>
          <w:szCs w:val="22"/>
        </w:rPr>
        <w:sectPr w:rsidR="004D7A15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D7A15" w:rsidRPr="00B704C5" w:rsidRDefault="004D7A15">
      <w:pPr>
        <w:rPr>
          <w:rFonts w:asciiTheme="minorHAnsi" w:hAnsiTheme="minorHAnsi" w:cstheme="minorHAnsi"/>
          <w:sz w:val="22"/>
          <w:szCs w:val="22"/>
        </w:rPr>
      </w:pPr>
    </w:p>
    <w:sectPr w:rsidR="004D7A15" w:rsidRPr="00B704C5" w:rsidSect="004D7A15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A15" w:rsidRDefault="004D7A15" w:rsidP="007E20AA">
      <w:r>
        <w:separator/>
      </w:r>
    </w:p>
  </w:endnote>
  <w:endnote w:type="continuationSeparator" w:id="0">
    <w:p w:rsidR="004D7A15" w:rsidRDefault="004D7A15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A15" w:rsidRDefault="004D7A15" w:rsidP="007E20AA">
      <w:r>
        <w:separator/>
      </w:r>
    </w:p>
  </w:footnote>
  <w:footnote w:type="continuationSeparator" w:id="0">
    <w:p w:rsidR="004D7A15" w:rsidRDefault="004D7A15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A15" w:rsidRDefault="004D7A15" w:rsidP="007E20AA">
    <w:pPr>
      <w:pStyle w:val="Hlavika"/>
      <w:jc w:val="right"/>
    </w:pPr>
    <w:r>
      <w:t xml:space="preserve">Príloha č. 1 </w:t>
    </w:r>
  </w:p>
  <w:p w:rsidR="004D7A15" w:rsidRPr="007E20AA" w:rsidRDefault="004D7A15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A15" w:rsidRDefault="004D7A15" w:rsidP="007E20AA">
    <w:pPr>
      <w:pStyle w:val="Hlavika"/>
      <w:jc w:val="right"/>
    </w:pPr>
    <w:r>
      <w:t xml:space="preserve">Príloha č. 4 k SP </w:t>
    </w:r>
  </w:p>
  <w:p w:rsidR="004D7A15" w:rsidRDefault="004D7A15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4D7A15" w:rsidRDefault="004D7A15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4D7A15" w:rsidRPr="004D3CE6" w:rsidRDefault="004D7A15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4D7A15" w:rsidRPr="007E20AA" w:rsidRDefault="004D7A15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A15" w:rsidRPr="007E20AA" w:rsidRDefault="004D7A15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1D395E"/>
    <w:rsid w:val="00204529"/>
    <w:rsid w:val="002814AE"/>
    <w:rsid w:val="00291D4D"/>
    <w:rsid w:val="002C041E"/>
    <w:rsid w:val="002C51C5"/>
    <w:rsid w:val="002E13EB"/>
    <w:rsid w:val="00301D38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D7A15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8F65A7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B79C7"/>
    <w:rsid w:val="00CD66D8"/>
    <w:rsid w:val="00D13623"/>
    <w:rsid w:val="00D24379"/>
    <w:rsid w:val="00D432E5"/>
    <w:rsid w:val="00D5724E"/>
    <w:rsid w:val="00DB12F9"/>
    <w:rsid w:val="00DB6343"/>
    <w:rsid w:val="00E01EB6"/>
    <w:rsid w:val="00E16246"/>
    <w:rsid w:val="00E724EC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F82F9-922E-467F-8088-13EDB779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Michalička</cp:lastModifiedBy>
  <cp:revision>5</cp:revision>
  <cp:lastPrinted>2021-01-12T15:08:00Z</cp:lastPrinted>
  <dcterms:created xsi:type="dcterms:W3CDTF">2022-06-15T20:53:00Z</dcterms:created>
  <dcterms:modified xsi:type="dcterms:W3CDTF">2022-06-16T21:22:00Z</dcterms:modified>
</cp:coreProperties>
</file>