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Default="008630F8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DE2848" w:rsidRDefault="008E2902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72477A">
        <w:rPr>
          <w:b/>
          <w:sz w:val="28"/>
          <w:szCs w:val="28"/>
        </w:rPr>
        <w:t>2</w:t>
      </w:r>
    </w:p>
    <w:p w:rsidR="00D42EFE" w:rsidRPr="00DE2848" w:rsidRDefault="00D42EFE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DE2848">
        <w:rPr>
          <w:rFonts w:asciiTheme="minorHAnsi" w:hAnsiTheme="minorHAnsi" w:cstheme="minorHAnsi"/>
          <w:b/>
          <w:sz w:val="28"/>
          <w:szCs w:val="28"/>
        </w:rPr>
        <w:t>„</w:t>
      </w:r>
      <w:r w:rsidR="0072477A">
        <w:rPr>
          <w:rFonts w:asciiTheme="minorHAnsi" w:hAnsiTheme="minorHAnsi" w:cstheme="minorHAnsi"/>
          <w:b/>
          <w:sz w:val="28"/>
          <w:szCs w:val="28"/>
        </w:rPr>
        <w:t>Oblasť SEVER2</w:t>
      </w:r>
      <w:r w:rsidRPr="00DE2848">
        <w:rPr>
          <w:rFonts w:asciiTheme="minorHAnsi" w:hAnsiTheme="minorHAnsi" w:cstheme="minorHAnsi"/>
          <w:b/>
          <w:sz w:val="28"/>
          <w:szCs w:val="28"/>
        </w:rPr>
        <w:t>“</w:t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bookmarkStart w:id="0" w:name="_GoBack"/>
      <w:bookmarkEnd w:id="0"/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AF58DA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AF58DA" w:rsidP="00AF58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predmet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bez 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</w:tr>
      <w:tr w:rsidR="00926F01" w:rsidRPr="00B1475A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6C631A" w:rsidRDefault="00DE2848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Drvené kamenivo fr. 4/8</w:t>
            </w:r>
            <w:r w:rsidR="005A045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DE284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72477A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4 500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70" w:rsidRDefault="008C5C70" w:rsidP="00494DC2">
      <w:pPr>
        <w:spacing w:after="0" w:line="240" w:lineRule="auto"/>
      </w:pPr>
      <w:r>
        <w:separator/>
      </w:r>
    </w:p>
  </w:endnote>
  <w:end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70" w:rsidRDefault="008C5C70" w:rsidP="00494DC2">
      <w:pPr>
        <w:spacing w:after="0" w:line="240" w:lineRule="auto"/>
      </w:pPr>
      <w:r>
        <w:separator/>
      </w:r>
    </w:p>
  </w:footnote>
  <w:foot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 xml:space="preserve">Príloha č. </w:t>
    </w:r>
    <w:r w:rsidRPr="00926F01">
      <w:rPr>
        <w:rFonts w:asciiTheme="minorHAnsi" w:hAnsiTheme="minorHAnsi"/>
        <w:sz w:val="18"/>
        <w:szCs w:val="18"/>
      </w:rPr>
      <w:t>1</w:t>
    </w:r>
    <w:r w:rsidR="0072477A">
      <w:rPr>
        <w:rFonts w:asciiTheme="minorHAnsi" w:hAnsiTheme="minorHAnsi"/>
        <w:sz w:val="18"/>
        <w:szCs w:val="18"/>
      </w:rPr>
      <w:t>b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67100"/>
    <w:rsid w:val="000D0BED"/>
    <w:rsid w:val="00175678"/>
    <w:rsid w:val="00494DC2"/>
    <w:rsid w:val="005A045E"/>
    <w:rsid w:val="00610258"/>
    <w:rsid w:val="00631AAD"/>
    <w:rsid w:val="0072477A"/>
    <w:rsid w:val="00822017"/>
    <w:rsid w:val="008226D5"/>
    <w:rsid w:val="008630F8"/>
    <w:rsid w:val="008B03CD"/>
    <w:rsid w:val="008C5C70"/>
    <w:rsid w:val="008E2902"/>
    <w:rsid w:val="00926F01"/>
    <w:rsid w:val="009304CC"/>
    <w:rsid w:val="00AA6D34"/>
    <w:rsid w:val="00AC3F00"/>
    <w:rsid w:val="00AF58DA"/>
    <w:rsid w:val="00AF76DE"/>
    <w:rsid w:val="00BE57C2"/>
    <w:rsid w:val="00D42EFE"/>
    <w:rsid w:val="00DE2848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2022-06-15T08:46:00Z</dcterms:created>
  <dcterms:modified xsi:type="dcterms:W3CDTF">2022-06-15T08:46:00Z</dcterms:modified>
</cp:coreProperties>
</file>