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848" w:rsidRPr="00F82591" w:rsidRDefault="00D06848" w:rsidP="002806BC">
      <w:pPr>
        <w:pStyle w:val="Zkladntext1"/>
        <w:tabs>
          <w:tab w:val="left" w:pos="774"/>
          <w:tab w:val="left" w:pos="4866"/>
        </w:tabs>
        <w:spacing w:after="0"/>
        <w:ind w:left="76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82591">
        <w:rPr>
          <w:rFonts w:asciiTheme="minorHAnsi" w:hAnsiTheme="minorHAnsi" w:cstheme="minorHAnsi"/>
          <w:b/>
          <w:sz w:val="24"/>
          <w:szCs w:val="24"/>
        </w:rPr>
        <w:t>Otázka č.1:</w:t>
      </w:r>
    </w:p>
    <w:p w:rsidR="00D06848" w:rsidRPr="00F82591" w:rsidRDefault="00D06848" w:rsidP="002806BC">
      <w:pPr>
        <w:pStyle w:val="Zkladntext1"/>
        <w:tabs>
          <w:tab w:val="left" w:pos="774"/>
          <w:tab w:val="left" w:pos="4866"/>
        </w:tabs>
        <w:spacing w:after="0"/>
        <w:ind w:left="760"/>
        <w:jc w:val="both"/>
        <w:rPr>
          <w:rFonts w:asciiTheme="minorHAnsi" w:hAnsiTheme="minorHAnsi" w:cstheme="minorHAnsi"/>
          <w:sz w:val="24"/>
          <w:szCs w:val="24"/>
        </w:rPr>
      </w:pPr>
    </w:p>
    <w:p w:rsidR="00D06848" w:rsidRPr="00F82591" w:rsidRDefault="00D06848" w:rsidP="002806BC">
      <w:pPr>
        <w:pStyle w:val="Zkladntext1"/>
        <w:tabs>
          <w:tab w:val="left" w:pos="774"/>
          <w:tab w:val="left" w:pos="4866"/>
        </w:tabs>
        <w:spacing w:after="0"/>
        <w:ind w:left="760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V zmysle § 2 ods. 1 vyhlášky MPSVR SR č. 508/2009 Z. z., ktorou sa ustanovujú podrobnosti na zaistenie bezpečnosti a ochrany zdravia pri práci (ďalej „BOZP“) s technickými zariadeniami tlakovými, zdvíhacími, elektrickými a plynovými a ktorou sa ustanovujú technické zariadenia, ktoré sa považujú za vyhradené technické zariadenia (ďalej „vyhláška č. 508/2009 Z. z.“) sa za technické zariadenia považujú tlakové, zdvíhacie, elektrické a plynové zariadenia. Vo všeobecnosti podľa platných právnych predpisov platí, že inštaláciu, opravu a údržbu (aj profylaktickú) vyhradených technických zariadení, teda aj elektrických, môže vykonávať iba osoba na to oprávnená. Podľa Zákona č. 124/2006 Z. z. o bezpečnosti a ochrane zdravia pri práci a o zmene a doplnení niektorých zákonov, § 15 Oprávnenie na činnosť, ods. (1) Odborné prehliadky a odborné skúšky </w:t>
      </w:r>
      <w:r w:rsidRPr="00B95CD4">
        <w:rPr>
          <w:rFonts w:asciiTheme="minorHAnsi" w:hAnsiTheme="minorHAnsi" w:cstheme="minorHAnsi"/>
          <w:sz w:val="24"/>
          <w:szCs w:val="24"/>
        </w:rPr>
        <w:t>a opravy vyhradeného technického zariadenia</w:t>
      </w:r>
      <w:r w:rsidRPr="00F82591">
        <w:rPr>
          <w:rFonts w:asciiTheme="minorHAnsi" w:hAnsiTheme="minorHAnsi" w:cstheme="minorHAnsi"/>
          <w:sz w:val="24"/>
          <w:szCs w:val="24"/>
        </w:rPr>
        <w:t xml:space="preserve"> podľa právnych predpisov na zaistenie bezpečnosti a ochrany zdravia pri práci a plnenie tlakovej nádoby na dopravu plynov vrátane plnenia nádrže motorového vozidla </w:t>
      </w:r>
      <w:r w:rsidRPr="00B95CD4">
        <w:rPr>
          <w:rFonts w:asciiTheme="minorHAnsi" w:hAnsiTheme="minorHAnsi" w:cstheme="minorHAnsi"/>
          <w:sz w:val="24"/>
          <w:szCs w:val="24"/>
        </w:rPr>
        <w:t>plynom môže pre inú fyzickú osobu alebo pre inú právnickú osobu vyko</w:t>
      </w:r>
      <w:r w:rsidR="00B95CD4">
        <w:rPr>
          <w:rFonts w:asciiTheme="minorHAnsi" w:hAnsiTheme="minorHAnsi" w:cstheme="minorHAnsi"/>
          <w:sz w:val="24"/>
          <w:szCs w:val="24"/>
        </w:rPr>
        <w:t xml:space="preserve">návať len zamestnávateľ, </w:t>
      </w:r>
      <w:r w:rsidRPr="00B95CD4">
        <w:rPr>
          <w:rFonts w:asciiTheme="minorHAnsi" w:hAnsiTheme="minorHAnsi" w:cstheme="minorHAnsi"/>
          <w:sz w:val="24"/>
          <w:szCs w:val="24"/>
        </w:rPr>
        <w:t xml:space="preserve">ktorý má oprávnenie na činnosť (ďalej </w:t>
      </w:r>
      <w:proofErr w:type="spellStart"/>
      <w:r w:rsidRPr="00B95CD4">
        <w:rPr>
          <w:rFonts w:asciiTheme="minorHAnsi" w:hAnsiTheme="minorHAnsi" w:cstheme="minorHAnsi"/>
          <w:sz w:val="24"/>
          <w:szCs w:val="24"/>
        </w:rPr>
        <w:t>len</w:t>
      </w:r>
      <w:r w:rsidRPr="00F82591">
        <w:rPr>
          <w:rFonts w:asciiTheme="minorHAnsi" w:hAnsiTheme="minorHAnsi" w:cstheme="minorHAnsi"/>
          <w:sz w:val="24"/>
          <w:szCs w:val="24"/>
        </w:rPr>
        <w:t>„oprávnenie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>").</w:t>
      </w:r>
    </w:p>
    <w:p w:rsidR="00D06848" w:rsidRPr="00F82591" w:rsidRDefault="00D06848" w:rsidP="002806BC">
      <w:pPr>
        <w:pStyle w:val="Zkladntext1"/>
        <w:tabs>
          <w:tab w:val="left" w:pos="4866"/>
        </w:tabs>
        <w:spacing w:after="0"/>
        <w:ind w:left="760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Po</w:t>
      </w:r>
      <w:r w:rsidR="00B95CD4">
        <w:rPr>
          <w:rFonts w:asciiTheme="minorHAnsi" w:hAnsiTheme="minorHAnsi" w:cstheme="minorHAnsi"/>
          <w:sz w:val="24"/>
          <w:szCs w:val="24"/>
        </w:rPr>
        <w:t xml:space="preserve">žadujete od víťazného uchádzača </w:t>
      </w:r>
      <w:r w:rsidRPr="00F82591">
        <w:rPr>
          <w:rFonts w:asciiTheme="minorHAnsi" w:hAnsiTheme="minorHAnsi" w:cstheme="minorHAnsi"/>
          <w:sz w:val="24"/>
          <w:szCs w:val="24"/>
        </w:rPr>
        <w:t>bez</w:t>
      </w:r>
      <w:r w:rsidR="00B95CD4">
        <w:rPr>
          <w:rFonts w:asciiTheme="minorHAnsi" w:hAnsiTheme="minorHAnsi" w:cstheme="minorHAnsi"/>
          <w:sz w:val="24"/>
          <w:szCs w:val="24"/>
        </w:rPr>
        <w:t xml:space="preserve">prostredne po oznámení, že jeho </w:t>
      </w:r>
      <w:r w:rsidRPr="00F82591">
        <w:rPr>
          <w:rFonts w:asciiTheme="minorHAnsi" w:hAnsiTheme="minorHAnsi" w:cstheme="minorHAnsi"/>
          <w:sz w:val="24"/>
          <w:szCs w:val="24"/>
        </w:rPr>
        <w:t>ponuku</w:t>
      </w:r>
    </w:p>
    <w:p w:rsidR="00D06848" w:rsidRDefault="00D06848" w:rsidP="002806BC">
      <w:pPr>
        <w:pStyle w:val="Zkladntext1"/>
        <w:spacing w:after="0"/>
        <w:ind w:left="760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obstarávateľ prijíma, doloženie Oprávnenia na vykonávanie činností pre vyhradené technické zariadenia elektrické vydané podľa § 14 ods. 1 písm. a) a § 15 ods. 4 zákona č. 124/2006 Z. z. o bezpečnosti a ochrane zdravia pri práci a o zmene a doplnení niektorých zákonov preukazujúce, že dodávateľ disponuje odbornými a technickými prostriedkami na vykonávanie takejto činnosti?</w:t>
      </w:r>
    </w:p>
    <w:p w:rsidR="002806BC" w:rsidRPr="00F82591" w:rsidRDefault="002806BC" w:rsidP="002806BC">
      <w:pPr>
        <w:pStyle w:val="Zkladntext1"/>
        <w:spacing w:after="0"/>
        <w:ind w:left="760"/>
        <w:rPr>
          <w:rFonts w:asciiTheme="minorHAnsi" w:hAnsiTheme="minorHAnsi" w:cstheme="minorHAnsi"/>
          <w:sz w:val="24"/>
          <w:szCs w:val="24"/>
        </w:rPr>
      </w:pPr>
    </w:p>
    <w:p w:rsidR="0081367E" w:rsidRPr="00767C73" w:rsidRDefault="00D06848" w:rsidP="002806BC">
      <w:pPr>
        <w:spacing w:after="0"/>
        <w:ind w:firstLine="708"/>
        <w:rPr>
          <w:rFonts w:cstheme="minorHAnsi"/>
          <w:b/>
          <w:sz w:val="24"/>
          <w:szCs w:val="24"/>
        </w:rPr>
      </w:pPr>
      <w:r w:rsidRPr="00767C73">
        <w:rPr>
          <w:rFonts w:cstheme="minorHAnsi"/>
          <w:b/>
          <w:sz w:val="24"/>
          <w:szCs w:val="24"/>
        </w:rPr>
        <w:t>Odpoveď č. 1:</w:t>
      </w:r>
    </w:p>
    <w:p w:rsidR="00D06848" w:rsidRPr="00F82591" w:rsidRDefault="00D06848" w:rsidP="002806BC">
      <w:pPr>
        <w:spacing w:after="0"/>
        <w:ind w:firstLine="708"/>
        <w:rPr>
          <w:rFonts w:cstheme="minorHAnsi"/>
          <w:sz w:val="24"/>
          <w:szCs w:val="24"/>
        </w:rPr>
      </w:pPr>
      <w:r w:rsidRPr="00F82591">
        <w:rPr>
          <w:rFonts w:cstheme="minorHAnsi"/>
          <w:sz w:val="24"/>
          <w:szCs w:val="24"/>
        </w:rPr>
        <w:t>Nepožadujeme</w:t>
      </w:r>
      <w:r w:rsidR="00B95CD4">
        <w:rPr>
          <w:rFonts w:cstheme="minorHAnsi"/>
          <w:sz w:val="24"/>
          <w:szCs w:val="24"/>
        </w:rPr>
        <w:t>.</w:t>
      </w:r>
    </w:p>
    <w:p w:rsidR="002806BC" w:rsidRDefault="002806BC" w:rsidP="002806BC">
      <w:pPr>
        <w:spacing w:after="0"/>
        <w:ind w:firstLine="708"/>
        <w:rPr>
          <w:rFonts w:cstheme="minorHAnsi"/>
          <w:b/>
          <w:sz w:val="24"/>
          <w:szCs w:val="24"/>
        </w:rPr>
      </w:pPr>
    </w:p>
    <w:p w:rsidR="00317A76" w:rsidRPr="00767C73" w:rsidRDefault="000B3CB6" w:rsidP="002806BC">
      <w:pPr>
        <w:spacing w:after="0"/>
        <w:ind w:firstLine="708"/>
        <w:rPr>
          <w:rFonts w:cstheme="minorHAnsi"/>
          <w:b/>
          <w:sz w:val="24"/>
          <w:szCs w:val="24"/>
        </w:rPr>
      </w:pPr>
      <w:r w:rsidRPr="00767C73">
        <w:rPr>
          <w:rFonts w:cstheme="minorHAnsi"/>
          <w:b/>
          <w:sz w:val="24"/>
          <w:szCs w:val="24"/>
        </w:rPr>
        <w:t>Otázka č. 2:</w:t>
      </w:r>
    </w:p>
    <w:p w:rsidR="00317A76" w:rsidRPr="00F82591" w:rsidRDefault="00A608F3" w:rsidP="002806BC">
      <w:pPr>
        <w:spacing w:after="0"/>
        <w:ind w:left="708"/>
        <w:rPr>
          <w:rFonts w:cstheme="minorHAnsi"/>
          <w:sz w:val="24"/>
          <w:szCs w:val="24"/>
        </w:rPr>
      </w:pPr>
      <w:r w:rsidRPr="00F82591">
        <w:rPr>
          <w:rFonts w:cstheme="minorHAnsi"/>
          <w:sz w:val="24"/>
          <w:szCs w:val="24"/>
        </w:rPr>
        <w:t xml:space="preserve">Na elektrické stroje, prístroje, zariadenia ... sa vzťahuje Smernica Európskeho parlamentu a Rady 2014/35/EU transponovaná do Nariadenia vlády SR 148/2016 </w:t>
      </w:r>
      <w:proofErr w:type="spellStart"/>
      <w:r w:rsidRPr="00F82591">
        <w:rPr>
          <w:rFonts w:cstheme="minorHAnsi"/>
          <w:sz w:val="24"/>
          <w:szCs w:val="24"/>
        </w:rPr>
        <w:t>Z.z</w:t>
      </w:r>
      <w:proofErr w:type="spellEnd"/>
      <w:r w:rsidRPr="00F82591">
        <w:rPr>
          <w:rFonts w:cstheme="minorHAnsi"/>
          <w:sz w:val="24"/>
          <w:szCs w:val="24"/>
        </w:rPr>
        <w:t xml:space="preserve">. o sprístupňovaní elektrického zariadenia určeného na používanie v rámci určitých limitov napätia na trhu a smernica Európskeho parlamentu, ako aj Smernica Európskeho parlamentu a Rady 2014/30/EU transponovaná do Nariadenia vlády SR 127/2016 </w:t>
      </w:r>
      <w:proofErr w:type="spellStart"/>
      <w:r w:rsidRPr="00F82591">
        <w:rPr>
          <w:rFonts w:cstheme="minorHAnsi"/>
          <w:sz w:val="24"/>
          <w:szCs w:val="24"/>
        </w:rPr>
        <w:t>Z.z</w:t>
      </w:r>
      <w:proofErr w:type="spellEnd"/>
      <w:r w:rsidRPr="00F82591">
        <w:rPr>
          <w:rFonts w:cstheme="minorHAnsi"/>
          <w:sz w:val="24"/>
          <w:szCs w:val="24"/>
        </w:rPr>
        <w:t>. o elektromagnetickej kompatibilite. Podľa Zákona 343/2015 Z. z. o verejnom obstarávaní a o zmene a doplnení niektorých zákonov, § 34 Technická spôsobilosť alebo odborná spôsobilosť, ods. (1), písm. m) ak ide o tovar, ktorý sa má dodať, bod 2. sa preukazuje technická spôsobilosť dodávaného tovaru certifikátmi alebo potvrdeniami s jasne identifikovanými odkazmi na</w:t>
      </w:r>
      <w:r w:rsidRPr="00F82591">
        <w:rPr>
          <w:rFonts w:cstheme="minorHAnsi"/>
          <w:sz w:val="24"/>
          <w:szCs w:val="24"/>
        </w:rPr>
        <w:t xml:space="preserve"> </w:t>
      </w:r>
      <w:r w:rsidR="00317A76" w:rsidRPr="00F82591">
        <w:rPr>
          <w:rFonts w:cstheme="minorHAnsi"/>
          <w:sz w:val="24"/>
          <w:szCs w:val="24"/>
        </w:rPr>
        <w:t xml:space="preserve">technické špecifikácie alebo technické normy vzťahujúce sa na tovar, vydanými orgánmi kontroly kvality alebo určenými orgánmi s právomocou posudzovať </w:t>
      </w:r>
      <w:proofErr w:type="spellStart"/>
      <w:r w:rsidR="00317A76" w:rsidRPr="00F82591">
        <w:rPr>
          <w:rFonts w:cstheme="minorHAnsi"/>
          <w:sz w:val="24"/>
          <w:szCs w:val="24"/>
        </w:rPr>
        <w:t>zhodu.Na</w:t>
      </w:r>
      <w:proofErr w:type="spellEnd"/>
      <w:r w:rsidR="00317A76" w:rsidRPr="00F82591">
        <w:rPr>
          <w:rFonts w:cstheme="minorHAnsi"/>
          <w:sz w:val="24"/>
          <w:szCs w:val="24"/>
        </w:rPr>
        <w:t xml:space="preserve"> základe vyššie uvedeného požadujete od víťazného uchádzača bezprostredne po oznámení, že jeho ponuku obstarávateľ prijíma, doloženie certifikátu, vydaného príslušným certifikačným orgánom, dokladujúcim, že dodávané zariadenia sú v zhode s príslušnými technickými </w:t>
      </w:r>
      <w:r w:rsidR="00317A76" w:rsidRPr="00F82591">
        <w:rPr>
          <w:rFonts w:cstheme="minorHAnsi"/>
          <w:sz w:val="24"/>
          <w:szCs w:val="24"/>
        </w:rPr>
        <w:lastRenderedPageBreak/>
        <w:t>normami, spĺňajú uvedené Smernice EU a Nariadenia vlády SR a môžu byť uvedené na trhu?</w:t>
      </w:r>
    </w:p>
    <w:p w:rsidR="002806BC" w:rsidRDefault="002806BC" w:rsidP="002806BC">
      <w:pPr>
        <w:spacing w:after="0"/>
        <w:ind w:firstLine="708"/>
        <w:rPr>
          <w:rFonts w:cstheme="minorHAnsi"/>
          <w:b/>
          <w:sz w:val="24"/>
          <w:szCs w:val="24"/>
        </w:rPr>
      </w:pPr>
    </w:p>
    <w:p w:rsidR="00767C73" w:rsidRPr="00767C73" w:rsidRDefault="00317A76" w:rsidP="002806BC">
      <w:pPr>
        <w:spacing w:after="0"/>
        <w:ind w:firstLine="708"/>
        <w:rPr>
          <w:rFonts w:cstheme="minorHAnsi"/>
          <w:b/>
          <w:sz w:val="24"/>
          <w:szCs w:val="24"/>
        </w:rPr>
      </w:pPr>
      <w:r w:rsidRPr="00767C73">
        <w:rPr>
          <w:rFonts w:cstheme="minorHAnsi"/>
          <w:b/>
          <w:sz w:val="24"/>
          <w:szCs w:val="24"/>
        </w:rPr>
        <w:t>Odpoveď č.2:</w:t>
      </w:r>
    </w:p>
    <w:p w:rsidR="00317A76" w:rsidRPr="00F82591" w:rsidRDefault="00317A76" w:rsidP="002806BC">
      <w:pPr>
        <w:spacing w:after="0"/>
        <w:ind w:firstLine="708"/>
        <w:rPr>
          <w:rFonts w:cstheme="minorHAnsi"/>
          <w:sz w:val="24"/>
          <w:szCs w:val="24"/>
        </w:rPr>
      </w:pPr>
      <w:r w:rsidRPr="00F82591">
        <w:rPr>
          <w:rFonts w:cstheme="minorHAnsi"/>
          <w:sz w:val="24"/>
          <w:szCs w:val="24"/>
        </w:rPr>
        <w:t>Nepožadujeme</w:t>
      </w:r>
      <w:r w:rsidR="00B95CD4">
        <w:rPr>
          <w:rFonts w:cstheme="minorHAnsi"/>
          <w:sz w:val="24"/>
          <w:szCs w:val="24"/>
        </w:rPr>
        <w:t>.</w:t>
      </w:r>
    </w:p>
    <w:p w:rsidR="002806BC" w:rsidRDefault="002806BC" w:rsidP="002806BC">
      <w:pPr>
        <w:spacing w:after="0"/>
        <w:ind w:firstLine="708"/>
        <w:rPr>
          <w:rFonts w:cstheme="minorHAnsi"/>
          <w:b/>
          <w:sz w:val="24"/>
          <w:szCs w:val="24"/>
        </w:rPr>
      </w:pPr>
    </w:p>
    <w:p w:rsidR="00317A76" w:rsidRPr="00767C73" w:rsidRDefault="00317A76" w:rsidP="002806BC">
      <w:pPr>
        <w:spacing w:after="0"/>
        <w:ind w:firstLine="708"/>
        <w:rPr>
          <w:rFonts w:cstheme="minorHAnsi"/>
          <w:b/>
          <w:sz w:val="24"/>
          <w:szCs w:val="24"/>
        </w:rPr>
      </w:pPr>
      <w:r w:rsidRPr="00767C73">
        <w:rPr>
          <w:rFonts w:cstheme="minorHAnsi"/>
          <w:b/>
          <w:sz w:val="24"/>
          <w:szCs w:val="24"/>
        </w:rPr>
        <w:t>Otázka</w:t>
      </w:r>
      <w:r w:rsidR="00767C73" w:rsidRPr="00767C73">
        <w:rPr>
          <w:rFonts w:cstheme="minorHAnsi"/>
          <w:b/>
          <w:sz w:val="24"/>
          <w:szCs w:val="24"/>
        </w:rPr>
        <w:t xml:space="preserve"> </w:t>
      </w:r>
      <w:r w:rsidRPr="00767C73">
        <w:rPr>
          <w:rFonts w:cstheme="minorHAnsi"/>
          <w:b/>
          <w:sz w:val="24"/>
          <w:szCs w:val="24"/>
        </w:rPr>
        <w:t>č.3:</w:t>
      </w:r>
    </w:p>
    <w:p w:rsidR="00317A76" w:rsidRPr="00F82591" w:rsidRDefault="00317A76" w:rsidP="002806BC">
      <w:pPr>
        <w:pStyle w:val="Zkladntext1"/>
        <w:tabs>
          <w:tab w:val="left" w:pos="298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V predmete zákazky okrem iného požadujete počas záručnej doby 24 mesiacov aj telefonickú podporu v pracovných dňoch v čase od 8:00 - 17:00 s profylaktikou 1 x do roka. Uvedené požiadavky ale patria do kategórie pravidelne poskytovaných služieb s kódom 72250000-2 Služby týkajúce sa podpory systému.</w:t>
      </w:r>
    </w:p>
    <w:p w:rsidR="00317A76" w:rsidRPr="00F82591" w:rsidRDefault="00317A76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Podľa Zákona 343/2015 Z. z. o verejnom obstarávaní a o zmene a doplnení niektorých zákonov, § 44 Kritériá na vyhodnotenie ponúk, ods. (6),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pism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>. a), bod 3., náklady na údržbu počas životného cyklu výrobku znáša verejný obstarávateľ.</w:t>
      </w:r>
    </w:p>
    <w:p w:rsidR="00317A76" w:rsidRPr="00F82591" w:rsidRDefault="00317A76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Pri súčasnom, značne negatívnom vývoji cien PHM, ako aj vysokému nárastu inflácie, je takmer nemožné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predikovať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náklady spojené s poskytnutím tejto služby na obdobie najbližších 24 mesiacov. Preto je dobrým obchodným zvykom na poskytnutie týchto služieb uzatvoriť samostatnú zmluvu na poskytovanie týchto servisných služieb,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Service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Level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Agreement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(SLA), ktorá vyvážene pre dodávateľa aj obstarávateľa zohľadňuje tieto vplyvy.</w:t>
      </w:r>
    </w:p>
    <w:p w:rsidR="00317A76" w:rsidRPr="00F82591" w:rsidRDefault="00317A76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Podľa Zákona 343/2015 Z. z. o verejnom obstarávaní a o zmene a doplnení niektorých zákonov, § 44 Kritériá na vyhodnotenie ponúk, ods. (7) Ak verejný obstarávateľ alebo obstarávateľ použije na vyhodnotenie ponúk náklady počas životného cyklu výrobku, stavby alebo služby, v súťažných podkladoch určí metódu, ktorú použije na výpočet týchto nákladov a súčasne určí údaje, ktoré je uchádzač povinný poskytnúť na ich výpočet.</w:t>
      </w:r>
    </w:p>
    <w:p w:rsidR="00317A76" w:rsidRPr="00F82591" w:rsidRDefault="00317A76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Na základe uvedeného, viete určiť metódu na výpočet týchto nákladov, alebo poskytnutie požadovaných služieb bude riešené samostatnou servisnou zmluvou?</w:t>
      </w:r>
    </w:p>
    <w:p w:rsidR="002806BC" w:rsidRDefault="002806BC" w:rsidP="002806BC">
      <w:pPr>
        <w:spacing w:after="0"/>
        <w:ind w:firstLine="708"/>
        <w:rPr>
          <w:rFonts w:cstheme="minorHAnsi"/>
          <w:b/>
          <w:sz w:val="24"/>
          <w:szCs w:val="24"/>
        </w:rPr>
      </w:pPr>
    </w:p>
    <w:p w:rsidR="00317A76" w:rsidRPr="00B95CD4" w:rsidRDefault="00317A76" w:rsidP="002806BC">
      <w:pPr>
        <w:spacing w:after="0"/>
        <w:ind w:firstLine="708"/>
        <w:rPr>
          <w:rFonts w:cstheme="minorHAnsi"/>
          <w:b/>
          <w:sz w:val="24"/>
          <w:szCs w:val="24"/>
        </w:rPr>
      </w:pPr>
      <w:r w:rsidRPr="00B95CD4">
        <w:rPr>
          <w:rFonts w:cstheme="minorHAnsi"/>
          <w:b/>
          <w:sz w:val="24"/>
          <w:szCs w:val="24"/>
        </w:rPr>
        <w:t>Odpoveď č.3:</w:t>
      </w:r>
    </w:p>
    <w:p w:rsidR="00317A76" w:rsidRPr="00F82591" w:rsidRDefault="00317A76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Cenová ponuka na profylaktiku je určená podľa aktuálnych cien PHM.  V zmluve bude nadväznosť na reálnu zmenu cien PHM a inflácie.</w:t>
      </w:r>
    </w:p>
    <w:p w:rsidR="002806BC" w:rsidRDefault="002806BC" w:rsidP="002806BC">
      <w:pPr>
        <w:pStyle w:val="Zkladntext1"/>
        <w:spacing w:after="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2154" w:rsidRPr="00B95CD4" w:rsidRDefault="00CB2154" w:rsidP="002806BC">
      <w:pPr>
        <w:pStyle w:val="Zkladntext1"/>
        <w:spacing w:after="0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Otázka č.4:</w:t>
      </w:r>
    </w:p>
    <w:p w:rsidR="00CB2154" w:rsidRPr="00F82591" w:rsidRDefault="00B95CD4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Na účet, </w:t>
      </w:r>
      <w:r w:rsidR="00CB2154" w:rsidRPr="00F82591">
        <w:rPr>
          <w:rFonts w:asciiTheme="minorHAnsi" w:hAnsiTheme="minorHAnsi" w:cstheme="minorHAnsi"/>
          <w:sz w:val="24"/>
          <w:szCs w:val="24"/>
        </w:rPr>
        <w:t>v ktorej banke / bankách budú môcť byť smerované bezhotovostné transakcie?</w:t>
      </w:r>
    </w:p>
    <w:p w:rsidR="002806BC" w:rsidRDefault="002806BC" w:rsidP="002806BC">
      <w:pPr>
        <w:pStyle w:val="Zkladntext1"/>
        <w:spacing w:after="0"/>
        <w:ind w:left="598" w:firstLine="1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2154" w:rsidRPr="00B95CD4" w:rsidRDefault="00CB2154" w:rsidP="002806BC">
      <w:pPr>
        <w:pStyle w:val="Zkladntext1"/>
        <w:spacing w:after="0"/>
        <w:ind w:left="598" w:firstLine="1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Odpoveď č.4:</w:t>
      </w:r>
    </w:p>
    <w:p w:rsidR="00CB2154" w:rsidRPr="00F82591" w:rsidRDefault="00917C1D" w:rsidP="002806BC">
      <w:pPr>
        <w:pStyle w:val="Zkladntext1"/>
        <w:tabs>
          <w:tab w:val="left" w:pos="294"/>
        </w:tabs>
        <w:spacing w:after="0"/>
        <w:ind w:left="298" w:firstLine="294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B2154" w:rsidRPr="00F82591">
        <w:rPr>
          <w:rFonts w:asciiTheme="minorHAnsi" w:hAnsiTheme="minorHAnsi" w:cstheme="minorHAnsi"/>
          <w:sz w:val="24"/>
          <w:szCs w:val="24"/>
        </w:rPr>
        <w:t>Banka sa vyberie v spolupráci s dodávateľom podľa výšky poplatkov.</w:t>
      </w:r>
    </w:p>
    <w:p w:rsidR="002806BC" w:rsidRDefault="002806BC" w:rsidP="002806BC">
      <w:pPr>
        <w:pStyle w:val="Zkladntext1"/>
        <w:spacing w:after="0"/>
        <w:ind w:left="598" w:firstLine="11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2154" w:rsidRPr="00B95CD4" w:rsidRDefault="00CB2154" w:rsidP="002806BC">
      <w:pPr>
        <w:pStyle w:val="Zkladntext1"/>
        <w:spacing w:after="0"/>
        <w:ind w:left="598" w:firstLine="11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Otázka č.5:</w:t>
      </w:r>
    </w:p>
    <w:p w:rsidR="00CB2154" w:rsidRPr="00F82591" w:rsidRDefault="00CB2154" w:rsidP="002806BC">
      <w:pPr>
        <w:pStyle w:val="Zkladntext1"/>
        <w:tabs>
          <w:tab w:val="left" w:pos="298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Súčasťou dodávky kioskov majú byť aj zariadenia pre bezhotovostné platby - tzv. POS terminály, certifikované v bankových systémoch ako bez</w:t>
      </w:r>
      <w:r w:rsidR="00917C1D">
        <w:rPr>
          <w:rFonts w:asciiTheme="minorHAnsi" w:hAnsiTheme="minorHAnsi" w:cstheme="minorHAnsi"/>
          <w:sz w:val="24"/>
          <w:szCs w:val="24"/>
        </w:rPr>
        <w:t xml:space="preserve"> </w:t>
      </w:r>
      <w:r w:rsidRPr="00F82591">
        <w:rPr>
          <w:rFonts w:asciiTheme="minorHAnsi" w:hAnsiTheme="minorHAnsi" w:cstheme="minorHAnsi"/>
          <w:sz w:val="24"/>
          <w:szCs w:val="24"/>
        </w:rPr>
        <w:t xml:space="preserve">obslužné zariadenia určené pre zabudovanie do samoobslužných zariadení, alebo tieto zariadenia dodá obstarávateľ prostredníctvom vybranej banky ešte pred dodaním samotných zariadení, aby ich bolo možné do kioskov zabudovať a otestovať SW komunikáciu so </w:t>
      </w:r>
      <w:r w:rsidRPr="00F82591">
        <w:rPr>
          <w:rFonts w:asciiTheme="minorHAnsi" w:hAnsiTheme="minorHAnsi" w:cstheme="minorHAnsi"/>
          <w:sz w:val="24"/>
          <w:szCs w:val="24"/>
        </w:rPr>
        <w:lastRenderedPageBreak/>
        <w:t>systémom kioskov?</w:t>
      </w:r>
    </w:p>
    <w:p w:rsidR="002806BC" w:rsidRDefault="00B95CD4" w:rsidP="002806BC">
      <w:pPr>
        <w:pStyle w:val="Zkladntext1"/>
        <w:tabs>
          <w:tab w:val="left" w:pos="298"/>
        </w:tabs>
        <w:spacing w:after="0"/>
        <w:ind w:left="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CB2154" w:rsidRPr="00B95CD4" w:rsidRDefault="002806BC" w:rsidP="002806BC">
      <w:pPr>
        <w:pStyle w:val="Zkladntext1"/>
        <w:tabs>
          <w:tab w:val="left" w:pos="298"/>
        </w:tabs>
        <w:spacing w:after="0"/>
        <w:ind w:left="2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Odpoveď</w:t>
      </w:r>
      <w:r w:rsidR="0070626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č.5:</w:t>
      </w:r>
    </w:p>
    <w:p w:rsidR="00CB2154" w:rsidRPr="00F82591" w:rsidRDefault="00F82591" w:rsidP="002806BC">
      <w:pPr>
        <w:pStyle w:val="Zkladntext1"/>
        <w:tabs>
          <w:tab w:val="left" w:pos="29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B95CD4">
        <w:rPr>
          <w:rFonts w:asciiTheme="minorHAnsi" w:hAnsiTheme="minorHAnsi" w:cstheme="minorHAnsi"/>
          <w:sz w:val="24"/>
          <w:szCs w:val="24"/>
        </w:rPr>
        <w:tab/>
      </w:r>
      <w:r w:rsidR="00CB2154" w:rsidRPr="00F82591">
        <w:rPr>
          <w:rFonts w:asciiTheme="minorHAnsi" w:hAnsiTheme="minorHAnsi" w:cstheme="minorHAnsi"/>
          <w:sz w:val="24"/>
          <w:szCs w:val="24"/>
        </w:rPr>
        <w:t xml:space="preserve">POS terminály nie sú súčasťou ponuky. </w:t>
      </w:r>
    </w:p>
    <w:p w:rsidR="002806BC" w:rsidRDefault="00B95CD4" w:rsidP="002806BC">
      <w:pPr>
        <w:pStyle w:val="Zkladntext1"/>
        <w:tabs>
          <w:tab w:val="left" w:pos="298"/>
        </w:tabs>
        <w:spacing w:after="0"/>
        <w:ind w:left="2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</w:p>
    <w:p w:rsidR="00CB2154" w:rsidRPr="00B95CD4" w:rsidRDefault="002806BC" w:rsidP="002806BC">
      <w:pPr>
        <w:pStyle w:val="Zkladntext1"/>
        <w:tabs>
          <w:tab w:val="left" w:pos="298"/>
        </w:tabs>
        <w:spacing w:after="0"/>
        <w:ind w:left="2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Otázka</w:t>
      </w:r>
      <w:r w:rsidR="00B95CD4" w:rsidRP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č.6:</w:t>
      </w:r>
    </w:p>
    <w:p w:rsidR="00CB2154" w:rsidRPr="00F82591" w:rsidRDefault="00CB2154" w:rsidP="002806BC">
      <w:pPr>
        <w:pStyle w:val="Zkladntext1"/>
        <w:tabs>
          <w:tab w:val="left" w:pos="294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Požadujete, aby zásobníky pre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vydávač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mincí a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vydávač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bankoviek boli priebežne dopĺňané vloženými mincami a bankovkami od klientov zariadenia, alebo postačuje, aby tieto zásobníky boli pravidelne dopĺňané obsluhou?</w:t>
      </w:r>
    </w:p>
    <w:p w:rsidR="002806BC" w:rsidRDefault="00B95CD4" w:rsidP="002806BC">
      <w:pPr>
        <w:pStyle w:val="Zkladntext1"/>
        <w:tabs>
          <w:tab w:val="left" w:pos="294"/>
        </w:tabs>
        <w:spacing w:after="0"/>
        <w:ind w:left="2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CB2154" w:rsidRPr="00B95CD4" w:rsidRDefault="002806BC" w:rsidP="002806BC">
      <w:pPr>
        <w:pStyle w:val="Zkladntext1"/>
        <w:tabs>
          <w:tab w:val="left" w:pos="294"/>
        </w:tabs>
        <w:spacing w:after="0"/>
        <w:ind w:left="2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Odpoveď</w:t>
      </w:r>
      <w:r w:rsid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č.6:</w:t>
      </w:r>
    </w:p>
    <w:p w:rsidR="00CB2154" w:rsidRPr="00F82591" w:rsidRDefault="00917C1D" w:rsidP="002806BC">
      <w:pPr>
        <w:pStyle w:val="Zkladntext1"/>
        <w:tabs>
          <w:tab w:val="left" w:pos="294"/>
          <w:tab w:val="left" w:pos="2079"/>
        </w:tabs>
        <w:spacing w:after="0"/>
        <w:ind w:left="59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CB2154" w:rsidRPr="00F82591">
        <w:rPr>
          <w:rFonts w:asciiTheme="minorHAnsi" w:hAnsiTheme="minorHAnsi" w:cstheme="minorHAnsi"/>
          <w:sz w:val="24"/>
          <w:szCs w:val="24"/>
        </w:rPr>
        <w:t>Nepožadujeme priebežné dopĺňanie zásobníkov.</w:t>
      </w:r>
    </w:p>
    <w:p w:rsidR="002806BC" w:rsidRDefault="00917C1D" w:rsidP="002806BC">
      <w:pPr>
        <w:pStyle w:val="Zkladntext1"/>
        <w:tabs>
          <w:tab w:val="left" w:pos="294"/>
          <w:tab w:val="left" w:pos="2079"/>
        </w:tabs>
        <w:spacing w:after="0"/>
        <w:ind w:left="5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CB2154" w:rsidRPr="00B95CD4" w:rsidRDefault="002806BC" w:rsidP="002806BC">
      <w:pPr>
        <w:pStyle w:val="Zkladntext1"/>
        <w:tabs>
          <w:tab w:val="left" w:pos="294"/>
          <w:tab w:val="left" w:pos="2079"/>
        </w:tabs>
        <w:spacing w:after="0"/>
        <w:ind w:left="59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</w:t>
      </w:r>
      <w:r w:rsidR="00CB2154" w:rsidRPr="00B95CD4">
        <w:rPr>
          <w:rFonts w:asciiTheme="minorHAnsi" w:hAnsiTheme="minorHAnsi" w:cstheme="minorHAnsi"/>
          <w:b/>
          <w:sz w:val="24"/>
          <w:szCs w:val="24"/>
        </w:rPr>
        <w:t>Otázka č.7:</w:t>
      </w:r>
    </w:p>
    <w:p w:rsidR="00CB2154" w:rsidRPr="00F82591" w:rsidRDefault="00CB2154" w:rsidP="002806BC">
      <w:pPr>
        <w:pStyle w:val="Zkladntext1"/>
        <w:tabs>
          <w:tab w:val="left" w:pos="294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Aký režim komunikácie kiosku s nadradeným informačným systémom mestskej časti preferujete?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Off-line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>, alebo on-line? Spôsob komunikácie určuje možnosť platby tzv. predpisu (klient sčíta 2D kód na zariadení a zo systému dostane informáciu o platbe, ktorá sa po realizácii zapíše do systému). Platba predpisu je možná len v on-line systéme.</w:t>
      </w:r>
    </w:p>
    <w:p w:rsidR="00CB2154" w:rsidRPr="00F82591" w:rsidRDefault="00CB2154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Pri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off-line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 xml:space="preserve"> komunikácii sú údaje o uskutočnených platbách na kiosku ukladané do databázy a nadriadený informačný systém si tieto údaje môže v dávkach preberať buď z databázy, alebo prostredníctvom dohodnutého API rozhrania.</w:t>
      </w:r>
    </w:p>
    <w:p w:rsidR="00CB2154" w:rsidRPr="00F82591" w:rsidRDefault="00CB2154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Pri on-line komunikácii sa vyžaduje API rozhranie na strane nadradeného informačného systému, prostredníctvom ktorého sa údaje o požadovanej platbe overia v nadradenom informačnom systéme a po úhrade sa údaje o úhrade prenesú do nadradeného informačného systému.</w:t>
      </w: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Default="00CB2154" w:rsidP="002806BC">
      <w:pPr>
        <w:pStyle w:val="Zkladntext1"/>
        <w:spacing w:after="0"/>
        <w:ind w:left="300" w:firstLine="4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Odpoveď č.7:</w:t>
      </w:r>
    </w:p>
    <w:p w:rsidR="00CB2154" w:rsidRPr="00F82591" w:rsidRDefault="00CB2154" w:rsidP="00A6329A">
      <w:pPr>
        <w:pStyle w:val="Zkladntext1"/>
        <w:spacing w:after="0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Požadujeme podporu oboch spôsobov komunikácie.</w:t>
      </w: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Default="00CB2154" w:rsidP="002806BC">
      <w:pPr>
        <w:pStyle w:val="Zkladntext1"/>
        <w:spacing w:after="0"/>
        <w:ind w:left="300" w:firstLine="4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Otázka</w:t>
      </w:r>
      <w:r w:rsidR="00B95CD4" w:rsidRP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5CD4">
        <w:rPr>
          <w:rFonts w:asciiTheme="minorHAnsi" w:hAnsiTheme="minorHAnsi" w:cstheme="minorHAnsi"/>
          <w:b/>
          <w:sz w:val="24"/>
          <w:szCs w:val="24"/>
        </w:rPr>
        <w:t>č.8:</w:t>
      </w:r>
    </w:p>
    <w:p w:rsidR="00CB2154" w:rsidRPr="00F82591" w:rsidRDefault="00CB2154" w:rsidP="00A6329A">
      <w:pPr>
        <w:pStyle w:val="Zkladntext1"/>
        <w:tabs>
          <w:tab w:val="left" w:pos="297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Aby sa predišlo zámernému rozmieňaniu bankoviek vyšších nominálnych hodnôt a tým pádom aj nadmernej spotrebe mincí a bankoviek uložených v zásobníkoch na vydávanie, požadujete aby systém v procese platenia podporoval dynamicky podmienené akceptovanie bankoviek vyšších nominálnych hodnôt tak, aby prípadný výdavok nepresiahol preddefinovaný limit? Napr. platba 2,50 € stoeurovou bankovkou.</w:t>
      </w:r>
    </w:p>
    <w:p w:rsidR="00A6329A" w:rsidRDefault="00A6329A" w:rsidP="002806BC">
      <w:pPr>
        <w:pStyle w:val="Zkladntext1"/>
        <w:spacing w:after="0"/>
        <w:ind w:left="300" w:firstLine="4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CB2154" w:rsidRPr="00B95CD4" w:rsidRDefault="00CB2154" w:rsidP="002806BC">
      <w:pPr>
        <w:pStyle w:val="Zkladntext1"/>
        <w:spacing w:after="0"/>
        <w:ind w:left="300" w:firstLine="4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Odpoveď</w:t>
      </w:r>
      <w:r w:rsidR="00B95CD4" w:rsidRP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5CD4">
        <w:rPr>
          <w:rFonts w:asciiTheme="minorHAnsi" w:hAnsiTheme="minorHAnsi" w:cstheme="minorHAnsi"/>
          <w:b/>
          <w:sz w:val="24"/>
          <w:szCs w:val="24"/>
        </w:rPr>
        <w:t>č.8:</w:t>
      </w:r>
    </w:p>
    <w:p w:rsidR="00CB2154" w:rsidRPr="00F82591" w:rsidRDefault="00B95CD4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CB2154" w:rsidRPr="00F82591">
        <w:rPr>
          <w:rFonts w:asciiTheme="minorHAnsi" w:hAnsiTheme="minorHAnsi" w:cstheme="minorHAnsi"/>
          <w:sz w:val="24"/>
          <w:szCs w:val="24"/>
        </w:rPr>
        <w:t>Áno požadujeme limitovanie výšky prijatej sumy podľa hodnoty poplatku.</w:t>
      </w: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Default="00CB2154" w:rsidP="002806BC">
      <w:pPr>
        <w:pStyle w:val="Zkladntext1"/>
        <w:spacing w:after="0"/>
        <w:ind w:left="300" w:firstLine="4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t>Otázka č.9:</w:t>
      </w:r>
    </w:p>
    <w:p w:rsidR="00CB2154" w:rsidRPr="00F82591" w:rsidRDefault="00CB2154" w:rsidP="002806BC">
      <w:pPr>
        <w:pStyle w:val="Zkladntext1"/>
        <w:tabs>
          <w:tab w:val="left" w:pos="297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Zariadenia okrem platieb na základe platobných výmerov budú slúžiť aj na pevne definované platby zo zoznamu, ako sú napríklad správne poplatky v zmysle Zákona o správnych poplatkoch? Budú zariadenia zapojené do systému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eKolok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>? Ak nie, kto bude administrátorom stromu poplatkov, tzn. aká hierarchia a úroveň prístupov má byť do systému?</w:t>
      </w:r>
    </w:p>
    <w:p w:rsidR="00CB2154" w:rsidRDefault="00CB2154" w:rsidP="002806BC">
      <w:pPr>
        <w:pStyle w:val="Zkladntext1"/>
        <w:spacing w:after="0"/>
        <w:ind w:left="70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B95CD4">
        <w:rPr>
          <w:rFonts w:asciiTheme="minorHAnsi" w:hAnsiTheme="minorHAnsi" w:cstheme="minorHAnsi"/>
          <w:b/>
          <w:sz w:val="24"/>
          <w:szCs w:val="24"/>
        </w:rPr>
        <w:lastRenderedPageBreak/>
        <w:t>Odpoveď</w:t>
      </w:r>
      <w:r w:rsidR="00E358B5" w:rsidRP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B95CD4">
        <w:rPr>
          <w:rFonts w:asciiTheme="minorHAnsi" w:hAnsiTheme="minorHAnsi" w:cstheme="minorHAnsi"/>
          <w:b/>
          <w:sz w:val="24"/>
          <w:szCs w:val="24"/>
        </w:rPr>
        <w:t>č.9:</w:t>
      </w:r>
    </w:p>
    <w:p w:rsidR="00CB2154" w:rsidRPr="00F82591" w:rsidRDefault="00CB2154" w:rsidP="002806BC">
      <w:pPr>
        <w:pStyle w:val="Zkladntext1"/>
        <w:tabs>
          <w:tab w:val="left" w:pos="297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 xml:space="preserve">Áno občan bude môcť platiť zo zoznamu platieb. Systém nie je zapojený do systému </w:t>
      </w:r>
      <w:proofErr w:type="spellStart"/>
      <w:r w:rsidRPr="00F82591">
        <w:rPr>
          <w:rFonts w:asciiTheme="minorHAnsi" w:hAnsiTheme="minorHAnsi" w:cstheme="minorHAnsi"/>
          <w:sz w:val="24"/>
          <w:szCs w:val="24"/>
        </w:rPr>
        <w:t>eKolok</w:t>
      </w:r>
      <w:proofErr w:type="spellEnd"/>
      <w:r w:rsidRPr="00F82591">
        <w:rPr>
          <w:rFonts w:asciiTheme="minorHAnsi" w:hAnsiTheme="minorHAnsi" w:cstheme="minorHAnsi"/>
          <w:sz w:val="24"/>
          <w:szCs w:val="24"/>
        </w:rPr>
        <w:t>. Administrátorom stromu bude objednávateľ.</w:t>
      </w:r>
    </w:p>
    <w:p w:rsidR="00A6329A" w:rsidRDefault="00917C1D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29588E" w:rsidRPr="00B95CD4" w:rsidRDefault="00A6329A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r w:rsidR="0029588E" w:rsidRPr="00B95CD4">
        <w:rPr>
          <w:rFonts w:asciiTheme="minorHAnsi" w:hAnsiTheme="minorHAnsi" w:cstheme="minorHAnsi"/>
          <w:b/>
          <w:sz w:val="24"/>
          <w:szCs w:val="24"/>
        </w:rPr>
        <w:t>Otázka</w:t>
      </w:r>
      <w:r w:rsidR="00B95CD4" w:rsidRPr="00B95CD4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9588E" w:rsidRPr="00B95CD4">
        <w:rPr>
          <w:rFonts w:asciiTheme="minorHAnsi" w:hAnsiTheme="minorHAnsi" w:cstheme="minorHAnsi"/>
          <w:b/>
          <w:sz w:val="24"/>
          <w:szCs w:val="24"/>
        </w:rPr>
        <w:t>č.10:</w:t>
      </w: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708"/>
        <w:jc w:val="both"/>
        <w:rPr>
          <w:rFonts w:asciiTheme="minorHAnsi" w:hAnsiTheme="minorHAnsi" w:cstheme="minorHAnsi"/>
          <w:sz w:val="24"/>
          <w:szCs w:val="24"/>
        </w:rPr>
      </w:pPr>
      <w:r w:rsidRPr="00F82591">
        <w:rPr>
          <w:rFonts w:asciiTheme="minorHAnsi" w:hAnsiTheme="minorHAnsi" w:cstheme="minorHAnsi"/>
          <w:sz w:val="24"/>
          <w:szCs w:val="24"/>
        </w:rPr>
        <w:t>Má verejný obstarávateľ požiadavku na farebné vyhotovenie zariadenia, napríklad vyhotovenie v kombinácii farieb zelenej a bielej?</w:t>
      </w:r>
    </w:p>
    <w:p w:rsidR="00A6329A" w:rsidRDefault="00917C1D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</w:p>
    <w:p w:rsidR="0029588E" w:rsidRPr="00B95CD4" w:rsidRDefault="00A6329A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ab/>
      </w:r>
      <w:bookmarkStart w:id="0" w:name="_GoBack"/>
      <w:bookmarkEnd w:id="0"/>
      <w:r w:rsidR="0029588E" w:rsidRPr="00B95CD4">
        <w:rPr>
          <w:rFonts w:asciiTheme="minorHAnsi" w:hAnsiTheme="minorHAnsi" w:cstheme="minorHAnsi"/>
          <w:b/>
          <w:sz w:val="24"/>
          <w:szCs w:val="24"/>
        </w:rPr>
        <w:t>Odpoveď č.10:</w:t>
      </w:r>
    </w:p>
    <w:p w:rsidR="0029588E" w:rsidRPr="00F82591" w:rsidRDefault="00917C1D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="0029588E" w:rsidRPr="00F82591">
        <w:rPr>
          <w:rFonts w:asciiTheme="minorHAnsi" w:hAnsiTheme="minorHAnsi" w:cstheme="minorHAnsi"/>
          <w:sz w:val="24"/>
          <w:szCs w:val="24"/>
        </w:rPr>
        <w:t>Kiosky požadujeme v bielej farbe.</w:t>
      </w: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29588E" w:rsidRPr="00F82591" w:rsidRDefault="0029588E" w:rsidP="002806BC">
      <w:pPr>
        <w:pStyle w:val="Zkladntext1"/>
        <w:tabs>
          <w:tab w:val="left" w:pos="297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tabs>
          <w:tab w:val="left" w:pos="294"/>
          <w:tab w:val="left" w:pos="2079"/>
        </w:tabs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tabs>
          <w:tab w:val="left" w:pos="29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tabs>
          <w:tab w:val="left" w:pos="294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tabs>
          <w:tab w:val="left" w:pos="298"/>
        </w:tabs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CB2154" w:rsidRPr="00F82591" w:rsidRDefault="00CB2154" w:rsidP="002806BC">
      <w:pPr>
        <w:pStyle w:val="Zkladntext1"/>
        <w:spacing w:after="0"/>
        <w:ind w:left="300"/>
        <w:jc w:val="both"/>
        <w:rPr>
          <w:rFonts w:asciiTheme="minorHAnsi" w:hAnsiTheme="minorHAnsi" w:cstheme="minorHAnsi"/>
          <w:sz w:val="24"/>
          <w:szCs w:val="24"/>
        </w:rPr>
      </w:pPr>
    </w:p>
    <w:p w:rsidR="00317A76" w:rsidRPr="00F82591" w:rsidRDefault="00317A76" w:rsidP="002806BC">
      <w:pPr>
        <w:spacing w:after="0"/>
        <w:rPr>
          <w:rFonts w:cstheme="minorHAnsi"/>
          <w:sz w:val="24"/>
          <w:szCs w:val="24"/>
        </w:rPr>
      </w:pPr>
    </w:p>
    <w:p w:rsidR="000B3CB6" w:rsidRPr="00F82591" w:rsidRDefault="000B3CB6" w:rsidP="002806BC">
      <w:pPr>
        <w:spacing w:after="0"/>
        <w:rPr>
          <w:rFonts w:cstheme="minorHAnsi"/>
          <w:sz w:val="24"/>
          <w:szCs w:val="24"/>
        </w:rPr>
      </w:pPr>
    </w:p>
    <w:sectPr w:rsidR="000B3CB6" w:rsidRPr="00F82591" w:rsidSect="00917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A3CEE"/>
    <w:multiLevelType w:val="multilevel"/>
    <w:tmpl w:val="716240A0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10A7B6B"/>
    <w:multiLevelType w:val="multilevel"/>
    <w:tmpl w:val="2592983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7E0"/>
    <w:rsid w:val="000B3CB6"/>
    <w:rsid w:val="000C47E0"/>
    <w:rsid w:val="002806BC"/>
    <w:rsid w:val="0029588E"/>
    <w:rsid w:val="00317A76"/>
    <w:rsid w:val="006213C9"/>
    <w:rsid w:val="00706264"/>
    <w:rsid w:val="00767C73"/>
    <w:rsid w:val="0081367E"/>
    <w:rsid w:val="00917C1D"/>
    <w:rsid w:val="00A608F3"/>
    <w:rsid w:val="00A6329A"/>
    <w:rsid w:val="00B95CD4"/>
    <w:rsid w:val="00CB2154"/>
    <w:rsid w:val="00D04883"/>
    <w:rsid w:val="00D06848"/>
    <w:rsid w:val="00E358B5"/>
    <w:rsid w:val="00F8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D06848"/>
    <w:rPr>
      <w:rFonts w:ascii="Arial" w:eastAsia="Arial" w:hAnsi="Arial" w:cs="Arial"/>
    </w:rPr>
  </w:style>
  <w:style w:type="paragraph" w:customStyle="1" w:styleId="Zkladntext1">
    <w:name w:val="Základný text1"/>
    <w:basedOn w:val="Normlny"/>
    <w:link w:val="Zkladntext"/>
    <w:rsid w:val="00D06848"/>
    <w:pPr>
      <w:widowControl w:val="0"/>
      <w:spacing w:after="40" w:line="240" w:lineRule="auto"/>
    </w:pPr>
    <w:rPr>
      <w:rFonts w:ascii="Arial" w:eastAsia="Arial" w:hAnsi="Arial" w:cs="Arial"/>
    </w:rPr>
  </w:style>
  <w:style w:type="paragraph" w:styleId="Odsekzoznamu">
    <w:name w:val="List Paragraph"/>
    <w:basedOn w:val="Normlny"/>
    <w:uiPriority w:val="34"/>
    <w:qFormat/>
    <w:rsid w:val="00280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">
    <w:name w:val="Základný text_"/>
    <w:basedOn w:val="Predvolenpsmoodseku"/>
    <w:link w:val="Zkladntext1"/>
    <w:rsid w:val="00D06848"/>
    <w:rPr>
      <w:rFonts w:ascii="Arial" w:eastAsia="Arial" w:hAnsi="Arial" w:cs="Arial"/>
    </w:rPr>
  </w:style>
  <w:style w:type="paragraph" w:customStyle="1" w:styleId="Zkladntext1">
    <w:name w:val="Základný text1"/>
    <w:basedOn w:val="Normlny"/>
    <w:link w:val="Zkladntext"/>
    <w:rsid w:val="00D06848"/>
    <w:pPr>
      <w:widowControl w:val="0"/>
      <w:spacing w:after="40" w:line="240" w:lineRule="auto"/>
    </w:pPr>
    <w:rPr>
      <w:rFonts w:ascii="Arial" w:eastAsia="Arial" w:hAnsi="Arial" w:cs="Arial"/>
    </w:rPr>
  </w:style>
  <w:style w:type="paragraph" w:styleId="Odsekzoznamu">
    <w:name w:val="List Paragraph"/>
    <w:basedOn w:val="Normlny"/>
    <w:uiPriority w:val="34"/>
    <w:qFormat/>
    <w:rsid w:val="00280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8A13B-7FAD-423F-BF42-B5D901EA6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1158</Words>
  <Characters>6606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Matúšková Michaela</dc:creator>
  <cp:lastModifiedBy>Matúšková Michaela</cp:lastModifiedBy>
  <cp:revision>15</cp:revision>
  <dcterms:created xsi:type="dcterms:W3CDTF">2022-07-04T14:37:00Z</dcterms:created>
  <dcterms:modified xsi:type="dcterms:W3CDTF">2022-07-04T15:19:00Z</dcterms:modified>
</cp:coreProperties>
</file>