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</w:t>
      </w:r>
      <w:r w:rsidR="00353D90">
        <w:rPr>
          <w:rFonts w:ascii="Arial" w:hAnsi="Arial" w:cs="Arial"/>
        </w:rPr>
        <w:lastRenderedPageBreak/>
        <w:t>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lastRenderedPageBreak/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</w:t>
      </w:r>
      <w:r w:rsidR="0037214B">
        <w:rPr>
          <w:rFonts w:ascii="Arial" w:hAnsi="Arial" w:cs="Arial"/>
        </w:rPr>
        <w:lastRenderedPageBreak/>
        <w:t>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FC9E" w14:textId="77777777" w:rsidR="004F3186" w:rsidRDefault="004F3186" w:rsidP="00056682">
      <w:pPr>
        <w:spacing w:after="0" w:line="240" w:lineRule="auto"/>
      </w:pPr>
      <w:r>
        <w:separator/>
      </w:r>
    </w:p>
  </w:endnote>
  <w:endnote w:type="continuationSeparator" w:id="0">
    <w:p w14:paraId="1A2C0961" w14:textId="77777777" w:rsidR="004F3186" w:rsidRDefault="004F3186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36F0" w14:textId="77777777" w:rsidR="004F3186" w:rsidRDefault="004F3186" w:rsidP="00056682">
      <w:pPr>
        <w:spacing w:after="0" w:line="240" w:lineRule="auto"/>
      </w:pPr>
      <w:r>
        <w:separator/>
      </w:r>
    </w:p>
  </w:footnote>
  <w:footnote w:type="continuationSeparator" w:id="0">
    <w:p w14:paraId="6F2A0597" w14:textId="77777777" w:rsidR="004F3186" w:rsidRDefault="004F3186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4E45A5D0" w:rsidR="0039298D" w:rsidRPr="00B628EF" w:rsidRDefault="0039298D" w:rsidP="00E12591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</w:t>
    </w:r>
    <w:r w:rsidRPr="00B628EF">
      <w:rPr>
        <w:sz w:val="20"/>
        <w:szCs w:val="20"/>
      </w:rPr>
      <w:t xml:space="preserve">3 </w:t>
    </w:r>
    <w:r w:rsidR="00BB1604">
      <w:rPr>
        <w:sz w:val="20"/>
        <w:szCs w:val="20"/>
      </w:rPr>
      <w:t>Rámcovej zmluvy o poskytovaní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3186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1604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87C60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4E5C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4</cp:revision>
  <dcterms:created xsi:type="dcterms:W3CDTF">2022-06-10T08:43:00Z</dcterms:created>
  <dcterms:modified xsi:type="dcterms:W3CDTF">2022-06-20T08:49:00Z</dcterms:modified>
</cp:coreProperties>
</file>