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D83F819" w14:textId="77777777" w:rsidR="00A84C31" w:rsidRPr="00FB6B8B" w:rsidRDefault="00A84C31" w:rsidP="00A84C31">
      <w:pPr>
        <w:jc w:val="center"/>
        <w:rPr>
          <w:rFonts w:asciiTheme="minorHAnsi" w:hAnsiTheme="minorHAnsi"/>
          <w:b/>
          <w:sz w:val="28"/>
          <w:szCs w:val="28"/>
        </w:rPr>
      </w:pPr>
      <w:r w:rsidRPr="0048745B">
        <w:rPr>
          <w:rFonts w:asciiTheme="minorHAnsi" w:hAnsiTheme="minorHAnsi" w:cs="Calibri"/>
          <w:b/>
          <w:sz w:val="28"/>
          <w:szCs w:val="28"/>
        </w:rPr>
        <w:t>Operatívny lízing – prenájom motorových vozidiel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CE63E35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8576DA"/>
    <w:rsid w:val="00A84C31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16</cp:revision>
  <dcterms:created xsi:type="dcterms:W3CDTF">2019-02-04T10:29:00Z</dcterms:created>
  <dcterms:modified xsi:type="dcterms:W3CDTF">2022-07-12T05:25:00Z</dcterms:modified>
</cp:coreProperties>
</file>