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rsidR="007F4395" w:rsidRDefault="007F4395" w:rsidP="00EF3442">
      <w:pPr>
        <w:jc w:val="center"/>
        <w:rPr>
          <w:rFonts w:ascii="Arial Narrow" w:hAnsi="Arial Narrow" w:cs="Arial"/>
          <w:b/>
        </w:rPr>
      </w:pPr>
    </w:p>
    <w:p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rsidR="009B2A26" w:rsidRDefault="009B2A26" w:rsidP="00A75414">
      <w:pPr>
        <w:spacing w:after="120" w:line="240" w:lineRule="auto"/>
        <w:jc w:val="both"/>
        <w:rPr>
          <w:rFonts w:ascii="Arial Narrow" w:hAnsi="Arial Narrow" w:cs="Arial"/>
          <w:b/>
          <w:u w:val="single"/>
        </w:rPr>
      </w:pPr>
    </w:p>
    <w:p w:rsidR="00A75414" w:rsidRPr="00C6584C" w:rsidRDefault="00A75414" w:rsidP="00A75414">
      <w:pPr>
        <w:spacing w:after="120" w:line="240" w:lineRule="auto"/>
        <w:jc w:val="both"/>
        <w:rPr>
          <w:rFonts w:ascii="Arial Narrow" w:hAnsi="Arial Narrow" w:cs="Arial"/>
          <w:b/>
          <w:sz w:val="20"/>
          <w:szCs w:val="20"/>
          <w:u w:val="single"/>
        </w:rPr>
      </w:pPr>
      <w:r w:rsidRPr="00C6584C">
        <w:rPr>
          <w:rFonts w:ascii="Arial Narrow" w:hAnsi="Arial Narrow" w:cs="Arial"/>
          <w:b/>
          <w:sz w:val="20"/>
          <w:szCs w:val="20"/>
          <w:u w:val="single"/>
        </w:rPr>
        <w:t>1. Osobné postavenie</w:t>
      </w:r>
    </w:p>
    <w:p w:rsidR="00A75414" w:rsidRPr="00C6584C"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0"/>
          <w:szCs w:val="20"/>
          <w:u w:color="000000"/>
          <w14:textOutline w14:w="0" w14:cap="flat" w14:cmpd="sng" w14:algn="ctr">
            <w14:noFill/>
            <w14:prstDash w14:val="solid"/>
            <w14:bevel/>
          </w14:textOutline>
        </w:rPr>
      </w:pPr>
      <w:r w:rsidRPr="00C6584C">
        <w:rPr>
          <w:rFonts w:ascii="Arial Narrow" w:hAnsi="Arial Narrow" w:cs="Arial Unicode MS"/>
          <w:b/>
          <w:bCs/>
          <w:color w:val="000000"/>
          <w:sz w:val="20"/>
          <w:szCs w:val="20"/>
          <w:u w:color="000000"/>
          <w14:textOutline w14:w="0" w14:cap="flat" w14:cmpd="sng" w14:algn="ctr">
            <w14:noFill/>
            <w14:prstDash w14:val="solid"/>
            <w14:bevel/>
          </w14:textOutline>
        </w:rPr>
        <w:t xml:space="preserve">Osobné postavenie v zmysle ustanovenia § 32 zákona č. 343/2015 Z. Z. o verejnom obstarávaní v platnom znení </w:t>
      </w:r>
    </w:p>
    <w:p w:rsidR="00A75414" w:rsidRPr="00C6584C" w:rsidRDefault="00A75414" w:rsidP="00A75414">
      <w:pPr>
        <w:pStyle w:val="Predvolen"/>
        <w:spacing w:before="0"/>
        <w:jc w:val="both"/>
        <w:rPr>
          <w:rFonts w:ascii="Arial Narrow" w:eastAsia="Arial Narrow" w:hAnsi="Arial Narrow" w:cs="Arial Narrow"/>
          <w:b/>
          <w:bCs/>
          <w:sz w:val="20"/>
          <w:szCs w:val="20"/>
          <w:shd w:val="clear" w:color="auto" w:fill="FFFFFF"/>
        </w:rPr>
      </w:pPr>
      <w:r w:rsidRPr="00C6584C">
        <w:rPr>
          <w:rFonts w:ascii="Arial Narrow" w:hAnsi="Arial Narrow"/>
          <w:b/>
          <w:bCs/>
          <w:sz w:val="20"/>
          <w:szCs w:val="20"/>
          <w:shd w:val="clear" w:color="auto" w:fill="FFFFFF"/>
        </w:rPr>
        <w:t>Vhodnosť vykonávať profesionálnu činnosť vrátane požiadaviek týkajúcich sa zápisu do živnostenských alebo obchodných registrov</w:t>
      </w:r>
    </w:p>
    <w:p w:rsidR="00A75414" w:rsidRPr="00C6584C" w:rsidRDefault="00A75414" w:rsidP="00A75414">
      <w:pPr>
        <w:pStyle w:val="Predvolen"/>
        <w:spacing w:before="0"/>
        <w:rPr>
          <w:rFonts w:ascii="Arial Narrow" w:eastAsia="Arial Narrow" w:hAnsi="Arial Narrow" w:cs="Arial Narrow"/>
          <w:b/>
          <w:bCs/>
          <w:sz w:val="20"/>
          <w:szCs w:val="20"/>
          <w:shd w:val="clear" w:color="auto" w:fill="FFFFFF"/>
        </w:rPr>
      </w:pPr>
    </w:p>
    <w:p w:rsidR="00A75414" w:rsidRPr="00C6584C" w:rsidRDefault="00A75414" w:rsidP="00A75414">
      <w:pPr>
        <w:pStyle w:val="Predvolen"/>
        <w:spacing w:before="0"/>
        <w:jc w:val="both"/>
        <w:rPr>
          <w:rFonts w:ascii="Arial Narrow" w:eastAsia="Arial Narrow" w:hAnsi="Arial Narrow" w:cs="Arial Narrow"/>
          <w:color w:val="auto"/>
          <w:sz w:val="20"/>
          <w:szCs w:val="20"/>
          <w:shd w:val="clear" w:color="auto" w:fill="FFFFFF"/>
        </w:rPr>
      </w:pPr>
      <w:r w:rsidRPr="00C6584C">
        <w:rPr>
          <w:rFonts w:ascii="Arial Narrow" w:hAnsi="Arial Narrow"/>
          <w:color w:val="auto"/>
          <w:sz w:val="20"/>
          <w:szCs w:val="20"/>
          <w:shd w:val="clear" w:color="auto" w:fill="FFFFFF"/>
        </w:rPr>
        <w:t>Zoznam a krátky opis podmienok: </w:t>
      </w:r>
    </w:p>
    <w:p w:rsidR="00A75414" w:rsidRPr="00C6584C" w:rsidRDefault="00A75414" w:rsidP="00A75414">
      <w:pPr>
        <w:jc w:val="both"/>
        <w:rPr>
          <w:rFonts w:ascii="Arial Narrow" w:eastAsia="Arial" w:hAnsi="Arial Narrow"/>
          <w:sz w:val="20"/>
          <w:szCs w:val="20"/>
        </w:rPr>
      </w:pPr>
      <w:r w:rsidRPr="00C6584C">
        <w:rPr>
          <w:rFonts w:ascii="Arial Narrow" w:eastAsia="Arial" w:hAnsi="Arial Narrow"/>
          <w:sz w:val="20"/>
          <w:szCs w:val="20"/>
        </w:rPr>
        <w:t>Uchádzač musí spĺňať nasledovné podmienky účasti týkajúce sa osobného postavenia :</w:t>
      </w:r>
    </w:p>
    <w:p w:rsidR="00A75414" w:rsidRPr="00C6584C" w:rsidRDefault="00A75414" w:rsidP="00A75414">
      <w:pPr>
        <w:pStyle w:val="Odsekzoznamu"/>
        <w:numPr>
          <w:ilvl w:val="0"/>
          <w:numId w:val="15"/>
        </w:numPr>
        <w:spacing w:after="200" w:line="276" w:lineRule="auto"/>
        <w:jc w:val="both"/>
        <w:rPr>
          <w:rFonts w:ascii="Arial Narrow" w:eastAsia="Arial" w:hAnsi="Arial Narrow"/>
          <w:noProof/>
          <w:sz w:val="20"/>
          <w:szCs w:val="20"/>
        </w:rPr>
      </w:pPr>
      <w:r w:rsidRPr="00C6584C">
        <w:rPr>
          <w:rFonts w:ascii="Arial Narrow" w:eastAsia="Arial" w:hAnsi="Arial Narrow"/>
          <w:sz w:val="20"/>
          <w:szCs w:val="20"/>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b) zákona, že uchádzač nemá evidované nedoplatky na poistnom na sociálne poistenie a zdravotná poisťovňa neeviduje voči nemu pohľadávky po splatnosti podľa osobitných predpi</w:t>
      </w:r>
      <w:r w:rsidR="00212899">
        <w:rPr>
          <w:rFonts w:ascii="Arial Narrow" w:eastAsia="Arial" w:hAnsi="Arial Narrow"/>
          <w:sz w:val="20"/>
          <w:szCs w:val="20"/>
        </w:rPr>
        <w:t xml:space="preserve">sov v Slovenskej republike </w:t>
      </w:r>
      <w:r w:rsidRPr="00C6584C">
        <w:rPr>
          <w:rFonts w:ascii="Arial Narrow" w:eastAsia="Arial" w:hAnsi="Arial Narrow"/>
          <w:sz w:val="20"/>
          <w:szCs w:val="20"/>
        </w:rPr>
        <w:t xml:space="preserve"> </w:t>
      </w:r>
      <w:r w:rsidR="00212899">
        <w:rPr>
          <w:rFonts w:ascii="Arial Narrow" w:eastAsia="Arial" w:hAnsi="Arial Narrow"/>
          <w:sz w:val="20"/>
          <w:szCs w:val="20"/>
        </w:rPr>
        <w:t>a</w:t>
      </w:r>
      <w:r w:rsidR="001500C0">
        <w:rPr>
          <w:rFonts w:ascii="Arial Narrow" w:eastAsia="Arial" w:hAnsi="Arial Narrow"/>
          <w:sz w:val="20"/>
          <w:szCs w:val="20"/>
        </w:rPr>
        <w:t xml:space="preserve"> v</w:t>
      </w:r>
      <w:bookmarkStart w:id="0" w:name="_GoBack"/>
      <w:bookmarkEnd w:id="0"/>
      <w:r w:rsidRPr="00C6584C">
        <w:rPr>
          <w:rFonts w:ascii="Arial Narrow" w:eastAsia="Arial" w:hAnsi="Arial Narrow"/>
          <w:sz w:val="20"/>
          <w:szCs w:val="20"/>
        </w:rPr>
        <w:t xml:space="preserve">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A75414" w:rsidRPr="00C6584C" w:rsidRDefault="00A75414" w:rsidP="00A75414">
      <w:pPr>
        <w:pStyle w:val="Odsekzoznamu"/>
        <w:ind w:left="681"/>
        <w:jc w:val="both"/>
        <w:rPr>
          <w:rFonts w:ascii="Arial Narrow" w:eastAsia="Arial" w:hAnsi="Arial Narrow"/>
          <w:sz w:val="20"/>
          <w:szCs w:val="20"/>
        </w:rPr>
      </w:pP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lastRenderedPageBreak/>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rsidR="00A75414" w:rsidRPr="00C6584C" w:rsidRDefault="00A75414" w:rsidP="00A75414">
      <w:pPr>
        <w:autoSpaceDE w:val="0"/>
        <w:autoSpaceDN w:val="0"/>
        <w:adjustRightInd w:val="0"/>
        <w:jc w:val="both"/>
        <w:rPr>
          <w:rFonts w:ascii="Arial Narrow" w:hAnsi="Arial Narrow" w:cs="Tahoma"/>
          <w:sz w:val="20"/>
          <w:szCs w:val="20"/>
          <w:lang w:eastAsia="sk-SK"/>
        </w:rPr>
      </w:pPr>
      <w:r w:rsidRPr="00C6584C">
        <w:rPr>
          <w:rFonts w:ascii="Arial Narrow" w:hAnsi="Arial Narrow" w:cs="Tahoma"/>
          <w:sz w:val="20"/>
          <w:szCs w:val="20"/>
        </w:rPr>
        <w:t>Doklady, ktoré sa nepredkladajú:</w:t>
      </w:r>
    </w:p>
    <w:p w:rsidR="00A75414" w:rsidRPr="00C6584C" w:rsidRDefault="00A75414" w:rsidP="00A75414">
      <w:pPr>
        <w:autoSpaceDE w:val="0"/>
        <w:autoSpaceDN w:val="0"/>
        <w:adjustRightInd w:val="0"/>
        <w:jc w:val="both"/>
        <w:rPr>
          <w:rFonts w:ascii="Arial Narrow" w:eastAsiaTheme="minorHAnsi" w:hAnsi="Arial Narrow" w:cs="Tahoma"/>
          <w:sz w:val="20"/>
          <w:szCs w:val="20"/>
        </w:rPr>
      </w:pPr>
      <w:r w:rsidRPr="00C6584C">
        <w:rPr>
          <w:rFonts w:ascii="Arial Narrow" w:hAnsi="Arial Narrow" w:cs="Tahoma"/>
          <w:sz w:val="20"/>
          <w:szCs w:val="20"/>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registra trestov záujemcu/uchádzača, jeho štatutárneho orgánu, člena štatutárneho orgánu, člena dozorného orgánu, prokuristu v súlade s § 32 ods. 1 písm. a)  a ods. 2 písm. a)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zdravotnej poisťovne a Sociálnej poisťovne podľa § 32 ods. 1 písm. b) a  ods. 2 písm. b)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miestne príslušného daňového úradu a miestne príslušného colného úradu podľa § 32 ods. 1 písm. c) a ods. 2 písm. c)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A75414" w:rsidRPr="00C6584C" w:rsidRDefault="00A75414" w:rsidP="00A75414">
      <w:pPr>
        <w:autoSpaceDE w:val="0"/>
        <w:autoSpaceDN w:val="0"/>
        <w:adjustRightInd w:val="0"/>
        <w:spacing w:after="120"/>
        <w:jc w:val="both"/>
        <w:rPr>
          <w:rFonts w:ascii="Arial Narrow" w:hAnsi="Arial Narrow" w:cs="Tahoma"/>
          <w:b/>
          <w:sz w:val="20"/>
          <w:szCs w:val="20"/>
        </w:rPr>
      </w:pPr>
      <w:r w:rsidRPr="00C6584C">
        <w:rPr>
          <w:rFonts w:ascii="Arial Narrow" w:hAnsi="Arial Narrow" w:cs="Tahoma"/>
          <w:b/>
          <w:sz w:val="20"/>
          <w:szCs w:val="20"/>
        </w:rPr>
        <w:t>Upozornenie:</w:t>
      </w:r>
    </w:p>
    <w:p w:rsidR="00A75414" w:rsidRPr="00C6584C" w:rsidRDefault="00A75414" w:rsidP="00A75414">
      <w:pPr>
        <w:pStyle w:val="Zkladntext"/>
        <w:spacing w:line="240" w:lineRule="auto"/>
        <w:jc w:val="both"/>
        <w:rPr>
          <w:rStyle w:val="Jemnzvraznenie"/>
          <w:rFonts w:ascii="Arial Narrow" w:hAnsi="Arial Narrow" w:cs="Arial"/>
          <w:b w:val="0"/>
          <w:iCs/>
          <w:sz w:val="20"/>
          <w:szCs w:val="20"/>
        </w:rPr>
      </w:pPr>
      <w:r w:rsidRPr="00C6584C">
        <w:rPr>
          <w:rFonts w:ascii="Arial Narrow" w:hAnsi="Arial Narrow"/>
          <w:sz w:val="20"/>
          <w:szCs w:val="20"/>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A75414" w:rsidRPr="00C6584C" w:rsidRDefault="00A75414" w:rsidP="00A75414">
      <w:pPr>
        <w:spacing w:after="120"/>
        <w:jc w:val="both"/>
        <w:rPr>
          <w:rStyle w:val="Jemnzvraznenie"/>
          <w:rFonts w:ascii="Arial Narrow" w:hAnsi="Arial Narrow"/>
          <w:b w:val="0"/>
          <w:iCs/>
          <w:sz w:val="20"/>
          <w:szCs w:val="20"/>
        </w:rPr>
      </w:pPr>
      <w:r w:rsidRPr="00C6584C">
        <w:rPr>
          <w:rStyle w:val="Jemnzvraznenie"/>
          <w:rFonts w:ascii="Arial Narrow" w:hAnsi="Arial Narrow"/>
          <w:iCs/>
          <w:sz w:val="20"/>
          <w:szCs w:val="20"/>
        </w:rPr>
        <w:t xml:space="preserve">Preukazovanie podmienok účasti je voči verejnému obstarávateľovi účinné aj spôsobom podľa § 152 ods. 4 zákona. </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 xml:space="preserve">Uchádzač zapísaný v zozname hospodárskych subjektov podľa zákona nie je povinný v procese verejného obstarávania predkladať doklady podľa § 32 ods. 2 zákona – prostredníctvom zápisu do zoznamu hospodárskych subjektov. </w:t>
      </w:r>
    </w:p>
    <w:p w:rsidR="00A75414" w:rsidRPr="00C6584C" w:rsidRDefault="00A75414" w:rsidP="00A75414">
      <w:pPr>
        <w:autoSpaceDE w:val="0"/>
        <w:autoSpaceDN w:val="0"/>
        <w:adjustRightInd w:val="0"/>
        <w:spacing w:after="120"/>
        <w:jc w:val="both"/>
        <w:rPr>
          <w:rFonts w:ascii="Arial Narrow" w:hAnsi="Arial Narrow"/>
          <w:sz w:val="20"/>
          <w:szCs w:val="20"/>
        </w:rPr>
      </w:pPr>
      <w:r w:rsidRPr="00C6584C">
        <w:rPr>
          <w:rFonts w:ascii="Arial Narrow" w:hAnsi="Arial Narrow"/>
          <w:sz w:val="20"/>
          <w:szCs w:val="20"/>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E9222B" w:rsidRPr="00C6584C" w:rsidRDefault="00E9222B" w:rsidP="00E9222B">
      <w:pPr>
        <w:widowControl w:val="0"/>
        <w:tabs>
          <w:tab w:val="left" w:pos="0"/>
        </w:tabs>
        <w:spacing w:after="120" w:line="240" w:lineRule="exact"/>
        <w:jc w:val="both"/>
        <w:rPr>
          <w:rFonts w:ascii="Arial Narrow" w:hAnsi="Arial Narrow"/>
          <w:b/>
          <w:sz w:val="20"/>
          <w:szCs w:val="20"/>
          <w:shd w:val="clear" w:color="auto" w:fill="FFFFFF"/>
        </w:rPr>
      </w:pPr>
    </w:p>
    <w:p w:rsidR="00E9222B" w:rsidRPr="00C6584C" w:rsidRDefault="00E9222B" w:rsidP="00A75414">
      <w:pPr>
        <w:pStyle w:val="Odsekzoznamu"/>
        <w:numPr>
          <w:ilvl w:val="0"/>
          <w:numId w:val="16"/>
        </w:numPr>
        <w:spacing w:after="0" w:line="240" w:lineRule="auto"/>
        <w:ind w:left="284" w:hanging="284"/>
        <w:jc w:val="both"/>
        <w:rPr>
          <w:rFonts w:ascii="Arial Narrow" w:hAnsi="Arial Narrow"/>
          <w:b/>
          <w:sz w:val="20"/>
          <w:szCs w:val="20"/>
          <w:u w:val="single"/>
          <w:lang w:eastAsia="sk-SK"/>
        </w:rPr>
      </w:pPr>
      <w:r w:rsidRPr="00C6584C">
        <w:rPr>
          <w:rFonts w:ascii="Arial Narrow" w:hAnsi="Arial Narrow"/>
          <w:b/>
          <w:sz w:val="20"/>
          <w:szCs w:val="20"/>
          <w:u w:val="single"/>
          <w:lang w:eastAsia="sk-SK"/>
        </w:rPr>
        <w:t>Ekonomické a finančné postavenie podľa § 33 zákona</w:t>
      </w: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 xml:space="preserve">Podmienky účasti uchádzačov vo verejnom obstarávaní týkajúce sa finančného a ekonomického postavenia podľa  § 33 zákona. </w:t>
      </w:r>
    </w:p>
    <w:p w:rsidR="00E9222B" w:rsidRPr="00C6584C" w:rsidRDefault="00E9222B" w:rsidP="00E9222B">
      <w:pPr>
        <w:spacing w:after="0" w:line="240" w:lineRule="auto"/>
        <w:jc w:val="both"/>
        <w:rPr>
          <w:rFonts w:ascii="Arial Narrow" w:hAnsi="Arial Narrow"/>
          <w:sz w:val="20"/>
          <w:szCs w:val="20"/>
        </w:rPr>
      </w:pP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Neaplikuje sa.</w:t>
      </w:r>
    </w:p>
    <w:p w:rsidR="00E9222B" w:rsidRPr="00C6584C" w:rsidRDefault="00E9222B" w:rsidP="00A75414">
      <w:pPr>
        <w:pStyle w:val="Odsekzoznamu"/>
        <w:numPr>
          <w:ilvl w:val="0"/>
          <w:numId w:val="16"/>
        </w:numPr>
        <w:spacing w:before="300" w:after="300" w:line="240" w:lineRule="auto"/>
        <w:ind w:left="284" w:hanging="284"/>
        <w:rPr>
          <w:rFonts w:ascii="Arial Narrow" w:hAnsi="Arial Narrow"/>
          <w:b/>
          <w:sz w:val="20"/>
          <w:szCs w:val="20"/>
          <w:lang w:eastAsia="sk-SK"/>
        </w:rPr>
      </w:pPr>
      <w:r w:rsidRPr="00C6584C">
        <w:rPr>
          <w:rFonts w:ascii="Arial Narrow" w:hAnsi="Arial Narrow"/>
          <w:b/>
          <w:sz w:val="20"/>
          <w:szCs w:val="20"/>
          <w:u w:val="single"/>
          <w:lang w:eastAsia="sk-SK"/>
        </w:rPr>
        <w:t>Technická a odborná spôsobilosť podľa § 34 zákona</w:t>
      </w:r>
    </w:p>
    <w:p w:rsidR="00E9222B" w:rsidRPr="00C6584C" w:rsidRDefault="00E9222B" w:rsidP="00E9222B">
      <w:pPr>
        <w:pStyle w:val="Odsekzoznamu"/>
        <w:spacing w:before="300" w:after="300" w:line="240" w:lineRule="auto"/>
        <w:ind w:left="0"/>
        <w:rPr>
          <w:rFonts w:ascii="Arial Narrow" w:hAnsi="Arial Narrow"/>
          <w:sz w:val="20"/>
          <w:szCs w:val="20"/>
        </w:rPr>
      </w:pPr>
      <w:r w:rsidRPr="00C6584C">
        <w:rPr>
          <w:rFonts w:ascii="Arial Narrow" w:hAnsi="Arial Narrow"/>
          <w:sz w:val="20"/>
          <w:szCs w:val="20"/>
        </w:rPr>
        <w:t xml:space="preserve">Podmienky účasti uchádzačov vo verejnom obstarávaní týkajúce sa technickej spôsobilosti alebo odbornej spôsobilosti podľa § 34 zákona. </w:t>
      </w:r>
    </w:p>
    <w:p w:rsidR="00E9222B" w:rsidRPr="00C6584C" w:rsidRDefault="00E9222B" w:rsidP="00E9222B">
      <w:pPr>
        <w:pStyle w:val="Odsekzoznamu"/>
        <w:spacing w:before="300" w:after="300" w:line="240" w:lineRule="auto"/>
        <w:ind w:left="0"/>
        <w:rPr>
          <w:rFonts w:ascii="Arial Narrow" w:hAnsi="Arial Narrow"/>
          <w:sz w:val="20"/>
          <w:szCs w:val="20"/>
        </w:rPr>
      </w:pPr>
    </w:p>
    <w:p w:rsidR="00E9222B" w:rsidRPr="00C6584C" w:rsidRDefault="00E9222B" w:rsidP="00E9222B">
      <w:pPr>
        <w:pStyle w:val="Odsekzoznamu"/>
        <w:spacing w:before="300" w:after="300" w:line="240" w:lineRule="auto"/>
        <w:ind w:left="0"/>
        <w:rPr>
          <w:rFonts w:ascii="Arial Narrow" w:hAnsi="Arial Narrow"/>
          <w:b/>
          <w:sz w:val="20"/>
          <w:szCs w:val="20"/>
        </w:rPr>
      </w:pPr>
      <w:r w:rsidRPr="00C6584C">
        <w:rPr>
          <w:rFonts w:ascii="Arial Narrow" w:hAnsi="Arial Narrow"/>
          <w:b/>
          <w:sz w:val="20"/>
          <w:szCs w:val="20"/>
        </w:rPr>
        <w:t xml:space="preserve">Uchádzač preukazuje technickú spôsobilosť alebo odbornú spôsobilosť: </w:t>
      </w:r>
    </w:p>
    <w:p w:rsidR="00C6584C" w:rsidRPr="00C6584C" w:rsidRDefault="00E9222B" w:rsidP="00C6584C">
      <w:pPr>
        <w:jc w:val="both"/>
        <w:rPr>
          <w:rFonts w:ascii="Arial Narrow" w:hAnsi="Arial Narrow"/>
          <w:sz w:val="20"/>
          <w:szCs w:val="20"/>
        </w:rPr>
      </w:pPr>
      <w:r w:rsidRPr="00C6584C">
        <w:rPr>
          <w:rFonts w:ascii="Arial Narrow" w:hAnsi="Arial Narrow"/>
          <w:b/>
          <w:sz w:val="20"/>
          <w:szCs w:val="20"/>
        </w:rPr>
        <w:t>3.1. podľa § 34 ods.1 písm. a) zákona</w:t>
      </w:r>
      <w:r w:rsidRPr="00C6584C">
        <w:rPr>
          <w:rFonts w:ascii="Arial Narrow" w:hAnsi="Arial Narrow" w:cs="Arial Narrow"/>
          <w:sz w:val="20"/>
          <w:szCs w:val="20"/>
        </w:rPr>
        <w:t xml:space="preserve"> - </w:t>
      </w:r>
      <w:r w:rsidRPr="00C6584C">
        <w:rPr>
          <w:rFonts w:ascii="Arial Narrow" w:hAnsi="Arial Narrow" w:cs="Arial Narrow"/>
          <w:color w:val="000000"/>
          <w:sz w:val="20"/>
          <w:szCs w:val="20"/>
        </w:rPr>
        <w:t xml:space="preserve">zoznamom </w:t>
      </w:r>
      <w:r w:rsidR="00517D0F">
        <w:rPr>
          <w:rFonts w:ascii="Arial Narrow" w:hAnsi="Arial Narrow" w:cs="Arial Narrow"/>
          <w:color w:val="000000"/>
          <w:sz w:val="20"/>
          <w:szCs w:val="20"/>
        </w:rPr>
        <w:t>poskytnutých služieb</w:t>
      </w:r>
      <w:r w:rsidRPr="00C6584C">
        <w:rPr>
          <w:rFonts w:ascii="Arial Narrow" w:hAnsi="Arial Narrow" w:cs="Arial Narrow"/>
          <w:color w:val="000000"/>
          <w:sz w:val="20"/>
          <w:szCs w:val="20"/>
        </w:rPr>
        <w:t xml:space="preserve"> za predchádzajúce 3 roky </w:t>
      </w:r>
      <w:r w:rsidRPr="00C6584C">
        <w:rPr>
          <w:rFonts w:ascii="Arial Narrow" w:hAnsi="Arial Narrow"/>
          <w:sz w:val="20"/>
          <w:szCs w:val="20"/>
        </w:rPr>
        <w:t>(36 mesiacov) od vyhlásenia verejného obstarávania (</w:t>
      </w:r>
      <w:r w:rsidRPr="00C6584C">
        <w:rPr>
          <w:rFonts w:ascii="Arial Narrow" w:hAnsi="Arial Narrow" w:cstheme="minorHAnsi"/>
          <w:sz w:val="20"/>
          <w:szCs w:val="20"/>
        </w:rPr>
        <w:t>za vyhlásenie verejného obstarávania sa považuje zverejnenie oznámenia o vyhlásení verejného obstarávania v Úradnom vestníku EÚ</w:t>
      </w:r>
      <w:r w:rsidRPr="00C6584C">
        <w:rPr>
          <w:rFonts w:ascii="Arial Narrow" w:hAnsi="Arial Narrow"/>
          <w:b/>
          <w:sz w:val="20"/>
          <w:szCs w:val="20"/>
        </w:rPr>
        <w:t xml:space="preserve"> </w:t>
      </w:r>
      <w:r w:rsidRPr="00C6584C">
        <w:rPr>
          <w:rFonts w:ascii="Arial Narrow" w:hAnsi="Arial Narrow"/>
          <w:sz w:val="20"/>
          <w:szCs w:val="20"/>
        </w:rPr>
        <w:t>(ďalej len „rozhodné obdobie") s uvedením cien, lehôt dodania a odberateľov; dokladom je referencia, ak odberateľom bol verejný obstarávateľ alebo obstarávateľ podľa zákona.</w:t>
      </w:r>
      <w:r w:rsidRPr="00C6584C">
        <w:rPr>
          <w:rFonts w:ascii="Arial Narrow" w:hAnsi="Arial Narrow" w:cstheme="minorHAnsi"/>
          <w:sz w:val="20"/>
          <w:szCs w:val="20"/>
        </w:rPr>
        <w:t xml:space="preserve"> </w:t>
      </w:r>
    </w:p>
    <w:p w:rsidR="00E9222B" w:rsidRPr="00C6584C" w:rsidRDefault="00E9222B" w:rsidP="00E9222B">
      <w:pPr>
        <w:spacing w:after="0" w:line="240" w:lineRule="auto"/>
        <w:jc w:val="both"/>
        <w:rPr>
          <w:rFonts w:ascii="Arial Narrow" w:hAnsi="Arial Narrow" w:cs="Arial"/>
          <w:sz w:val="20"/>
          <w:szCs w:val="20"/>
        </w:rPr>
      </w:pPr>
      <w:r w:rsidRPr="00C6584C">
        <w:rPr>
          <w:rFonts w:ascii="Arial Narrow" w:hAnsi="Arial Narrow" w:cs="Arial"/>
          <w:sz w:val="20"/>
          <w:szCs w:val="20"/>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rámcovej dohody bude skutočne používať kapacity osoby, ktorej spôsobilosť využíva na </w:t>
      </w:r>
      <w:r w:rsidRPr="00C6584C">
        <w:rPr>
          <w:rFonts w:ascii="Arial Narrow" w:hAnsi="Arial Narrow" w:cs="Arial"/>
          <w:sz w:val="20"/>
          <w:szCs w:val="20"/>
        </w:rPr>
        <w:lastRenderedPageBreak/>
        <w:t>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w:t>
      </w:r>
      <w:r w:rsidR="00BB673C" w:rsidRPr="00C6584C">
        <w:rPr>
          <w:rFonts w:ascii="Arial Narrow" w:hAnsi="Arial Narrow" w:cs="Arial"/>
          <w:sz w:val="20"/>
          <w:szCs w:val="20"/>
        </w:rPr>
        <w:t xml:space="preserve"> zákona</w:t>
      </w:r>
      <w:r w:rsidRPr="00C6584C">
        <w:rPr>
          <w:rFonts w:ascii="Arial Narrow" w:hAnsi="Arial Narrow" w:cs="Arial"/>
          <w:sz w:val="20"/>
          <w:szCs w:val="20"/>
        </w:rPr>
        <w:t xml:space="preserve">; oprávnenie poskytovať službu preukazuje vo vzťahu k tej časti predmetu zákazky, na ktorú boli kapacity uchádzačovi poskytnuté. </w:t>
      </w:r>
    </w:p>
    <w:p w:rsidR="00E9222B" w:rsidRPr="00C6584C" w:rsidRDefault="00E9222B" w:rsidP="00E9222B">
      <w:pPr>
        <w:spacing w:after="0" w:line="240" w:lineRule="auto"/>
        <w:jc w:val="both"/>
        <w:rPr>
          <w:rFonts w:ascii="Arial Narrow" w:hAnsi="Arial Narrow" w:cs="Arial"/>
          <w:sz w:val="20"/>
          <w:szCs w:val="20"/>
        </w:rPr>
      </w:pPr>
    </w:p>
    <w:p w:rsidR="00E9222B" w:rsidRPr="00C6584C" w:rsidRDefault="00E9222B" w:rsidP="00E9222B">
      <w:pPr>
        <w:spacing w:after="0" w:line="240" w:lineRule="auto"/>
        <w:jc w:val="both"/>
        <w:rPr>
          <w:rFonts w:ascii="Arial Narrow" w:hAnsi="Arial Narrow" w:cs="Arial"/>
          <w:sz w:val="20"/>
          <w:szCs w:val="20"/>
        </w:rPr>
      </w:pPr>
      <w:r w:rsidRPr="00C6584C">
        <w:rPr>
          <w:rFonts w:ascii="Arial Narrow" w:hAnsi="Arial Narrow" w:cs="Arial"/>
          <w:sz w:val="20"/>
          <w:szCs w:val="20"/>
        </w:rPr>
        <w:t>V prípade, že sa verejného obstarávania zúčastní skupina dodávateľov,  požaduje sa preukázanie splnenia podmienok účasti týkajúcich sa technickej alebo odbornej spôsobilosti za všetkých členov skupiny spoločne.</w:t>
      </w:r>
    </w:p>
    <w:p w:rsidR="00E9222B" w:rsidRPr="00C6584C" w:rsidRDefault="00E9222B" w:rsidP="00E9222B">
      <w:pPr>
        <w:spacing w:after="0" w:line="240" w:lineRule="auto"/>
        <w:jc w:val="both"/>
        <w:rPr>
          <w:rFonts w:ascii="Arial Narrow" w:hAnsi="Arial Narrow" w:cs="Arial"/>
          <w:sz w:val="20"/>
          <w:szCs w:val="20"/>
        </w:rPr>
      </w:pPr>
    </w:p>
    <w:p w:rsidR="00E9222B" w:rsidRPr="00C6584C" w:rsidRDefault="00E9222B" w:rsidP="00E9222B">
      <w:pPr>
        <w:autoSpaceDE w:val="0"/>
        <w:autoSpaceDN w:val="0"/>
        <w:adjustRightInd w:val="0"/>
        <w:spacing w:after="0" w:line="240" w:lineRule="auto"/>
        <w:jc w:val="both"/>
        <w:rPr>
          <w:rFonts w:ascii="Arial Narrow" w:hAnsi="Arial Narrow" w:cs="Arial"/>
          <w:sz w:val="20"/>
          <w:szCs w:val="20"/>
        </w:rPr>
      </w:pPr>
      <w:r w:rsidRPr="00C6584C">
        <w:rPr>
          <w:rFonts w:ascii="Arial Narrow" w:hAnsi="Arial Narrow" w:cs="Arial"/>
          <w:sz w:val="20"/>
          <w:szCs w:val="20"/>
        </w:rPr>
        <w:t>Uchádzačom predkladané doklady musia byť</w:t>
      </w:r>
      <w:r w:rsidR="009B2A26" w:rsidRPr="00C6584C">
        <w:rPr>
          <w:rFonts w:ascii="Arial Narrow" w:hAnsi="Arial Narrow" w:cs="Arial"/>
          <w:sz w:val="20"/>
          <w:szCs w:val="20"/>
        </w:rPr>
        <w:t xml:space="preserve"> preložené</w:t>
      </w:r>
      <w:r w:rsidRPr="00C6584C">
        <w:rPr>
          <w:rFonts w:ascii="Arial Narrow" w:hAnsi="Arial Narrow" w:cs="Arial"/>
          <w:sz w:val="20"/>
          <w:szCs w:val="20"/>
        </w:rPr>
        <w:t xml:space="preserve"> v rovnakej, alebo ekvivalentnej forme podľa uvedenej požiadavky verejného obstarávateľa, pričom z týchto dokladov preukazujúcich spôsobilosť podľa § 34 zákona musí</w:t>
      </w:r>
      <w:r w:rsidR="009B2A26" w:rsidRPr="00C6584C">
        <w:rPr>
          <w:rFonts w:ascii="Arial Narrow" w:hAnsi="Arial Narrow" w:cs="Arial"/>
          <w:sz w:val="20"/>
          <w:szCs w:val="20"/>
        </w:rPr>
        <w:t xml:space="preserve"> byť zrejmé splnenie minimálne požadovanej</w:t>
      </w:r>
      <w:r w:rsidRPr="00C6584C">
        <w:rPr>
          <w:rFonts w:ascii="Arial Narrow" w:hAnsi="Arial Narrow" w:cs="Arial"/>
          <w:sz w:val="20"/>
          <w:szCs w:val="20"/>
        </w:rPr>
        <w:t xml:space="preserve"> úrovn</w:t>
      </w:r>
      <w:r w:rsidR="009B2A26" w:rsidRPr="00C6584C">
        <w:rPr>
          <w:rFonts w:ascii="Arial Narrow" w:hAnsi="Arial Narrow" w:cs="Arial"/>
          <w:sz w:val="20"/>
          <w:szCs w:val="20"/>
        </w:rPr>
        <w:t xml:space="preserve">e podmienok účasti stanovených </w:t>
      </w:r>
      <w:r w:rsidRPr="00C6584C">
        <w:rPr>
          <w:rFonts w:ascii="Arial Narrow" w:hAnsi="Arial Narrow" w:cs="Arial"/>
          <w:sz w:val="20"/>
          <w:szCs w:val="20"/>
        </w:rPr>
        <w:t xml:space="preserve">verejným obstarávateľom a rovnako musí byť zrejmé, že preukazovanie sa týka osoby uchádzača. </w:t>
      </w:r>
    </w:p>
    <w:p w:rsidR="00E9222B" w:rsidRPr="00C6584C" w:rsidRDefault="00E9222B" w:rsidP="00E9222B">
      <w:pPr>
        <w:autoSpaceDE w:val="0"/>
        <w:autoSpaceDN w:val="0"/>
        <w:adjustRightInd w:val="0"/>
        <w:spacing w:after="0" w:line="240" w:lineRule="auto"/>
        <w:jc w:val="both"/>
        <w:rPr>
          <w:rFonts w:ascii="Arial Narrow" w:hAnsi="Arial Narrow" w:cs="Arial"/>
          <w:sz w:val="20"/>
          <w:szCs w:val="20"/>
        </w:rPr>
      </w:pPr>
    </w:p>
    <w:p w:rsidR="009B2A26" w:rsidRPr="00C6584C" w:rsidRDefault="009B2A26" w:rsidP="002533FB">
      <w:pPr>
        <w:pStyle w:val="Zarkazkladnhotextu2"/>
        <w:numPr>
          <w:ilvl w:val="0"/>
          <w:numId w:val="16"/>
        </w:numPr>
        <w:spacing w:before="120" w:line="240" w:lineRule="auto"/>
        <w:ind w:left="-284" w:firstLine="0"/>
        <w:jc w:val="both"/>
        <w:rPr>
          <w:rStyle w:val="Jemnzvraznenie"/>
          <w:rFonts w:ascii="Arial Narrow" w:hAnsi="Arial Narrow" w:cs="Arial"/>
          <w:b w:val="0"/>
          <w:iCs/>
          <w:sz w:val="20"/>
          <w:szCs w:val="20"/>
        </w:rPr>
      </w:pPr>
      <w:r w:rsidRPr="00C6584C">
        <w:rPr>
          <w:rFonts w:ascii="Arial Narrow" w:hAnsi="Arial Narrow"/>
          <w:b/>
          <w:sz w:val="20"/>
          <w:szCs w:val="20"/>
          <w:u w:val="single"/>
          <w:lang w:val="sk-SK" w:eastAsia="sk-SK"/>
        </w:rPr>
        <w:t>Všeobecné informácie, JED</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w:t>
      </w:r>
      <w:proofErr w:type="spellStart"/>
      <w:r w:rsidRPr="002533FB">
        <w:rPr>
          <w:rStyle w:val="Jemnzvraznenie"/>
          <w:rFonts w:ascii="Arial Narrow" w:hAnsi="Arial Narrow" w:cs="Arial"/>
          <w:b w:val="0"/>
          <w:iCs/>
          <w:sz w:val="20"/>
          <w:szCs w:val="20"/>
        </w:rPr>
        <w:t>rtf</w:t>
      </w:r>
      <w:proofErr w:type="spellEnd"/>
      <w:r w:rsidRPr="002533FB">
        <w:rPr>
          <w:rStyle w:val="Jemnzvraznenie"/>
          <w:rFonts w:ascii="Arial Narrow" w:hAnsi="Arial Narrow" w:cs="Arial"/>
          <w:b w:val="0"/>
          <w:iCs/>
          <w:sz w:val="20"/>
          <w:szCs w:val="20"/>
        </w:rPr>
        <w:t xml:space="preserve"> je možné nájsť na webovom sídla Úradu pre verejné obstarávanie na adrese </w:t>
      </w:r>
      <w:hyperlink r:id="rId9" w:history="1">
        <w:r w:rsidRPr="002533FB">
          <w:rPr>
            <w:rStyle w:val="Hypertextovprepojenie"/>
            <w:rFonts w:ascii="Arial Narrow" w:hAnsi="Arial Narrow" w:cs="Arial"/>
            <w:iCs/>
            <w:sz w:val="20"/>
            <w:szCs w:val="20"/>
          </w:rPr>
          <w:t>https://www.uvo.gov.sk/iednotnv-europskv- dokument-pre-vereine-obstaravanie-602.html</w:t>
        </w:r>
      </w:hyperlink>
      <w:r w:rsidRPr="002533FB">
        <w:rPr>
          <w:rStyle w:val="Jemnzvraznenie"/>
          <w:rFonts w:ascii="Arial Narrow" w:hAnsi="Arial Narrow" w:cs="Arial"/>
          <w:b w:val="0"/>
          <w:iCs/>
          <w:sz w:val="20"/>
          <w:szCs w:val="20"/>
          <w:lang w:val="sk-SK"/>
        </w:rPr>
        <w:t xml:space="preserve">. </w:t>
      </w:r>
      <w:r w:rsidRPr="002533FB">
        <w:rPr>
          <w:rStyle w:val="Jemnzvraznenie"/>
          <w:rFonts w:ascii="Arial Narrow" w:hAnsi="Arial Narrow" w:cs="Arial"/>
          <w:b w:val="0"/>
          <w:iCs/>
          <w:sz w:val="20"/>
          <w:szCs w:val="20"/>
        </w:rPr>
        <w:t xml:space="preserve"> V prípade jeho použitia predloží uchádzač jednotný európsky dokument v ponuke v elektronickej podobe. </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Vo formulári JED uchádzač vyplní nasledovné časti: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a)</w:t>
      </w:r>
      <w:r w:rsidRPr="002533FB">
        <w:rPr>
          <w:rStyle w:val="Jemnzvraznenie"/>
          <w:rFonts w:ascii="Arial Narrow" w:hAnsi="Arial Narrow" w:cs="Arial"/>
          <w:b w:val="0"/>
          <w:iCs/>
          <w:sz w:val="20"/>
          <w:szCs w:val="20"/>
        </w:rPr>
        <w:tab/>
        <w:t>časť II – A, B a C,</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b)</w:t>
      </w:r>
      <w:r w:rsidRPr="002533FB">
        <w:rPr>
          <w:rStyle w:val="Jemnzvraznenie"/>
          <w:rFonts w:ascii="Arial Narrow" w:hAnsi="Arial Narrow" w:cs="Arial"/>
          <w:b w:val="0"/>
          <w:iCs/>
          <w:sz w:val="20"/>
          <w:szCs w:val="20"/>
        </w:rPr>
        <w:tab/>
        <w:t>časť III - A, B, C a D,</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c)</w:t>
      </w:r>
      <w:r w:rsidRPr="002533FB">
        <w:rPr>
          <w:rStyle w:val="Jemnzvraznenie"/>
          <w:rFonts w:ascii="Arial Narrow" w:hAnsi="Arial Narrow" w:cs="Arial"/>
          <w:b w:val="0"/>
          <w:iCs/>
          <w:sz w:val="20"/>
          <w:szCs w:val="20"/>
        </w:rPr>
        <w:tab/>
        <w:t>časť IV – oddiel α (globálny údaj pre všetky podmienky účasti),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d)</w:t>
      </w:r>
      <w:r w:rsidRPr="002533FB">
        <w:rPr>
          <w:rStyle w:val="Jemnzvraznenie"/>
          <w:rFonts w:ascii="Arial Narrow" w:hAnsi="Arial Narrow" w:cs="Arial"/>
          <w:b w:val="0"/>
          <w:iCs/>
          <w:sz w:val="20"/>
          <w:szCs w:val="20"/>
        </w:rPr>
        <w:tab/>
        <w:t>časť VI.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Formulár JED s vyplnenými údajmi o tomto verejnom obstarávaní tvorí prílohu č. 6 týchto súťažných podkladov.</w:t>
      </w:r>
    </w:p>
    <w:p w:rsidR="002533FB" w:rsidRPr="002533FB" w:rsidRDefault="002533FB" w:rsidP="002533FB">
      <w:pPr>
        <w:pStyle w:val="Zarkazkladnhotextu2"/>
        <w:spacing w:before="120" w:line="240" w:lineRule="auto"/>
        <w:ind w:left="-284"/>
        <w:jc w:val="both"/>
        <w:rPr>
          <w:rFonts w:ascii="Arial Narrow" w:hAnsi="Arial Narrow" w:cs="Arial Narrow"/>
          <w:sz w:val="20"/>
          <w:szCs w:val="20"/>
          <w:lang w:val="sk-SK"/>
        </w:rPr>
      </w:pPr>
      <w:r w:rsidRPr="002533FB">
        <w:rPr>
          <w:rFonts w:ascii="Arial Narrow" w:hAnsi="Arial Narrow"/>
          <w:sz w:val="20"/>
          <w:szCs w:val="20"/>
        </w:rPr>
        <w:t>Ak uchádzač nevyužije na preukázanie splnenia podmienok účasti jednotný európsky dokument podľa § 39 zákona</w:t>
      </w:r>
      <w:r w:rsidRPr="002533FB">
        <w:rPr>
          <w:rFonts w:ascii="Arial Narrow" w:hAnsi="Arial Narrow"/>
          <w:sz w:val="20"/>
          <w:szCs w:val="20"/>
          <w:lang w:val="sk-SK"/>
        </w:rPr>
        <w:t xml:space="preserve"> </w:t>
      </w:r>
      <w:r w:rsidRPr="002533FB">
        <w:rPr>
          <w:rFonts w:ascii="Arial Narrow" w:hAnsi="Arial Narrow"/>
          <w:sz w:val="20"/>
          <w:szCs w:val="20"/>
        </w:rPr>
        <w:t xml:space="preserve">predkladá </w:t>
      </w:r>
      <w:r w:rsidRPr="002533FB">
        <w:rPr>
          <w:rFonts w:ascii="Arial Narrow" w:hAnsi="Arial Narrow"/>
          <w:sz w:val="20"/>
          <w:szCs w:val="20"/>
          <w:lang w:val="sk-SK"/>
        </w:rPr>
        <w:t xml:space="preserve"> v ponuke</w:t>
      </w:r>
      <w:r w:rsidRPr="002533FB">
        <w:rPr>
          <w:rFonts w:ascii="Arial Narrow" w:hAnsi="Arial Narrow"/>
          <w:sz w:val="20"/>
          <w:szCs w:val="20"/>
        </w:rPr>
        <w:t>doklad</w:t>
      </w:r>
      <w:r w:rsidRPr="002533FB">
        <w:rPr>
          <w:rFonts w:ascii="Arial Narrow" w:hAnsi="Arial Narrow"/>
          <w:sz w:val="20"/>
          <w:szCs w:val="20"/>
          <w:lang w:val="sk-SK"/>
        </w:rPr>
        <w:t>y</w:t>
      </w:r>
      <w:r w:rsidRPr="002533FB">
        <w:rPr>
          <w:rFonts w:ascii="Arial Narrow" w:hAnsi="Arial Narrow"/>
          <w:sz w:val="20"/>
          <w:szCs w:val="20"/>
        </w:rPr>
        <w:t xml:space="preserve"> na preukázanie splnenia podmienok účasti </w:t>
      </w:r>
      <w:bookmarkStart w:id="1" w:name="_Hlk534973602"/>
      <w:r w:rsidRPr="002533FB">
        <w:rPr>
          <w:rFonts w:ascii="Arial Narrow" w:hAnsi="Arial Narrow"/>
          <w:sz w:val="20"/>
          <w:szCs w:val="20"/>
        </w:rPr>
        <w:t>v </w:t>
      </w:r>
      <w:r w:rsidRPr="002533FB">
        <w:rPr>
          <w:rFonts w:ascii="Arial Narrow" w:hAnsi="Arial Narrow"/>
          <w:sz w:val="20"/>
          <w:szCs w:val="20"/>
          <w:lang w:val="sk-SK"/>
        </w:rPr>
        <w:t xml:space="preserve">pôvodnej </w:t>
      </w:r>
      <w:r w:rsidRPr="002533FB">
        <w:rPr>
          <w:rFonts w:ascii="Arial Narrow" w:hAnsi="Arial Narrow"/>
          <w:sz w:val="20"/>
          <w:szCs w:val="20"/>
        </w:rPr>
        <w:t>elektronickej podobe podľa bodu 10.</w:t>
      </w:r>
      <w:r w:rsidRPr="002533FB">
        <w:rPr>
          <w:rFonts w:ascii="Arial Narrow" w:hAnsi="Arial Narrow"/>
          <w:sz w:val="20"/>
          <w:szCs w:val="20"/>
          <w:lang w:val="sk-SK"/>
        </w:rPr>
        <w:t>2</w:t>
      </w:r>
      <w:r w:rsidRPr="002533FB">
        <w:rPr>
          <w:rFonts w:ascii="Arial Narrow" w:hAnsi="Arial Narrow"/>
          <w:sz w:val="20"/>
          <w:szCs w:val="20"/>
        </w:rPr>
        <w:t xml:space="preserve">  </w:t>
      </w:r>
      <w:r w:rsidRPr="002533FB">
        <w:rPr>
          <w:rFonts w:ascii="Arial Narrow" w:hAnsi="Arial Narrow"/>
          <w:sz w:val="20"/>
          <w:szCs w:val="20"/>
          <w:lang w:val="sk-SK"/>
        </w:rPr>
        <w:t xml:space="preserve">týchto súťažných </w:t>
      </w:r>
      <w:r w:rsidRPr="002533FB">
        <w:rPr>
          <w:rFonts w:ascii="Arial Narrow" w:hAnsi="Arial Narrow"/>
          <w:sz w:val="20"/>
          <w:szCs w:val="20"/>
        </w:rPr>
        <w:t>podkladov</w:t>
      </w:r>
      <w:bookmarkEnd w:id="1"/>
      <w:r w:rsidRPr="002533FB">
        <w:rPr>
          <w:rFonts w:ascii="Arial Narrow" w:hAnsi="Arial Narrow"/>
          <w:sz w:val="20"/>
          <w:szCs w:val="20"/>
          <w:lang w:val="sk-SK"/>
        </w:rPr>
        <w:t>.</w:t>
      </w:r>
    </w:p>
    <w:p w:rsidR="00E9222B" w:rsidRPr="002533FB" w:rsidRDefault="00E9222B" w:rsidP="00E9222B">
      <w:pPr>
        <w:autoSpaceDE w:val="0"/>
        <w:autoSpaceDN w:val="0"/>
        <w:adjustRightInd w:val="0"/>
        <w:spacing w:after="0" w:line="240" w:lineRule="auto"/>
        <w:jc w:val="both"/>
        <w:rPr>
          <w:rFonts w:ascii="Arial Narrow" w:hAnsi="Arial Narrow" w:cs="Arial"/>
          <w:sz w:val="20"/>
          <w:szCs w:val="20"/>
        </w:rPr>
      </w:pPr>
    </w:p>
    <w:p w:rsidR="00E9222B" w:rsidRPr="00C6584C" w:rsidRDefault="00E9222B" w:rsidP="00E9222B">
      <w:pPr>
        <w:spacing w:after="0" w:line="240" w:lineRule="auto"/>
        <w:jc w:val="both"/>
        <w:rPr>
          <w:rStyle w:val="Jemnzvraznenie"/>
          <w:rFonts w:ascii="Arial Narrow" w:hAnsi="Arial Narrow" w:cs="Arial"/>
          <w:b w:val="0"/>
          <w:iCs/>
          <w:sz w:val="20"/>
          <w:szCs w:val="20"/>
          <w:highlight w:val="cyan"/>
        </w:rPr>
      </w:pPr>
    </w:p>
    <w:p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BB0" w:rsidRDefault="00B40BB0" w:rsidP="00CF3803">
      <w:pPr>
        <w:spacing w:after="0" w:line="240" w:lineRule="auto"/>
      </w:pPr>
      <w:r>
        <w:separator/>
      </w:r>
    </w:p>
  </w:endnote>
  <w:endnote w:type="continuationSeparator" w:id="0">
    <w:p w:rsidR="00B40BB0" w:rsidRDefault="00B40BB0"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BB0" w:rsidRDefault="00B40BB0" w:rsidP="00CF3803">
      <w:pPr>
        <w:spacing w:after="0" w:line="240" w:lineRule="auto"/>
      </w:pPr>
      <w:r>
        <w:separator/>
      </w:r>
    </w:p>
  </w:footnote>
  <w:footnote w:type="continuationSeparator" w:id="0">
    <w:p w:rsidR="00B40BB0" w:rsidRDefault="00B40BB0"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13"/>
  </w:num>
  <w:num w:numId="5">
    <w:abstractNumId w:val="9"/>
  </w:num>
  <w:num w:numId="6">
    <w:abstractNumId w:val="4"/>
  </w:num>
  <w:num w:numId="7">
    <w:abstractNumId w:val="1"/>
  </w:num>
  <w:num w:numId="8">
    <w:abstractNumId w:val="11"/>
  </w:num>
  <w:num w:numId="9">
    <w:abstractNumId w:val="15"/>
  </w:num>
  <w:num w:numId="10">
    <w:abstractNumId w:val="5"/>
  </w:num>
  <w:num w:numId="11">
    <w:abstractNumId w:val="10"/>
  </w:num>
  <w:num w:numId="12">
    <w:abstractNumId w:val="14"/>
  </w:num>
  <w:num w:numId="13">
    <w:abstractNumId w:val="7"/>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0FC4"/>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00C0"/>
    <w:rsid w:val="001579A4"/>
    <w:rsid w:val="0016443D"/>
    <w:rsid w:val="001A0475"/>
    <w:rsid w:val="001A0942"/>
    <w:rsid w:val="001A13E7"/>
    <w:rsid w:val="001C7197"/>
    <w:rsid w:val="001C7614"/>
    <w:rsid w:val="001D1A90"/>
    <w:rsid w:val="001F4B47"/>
    <w:rsid w:val="001F4CC1"/>
    <w:rsid w:val="002120B7"/>
    <w:rsid w:val="00212899"/>
    <w:rsid w:val="0021595D"/>
    <w:rsid w:val="00216286"/>
    <w:rsid w:val="0021690B"/>
    <w:rsid w:val="00226CE2"/>
    <w:rsid w:val="00233FD2"/>
    <w:rsid w:val="00234916"/>
    <w:rsid w:val="00244A0C"/>
    <w:rsid w:val="00252BBF"/>
    <w:rsid w:val="002533FB"/>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A3A66"/>
    <w:rsid w:val="003C06A1"/>
    <w:rsid w:val="003C1B9D"/>
    <w:rsid w:val="003E3A28"/>
    <w:rsid w:val="003E4862"/>
    <w:rsid w:val="003E5C03"/>
    <w:rsid w:val="003F0645"/>
    <w:rsid w:val="003F658A"/>
    <w:rsid w:val="00407B93"/>
    <w:rsid w:val="00414913"/>
    <w:rsid w:val="004168C8"/>
    <w:rsid w:val="0042224B"/>
    <w:rsid w:val="00422288"/>
    <w:rsid w:val="00461B8B"/>
    <w:rsid w:val="00466C5E"/>
    <w:rsid w:val="00470544"/>
    <w:rsid w:val="0047282D"/>
    <w:rsid w:val="00483DAC"/>
    <w:rsid w:val="004B206A"/>
    <w:rsid w:val="004B496E"/>
    <w:rsid w:val="004C335B"/>
    <w:rsid w:val="004E0D4E"/>
    <w:rsid w:val="004F585E"/>
    <w:rsid w:val="00501BEC"/>
    <w:rsid w:val="00503C06"/>
    <w:rsid w:val="00504DFD"/>
    <w:rsid w:val="00505F5D"/>
    <w:rsid w:val="00506594"/>
    <w:rsid w:val="00517D0F"/>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579B2"/>
    <w:rsid w:val="00761153"/>
    <w:rsid w:val="0076502B"/>
    <w:rsid w:val="00782027"/>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44D8F"/>
    <w:rsid w:val="00856985"/>
    <w:rsid w:val="00886254"/>
    <w:rsid w:val="008A21D9"/>
    <w:rsid w:val="008B78EB"/>
    <w:rsid w:val="008C3328"/>
    <w:rsid w:val="008D5D52"/>
    <w:rsid w:val="008D7643"/>
    <w:rsid w:val="008D7A41"/>
    <w:rsid w:val="008F5ED1"/>
    <w:rsid w:val="00902FD9"/>
    <w:rsid w:val="00905688"/>
    <w:rsid w:val="00914F24"/>
    <w:rsid w:val="0091667B"/>
    <w:rsid w:val="00946ED1"/>
    <w:rsid w:val="00947669"/>
    <w:rsid w:val="00953D59"/>
    <w:rsid w:val="00960074"/>
    <w:rsid w:val="009703C0"/>
    <w:rsid w:val="0098633C"/>
    <w:rsid w:val="00986E67"/>
    <w:rsid w:val="009A6009"/>
    <w:rsid w:val="009B2A26"/>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40BB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6584C"/>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uvo.gov.sk/iednotnv-europskv-%20dokument-pre-verei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E7CDC-9BF8-4202-8EE4-6717E20D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1608</Words>
  <Characters>9169</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10756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Ľuboš Mravík</cp:lastModifiedBy>
  <cp:revision>9</cp:revision>
  <cp:lastPrinted>2016-07-29T05:17:00Z</cp:lastPrinted>
  <dcterms:created xsi:type="dcterms:W3CDTF">2022-01-11T17:32:00Z</dcterms:created>
  <dcterms:modified xsi:type="dcterms:W3CDTF">2022-04-01T08:04:00Z</dcterms:modified>
</cp:coreProperties>
</file>