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s</w:t>
      </w:r>
      <w:r w:rsidRPr="00260EEA">
        <w:rPr>
          <w:rFonts w:ascii="Arial Narrow" w:hAnsi="Arial Narrow"/>
          <w:b w:val="0"/>
          <w:sz w:val="22"/>
          <w:szCs w:val="22"/>
        </w:rPr>
        <w:t>ekcia ekonomiky Ministerstva vnútra Slovenskej republiky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o</w:t>
      </w:r>
      <w:r w:rsidRPr="00260EEA">
        <w:rPr>
          <w:rFonts w:ascii="Arial Narrow" w:hAnsi="Arial Narrow"/>
          <w:b w:val="0"/>
          <w:sz w:val="22"/>
          <w:szCs w:val="22"/>
        </w:rPr>
        <w:t>dbor hospodárskeho zabezpečenia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r w:rsidRPr="00260EEA">
        <w:rPr>
          <w:rFonts w:ascii="Arial Narrow" w:hAnsi="Arial Narrow"/>
          <w:b w:val="0"/>
          <w:sz w:val="22"/>
          <w:szCs w:val="22"/>
        </w:rPr>
        <w:t>Košická 47, 812 72 Bratislava</w:t>
      </w:r>
    </w:p>
    <w:p w:rsidR="00260EEA" w:rsidRPr="00260EEA" w:rsidRDefault="00260EEA" w:rsidP="00260EEA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</w:t>
      </w:r>
    </w:p>
    <w:p w:rsidR="00D63123" w:rsidRPr="00260EEA" w:rsidRDefault="00D63123" w:rsidP="00260EEA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60EEA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SE-OHZ3-2022/00</w:t>
      </w:r>
      <w:r w:rsidR="00852C79" w:rsidRPr="0026715C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26715C" w:rsidRPr="0026715C">
        <w:rPr>
          <w:rFonts w:ascii="Arial Narrow" w:hAnsi="Arial Narrow"/>
          <w:b w:val="0"/>
          <w:sz w:val="22"/>
          <w:szCs w:val="22"/>
        </w:rPr>
        <w:t>018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9866C8">
        <w:rPr>
          <w:rFonts w:ascii="Arial Narrow" w:hAnsi="Arial Narrow"/>
          <w:b w:val="0"/>
          <w:sz w:val="22"/>
          <w:szCs w:val="22"/>
          <w:lang w:val="sk-SK"/>
        </w:rPr>
        <w:t>8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(zadávanie zákazky s nízkou hodnotou</w:t>
      </w:r>
    </w:p>
    <w:p w:rsidR="00260EEA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a o zmene a doplnení niektorých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852C79" w:rsidRPr="00852C79" w:rsidRDefault="00211E45" w:rsidP="00852C79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</w:rPr>
      </w:pPr>
      <w:r w:rsidRPr="00852C79">
        <w:rPr>
          <w:rFonts w:ascii="Arial Narrow" w:hAnsi="Arial Narrow"/>
          <w:sz w:val="22"/>
          <w:szCs w:val="22"/>
          <w:lang w:val="sk-SK"/>
        </w:rPr>
        <w:t>Názov:</w:t>
      </w:r>
      <w:r w:rsidRPr="00852C7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852C79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, </w:t>
      </w:r>
      <w:r w:rsidR="00852C79">
        <w:rPr>
          <w:rFonts w:ascii="Arial Narrow" w:hAnsi="Arial Narrow"/>
          <w:b w:val="0"/>
          <w:sz w:val="22"/>
          <w:szCs w:val="22"/>
        </w:rPr>
        <w:t>sekcia ekonomiky,</w:t>
      </w:r>
      <w:r w:rsidR="00852C79" w:rsidRPr="00852C79">
        <w:rPr>
          <w:rFonts w:ascii="Arial Narrow" w:hAnsi="Arial Narrow"/>
          <w:b w:val="0"/>
          <w:sz w:val="22"/>
          <w:szCs w:val="22"/>
        </w:rPr>
        <w:t xml:space="preserve"> odbor hospodárskeho zabezpečenia</w:t>
      </w:r>
      <w:r w:rsidR="00852C79">
        <w:rPr>
          <w:rFonts w:ascii="Arial Narrow" w:hAnsi="Arial Narrow"/>
          <w:b w:val="0"/>
          <w:sz w:val="22"/>
          <w:szCs w:val="22"/>
        </w:rPr>
        <w:t xml:space="preserve">,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Košická 47,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52C79">
        <w:rPr>
          <w:rFonts w:ascii="Arial Narrow" w:hAnsi="Arial Narrow"/>
          <w:b w:val="0"/>
          <w:sz w:val="22"/>
          <w:szCs w:val="22"/>
          <w:lang w:val="sk-SK"/>
        </w:rPr>
        <w:t>Mgr. Janette Zajacová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0961054093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janette.zajacova@minv.sk</w:t>
      </w:r>
    </w:p>
    <w:p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7D2133" w:rsidRPr="007D2133">
        <w:rPr>
          <w:rFonts w:ascii="Arial Narrow" w:hAnsi="Arial Narrow"/>
          <w:b w:val="0"/>
          <w:sz w:val="22"/>
          <w:szCs w:val="22"/>
          <w:lang w:val="sk-SK"/>
        </w:rPr>
        <w:t>https://josephine.proebiz.com/sk/tender/25336/summary</w:t>
      </w:r>
      <w:r w:rsidR="00A35EBD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26715C" w:rsidRPr="0026715C" w:rsidRDefault="0026715C" w:rsidP="0026715C">
      <w:pPr>
        <w:jc w:val="both"/>
        <w:rPr>
          <w:rFonts w:ascii="Arial Narrow" w:hAnsi="Arial Narrow"/>
          <w:b w:val="0"/>
          <w:iCs/>
          <w:sz w:val="22"/>
          <w:szCs w:val="22"/>
        </w:rPr>
      </w:pPr>
      <w:r w:rsidRPr="0026715C">
        <w:rPr>
          <w:rFonts w:ascii="Arial Narrow" w:hAnsi="Arial Narrow"/>
          <w:b w:val="0"/>
          <w:sz w:val="22"/>
          <w:szCs w:val="22"/>
        </w:rPr>
        <w:t>Kalibrácia a overenie správnej funkčnosti laminárnych boxov</w:t>
      </w:r>
      <w:r w:rsidR="00DD5E73">
        <w:rPr>
          <w:rFonts w:ascii="Arial Narrow" w:hAnsi="Arial Narrow"/>
          <w:b w:val="0"/>
          <w:sz w:val="22"/>
          <w:szCs w:val="22"/>
        </w:rPr>
        <w:t xml:space="preserve"> 2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852C79">
        <w:rPr>
          <w:rFonts w:ascii="Arial Narrow" w:hAnsi="Arial Narrow"/>
          <w:sz w:val="22"/>
          <w:szCs w:val="22"/>
          <w:lang w:val="sk-SK"/>
        </w:rPr>
        <w:t xml:space="preserve">: </w:t>
      </w:r>
      <w:r w:rsidR="00852C79" w:rsidRPr="00852C7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8E2B8B">
      <w:pPr>
        <w:rPr>
          <w:lang w:val="sk-SK"/>
        </w:rPr>
      </w:pPr>
      <w:r w:rsidRPr="00B359CE">
        <w:rPr>
          <w:lang w:val="sk-SK"/>
        </w:rPr>
        <w:t>Spoločný slovník obstarávania</w:t>
      </w:r>
      <w:r w:rsidRPr="00B359CE">
        <w:rPr>
          <w:smallCaps/>
          <w:lang w:val="sk-SK"/>
        </w:rPr>
        <w:t xml:space="preserve"> (CPV):  </w:t>
      </w:r>
      <w:r w:rsidR="00852C79" w:rsidRPr="008E2B8B">
        <w:rPr>
          <w:rFonts w:ascii="Arial Narrow" w:hAnsi="Arial Narrow"/>
          <w:b w:val="0"/>
          <w:smallCaps/>
          <w:sz w:val="22"/>
          <w:szCs w:val="22"/>
          <w:lang w:val="sk-SK"/>
        </w:rPr>
        <w:t>50433000-9</w:t>
      </w:r>
      <w:r w:rsidR="0026715C" w:rsidRPr="008E2B8B">
        <w:rPr>
          <w:b w:val="0"/>
          <w:smallCaps/>
          <w:sz w:val="22"/>
          <w:szCs w:val="22"/>
          <w:lang w:val="sk-SK"/>
        </w:rPr>
        <w:t xml:space="preserve"> </w:t>
      </w:r>
      <w:r w:rsidR="008E2B8B">
        <w:rPr>
          <w:b w:val="0"/>
          <w:smallCaps/>
          <w:sz w:val="22"/>
          <w:szCs w:val="22"/>
          <w:lang w:val="sk-SK"/>
        </w:rPr>
        <w:t xml:space="preserve"> </w:t>
      </w:r>
      <w:r w:rsidR="00E31BEC" w:rsidRPr="00B359CE">
        <w:rPr>
          <w:lang w:val="sk-SK"/>
        </w:rPr>
        <w:t xml:space="preserve"> </w:t>
      </w:r>
      <w:r w:rsidR="00E31BEC" w:rsidRPr="00B359CE">
        <w:rPr>
          <w:lang w:val="sk-SK"/>
        </w:rPr>
        <w:cr/>
      </w:r>
      <w:r w:rsidRPr="00B359CE">
        <w:rPr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52C79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Kriminalistický a expertízny ústav P PZ Bratislava, Košice, Slovenská Ľupča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852C7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9866C8">
        <w:rPr>
          <w:rFonts w:ascii="Arial Narrow" w:hAnsi="Arial Narrow"/>
          <w:b w:val="0"/>
          <w:sz w:val="22"/>
          <w:szCs w:val="22"/>
          <w:lang w:val="sk-SK"/>
        </w:rPr>
        <w:t>0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="009866C8">
        <w:rPr>
          <w:rFonts w:ascii="Arial Narrow" w:hAnsi="Arial Narrow"/>
          <w:b w:val="0"/>
          <w:sz w:val="22"/>
          <w:szCs w:val="22"/>
          <w:lang w:val="sk-SK"/>
        </w:rPr>
        <w:t>09</w:t>
      </w:r>
      <w:r>
        <w:rPr>
          <w:rFonts w:ascii="Arial Narrow" w:hAnsi="Arial Narrow"/>
          <w:b w:val="0"/>
          <w:sz w:val="22"/>
          <w:szCs w:val="22"/>
          <w:lang w:val="sk-SK"/>
        </w:rPr>
        <w:t>. 2022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52C79" w:rsidRPr="00852C79" w:rsidRDefault="00852C79" w:rsidP="00852C79">
      <w:pPr>
        <w:jc w:val="both"/>
        <w:rPr>
          <w:rFonts w:ascii="Arial Narrow" w:hAnsi="Arial Narrow"/>
          <w:b w:val="0"/>
          <w:sz w:val="22"/>
          <w:szCs w:val="22"/>
        </w:rPr>
      </w:pPr>
      <w:r w:rsidRPr="00852C79">
        <w:rPr>
          <w:rFonts w:ascii="Arial Narrow" w:hAnsi="Arial Narrow"/>
          <w:b w:val="0"/>
          <w:sz w:val="22"/>
          <w:szCs w:val="22"/>
        </w:rPr>
        <w:t>Špecifikácia predmetu zákazky je uvedená v prílohe č. 1.</w:t>
      </w:r>
    </w:p>
    <w:p w:rsidR="004935D3" w:rsidRPr="00B359CE" w:rsidRDefault="00852C79" w:rsidP="00852C79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V cene zákazky sú zahrnuté aj dopravné náklady súvisiace </w:t>
      </w:r>
      <w:r w:rsidR="008E2B8B">
        <w:rPr>
          <w:rFonts w:ascii="Arial Narrow" w:hAnsi="Arial Narrow"/>
          <w:b w:val="0"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sz w:val="22"/>
          <w:szCs w:val="22"/>
          <w:lang w:val="sk-SK"/>
        </w:rPr>
        <w:t>o zabezpečením služby (napr. doprava, servisná hodina). 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Pr="00B359CE" w:rsidRDefault="006F2699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 xml:space="preserve">Predpokladaná hodnota zákazky </w:t>
      </w:r>
      <w:r w:rsidR="000E3F01" w:rsidRPr="00B359CE">
        <w:rPr>
          <w:rFonts w:ascii="Arial Narrow" w:hAnsi="Arial Narrow"/>
          <w:b w:val="0"/>
          <w:szCs w:val="22"/>
        </w:rPr>
        <w:t xml:space="preserve">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8E2B8B">
        <w:rPr>
          <w:rFonts w:ascii="Arial Narrow" w:hAnsi="Arial Narrow"/>
          <w:b w:val="0"/>
          <w:szCs w:val="22"/>
        </w:rPr>
        <w:t>7 864,00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227FAE" w:rsidRPr="00B359CE" w:rsidRDefault="005D20DC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</w:t>
      </w:r>
      <w:r w:rsidR="00227FAE" w:rsidRPr="00B359CE">
        <w:rPr>
          <w:rFonts w:ascii="Arial Narrow" w:hAnsi="Arial Narrow"/>
          <w:sz w:val="22"/>
          <w:szCs w:val="22"/>
          <w:lang w:val="sk-SK"/>
        </w:rPr>
        <w:t xml:space="preserve">oužije sa elektronická aukcia: 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866C8">
        <w:rPr>
          <w:rFonts w:ascii="Arial Narrow" w:hAnsi="Arial Narrow"/>
          <w:b w:val="0"/>
          <w:sz w:val="22"/>
          <w:szCs w:val="22"/>
          <w:lang w:val="sk-SK"/>
        </w:rPr>
        <w:t>12</w:t>
      </w:r>
      <w:r w:rsidR="008E2B8B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728FA">
        <w:rPr>
          <w:rFonts w:ascii="Arial Narrow" w:hAnsi="Arial Narrow"/>
          <w:b w:val="0"/>
          <w:sz w:val="22"/>
          <w:szCs w:val="22"/>
          <w:lang w:val="sk-SK"/>
        </w:rPr>
        <w:t>08</w:t>
      </w:r>
      <w:r w:rsidR="0049657A">
        <w:rPr>
          <w:rFonts w:ascii="Arial Narrow" w:hAnsi="Arial Narrow"/>
          <w:b w:val="0"/>
          <w:sz w:val="22"/>
          <w:szCs w:val="22"/>
          <w:lang w:val="sk-SK"/>
        </w:rPr>
        <w:t>. 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</w:t>
      </w:r>
      <w:r w:rsidR="0049657A">
        <w:rPr>
          <w:rFonts w:ascii="Arial Narrow" w:hAnsi="Arial Narrow"/>
          <w:sz w:val="22"/>
          <w:szCs w:val="22"/>
          <w:lang w:val="sk-SK"/>
        </w:rPr>
        <w:t xml:space="preserve">: </w:t>
      </w:r>
      <w:r w:rsidR="0049657A" w:rsidRPr="00030933">
        <w:rPr>
          <w:rFonts w:ascii="Arial Narrow" w:hAnsi="Arial Narrow"/>
          <w:b w:val="0"/>
          <w:sz w:val="22"/>
          <w:szCs w:val="22"/>
          <w:lang w:val="sk-SK"/>
        </w:rPr>
        <w:t>12.00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6F2699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.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C34669" w:rsidRPr="00C34669" w:rsidRDefault="00C34669" w:rsidP="00C34669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Súčasťou ponuky uchádzača musí byť v zmysle § 14 zákona č. 18/2018 Z.z. o ochrane osobných údajov a o zmene a doplnení niektorých zákonov jeho súhlas so spracovaním osobných údajov (tlačivo na súhlas je v prílohe tejto výzvy) a vyhlásenie, že v súlade s § 32 ods. 1 písm. f) zákona č. 343/2015 Z.z.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C34669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34669"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cenových ponúk je najnižšia cena za celý predmet zákazky bez DPH. </w:t>
      </w:r>
      <w:r w:rsidRPr="00C34669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  <w:r w:rsidR="000B1601" w:rsidRPr="00C3466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Neúspešných uchádzačov bude verejný obstarávateľ informovať o výsledku vyhodnotenia ponúk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)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B359CE" w:rsidRDefault="00C3466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260EEA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..........................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</w:t>
      </w:r>
      <w:r w:rsidR="00C34669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FD5709" w:rsidRPr="00B359CE" w:rsidRDefault="00376F0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</w:t>
      </w:r>
      <w:r w:rsidR="00260EEA">
        <w:rPr>
          <w:rFonts w:ascii="Arial Narrow" w:hAnsi="Arial Narrow"/>
          <w:b w:val="0"/>
          <w:sz w:val="22"/>
          <w:szCs w:val="22"/>
          <w:lang w:val="sk-SK" w:eastAsia="sk-SK"/>
        </w:rPr>
        <w:t xml:space="preserve">Ing. Martina Hrnčiarová </w:t>
      </w:r>
    </w:p>
    <w:p w:rsidR="008E2B8B" w:rsidRPr="001321E4" w:rsidRDefault="00FD5709" w:rsidP="008E2B8B">
      <w:pPr>
        <w:pStyle w:val="Default"/>
        <w:jc w:val="center"/>
        <w:rPr>
          <w:rFonts w:ascii="Arial Narrow" w:hAnsi="Arial Narrow"/>
          <w:b/>
          <w:iCs/>
        </w:rPr>
      </w:pPr>
      <w:r w:rsidRPr="00B359CE">
        <w:rPr>
          <w:rFonts w:ascii="Arial Narrow" w:hAnsi="Arial Narrow"/>
          <w:sz w:val="22"/>
          <w:szCs w:val="22"/>
        </w:rPr>
        <w:lastRenderedPageBreak/>
        <w:t xml:space="preserve">    </w:t>
      </w:r>
      <w:bookmarkStart w:id="2" w:name="_GoBack"/>
      <w:r w:rsidR="008E2B8B" w:rsidRPr="001321E4">
        <w:rPr>
          <w:rFonts w:ascii="Arial Narrow" w:hAnsi="Arial Narrow"/>
          <w:b/>
          <w:iCs/>
        </w:rPr>
        <w:t>Opis predmetu zákazky</w:t>
      </w:r>
    </w:p>
    <w:p w:rsidR="008E2B8B" w:rsidRPr="001321E4" w:rsidRDefault="008E2B8B" w:rsidP="008E2B8B">
      <w:pPr>
        <w:pStyle w:val="Default"/>
        <w:jc w:val="center"/>
        <w:rPr>
          <w:rFonts w:ascii="Arial Narrow" w:hAnsi="Arial Narrow"/>
          <w:b/>
          <w:iCs/>
        </w:rPr>
      </w:pPr>
    </w:p>
    <w:p w:rsidR="008E2B8B" w:rsidRDefault="008E2B8B" w:rsidP="008E2B8B">
      <w:pPr>
        <w:pStyle w:val="Default"/>
        <w:ind w:left="1843" w:hanging="1843"/>
        <w:rPr>
          <w:rFonts w:ascii="Arial Narrow" w:hAnsi="Arial Narrow"/>
          <w:b/>
          <w:iCs/>
          <w:sz w:val="22"/>
          <w:szCs w:val="22"/>
        </w:rPr>
      </w:pPr>
      <w:r w:rsidRPr="001321E4">
        <w:rPr>
          <w:rFonts w:ascii="Arial Narrow" w:hAnsi="Arial Narrow"/>
          <w:b/>
          <w:iCs/>
          <w:sz w:val="22"/>
          <w:szCs w:val="22"/>
        </w:rPr>
        <w:t>Predmet zákazky</w:t>
      </w:r>
      <w:r w:rsidRPr="001321E4">
        <w:rPr>
          <w:rFonts w:ascii="Arial Narrow" w:hAnsi="Arial Narrow"/>
          <w:iCs/>
          <w:sz w:val="22"/>
          <w:szCs w:val="22"/>
        </w:rPr>
        <w:t xml:space="preserve">: </w:t>
      </w:r>
      <w:r>
        <w:rPr>
          <w:rFonts w:ascii="Arial Narrow" w:hAnsi="Arial Narrow"/>
        </w:rPr>
        <w:t>Kalibrácia a overenie správnej funkčnosti laminárnych boxov</w:t>
      </w:r>
      <w:r w:rsidRPr="001321E4"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8E2B8B" w:rsidRPr="00AF6A56" w:rsidRDefault="008E2B8B" w:rsidP="008E2B8B">
      <w:pPr>
        <w:pStyle w:val="Default"/>
        <w:ind w:left="1843" w:hanging="1843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b/>
          <w:iCs/>
          <w:sz w:val="22"/>
          <w:szCs w:val="22"/>
        </w:rPr>
        <w:t>Miesto plnenia</w:t>
      </w:r>
      <w:r w:rsidRPr="001321E4">
        <w:rPr>
          <w:rFonts w:ascii="Arial Narrow" w:hAnsi="Arial Narrow"/>
          <w:iCs/>
          <w:sz w:val="22"/>
          <w:szCs w:val="22"/>
        </w:rPr>
        <w:t xml:space="preserve">:   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1321E4">
        <w:rPr>
          <w:rFonts w:ascii="Arial Narrow" w:hAnsi="Arial Narrow"/>
          <w:iCs/>
          <w:sz w:val="22"/>
          <w:szCs w:val="22"/>
        </w:rPr>
        <w:t xml:space="preserve"> </w:t>
      </w:r>
      <w:r w:rsidRPr="00AF6A56">
        <w:rPr>
          <w:rFonts w:ascii="Arial Narrow" w:hAnsi="Arial Narrow"/>
          <w:sz w:val="22"/>
          <w:szCs w:val="22"/>
        </w:rPr>
        <w:t>Kriminalistický a expertízny ústav PZ, Sklabinská 1, Bratislava</w:t>
      </w:r>
    </w:p>
    <w:p w:rsidR="008E2B8B" w:rsidRPr="008E2B8B" w:rsidRDefault="008E2B8B" w:rsidP="008E2B8B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</w:t>
      </w:r>
      <w:r w:rsidRPr="008E2B8B">
        <w:rPr>
          <w:rFonts w:ascii="Arial Narrow" w:hAnsi="Arial Narrow"/>
          <w:b w:val="0"/>
          <w:sz w:val="22"/>
          <w:szCs w:val="22"/>
        </w:rPr>
        <w:t>Kriminalistický a expertízny ústav PZ, Príboj 560, Slovenská Ľupča</w:t>
      </w:r>
    </w:p>
    <w:p w:rsidR="008E2B8B" w:rsidRPr="008E2B8B" w:rsidRDefault="008E2B8B" w:rsidP="008E2B8B">
      <w:pPr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 xml:space="preserve">                               Kriminalistický a expertízny ústav PZ, Kuzmányho 8, Košice</w:t>
      </w:r>
    </w:p>
    <w:p w:rsidR="008E2B8B" w:rsidRPr="008E2B8B" w:rsidRDefault="008E2B8B" w:rsidP="008E2B8B">
      <w:pPr>
        <w:pStyle w:val="Default"/>
        <w:rPr>
          <w:rFonts w:ascii="Arial Narrow" w:hAnsi="Arial Narrow"/>
          <w:iCs/>
          <w:sz w:val="22"/>
          <w:szCs w:val="22"/>
        </w:rPr>
      </w:pPr>
    </w:p>
    <w:p w:rsidR="008E2B8B" w:rsidRPr="008E2B8B" w:rsidRDefault="008E2B8B" w:rsidP="008E2B8B">
      <w:pPr>
        <w:pStyle w:val="Default"/>
        <w:rPr>
          <w:rFonts w:ascii="Arial Narrow" w:hAnsi="Arial Narrow"/>
          <w:iCs/>
          <w:sz w:val="22"/>
          <w:szCs w:val="22"/>
        </w:rPr>
      </w:pPr>
      <w:r w:rsidRPr="008E2B8B">
        <w:rPr>
          <w:rFonts w:ascii="Arial Narrow" w:hAnsi="Arial Narrow"/>
          <w:iCs/>
          <w:sz w:val="22"/>
          <w:szCs w:val="22"/>
        </w:rPr>
        <w:t xml:space="preserve"> </w:t>
      </w:r>
    </w:p>
    <w:tbl>
      <w:tblPr>
        <w:tblW w:w="107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1276"/>
        <w:gridCol w:w="992"/>
        <w:gridCol w:w="1276"/>
        <w:gridCol w:w="992"/>
        <w:gridCol w:w="3402"/>
      </w:tblGrid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sz w:val="22"/>
                <w:szCs w:val="22"/>
              </w:rPr>
              <w:t>skúšobné zariadenia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sz w:val="22"/>
                <w:szCs w:val="22"/>
              </w:rPr>
              <w:t>výrobca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sz w:val="22"/>
                <w:szCs w:val="22"/>
              </w:rPr>
              <w:t>počet kusov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sz w:val="22"/>
                <w:szCs w:val="22"/>
              </w:rPr>
              <w:t>výrobné číslo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sz w:val="22"/>
                <w:szCs w:val="22"/>
              </w:rPr>
              <w:t>prac.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sz w:val="22"/>
                <w:szCs w:val="22"/>
              </w:rPr>
              <w:t xml:space="preserve">servisný plán 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EKOSTAR FLOW HF-BH-1200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178/2006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BA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validácia,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EKOSTAR FLOW HF-V-1005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40/2006/A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BA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validácia,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EKOSTAR FLOW HF-V-1005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39/2006/A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KE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validácia,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EKOSTAR FLOW HF-BH-1200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179/2006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KE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validácia,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EKOSTAR FLOW HF – 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34/2005/A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SĽ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validácia,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EKOSTAR FLOW HF – 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38/2006/A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SĽ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validácia,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Cytosafe 1, 34 BASIC Line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CS1340BL-1432120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SĽ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záručná prehliadka, servisná podpora</w:t>
            </w:r>
          </w:p>
        </w:tc>
      </w:tr>
      <w:tr w:rsidR="008E2B8B" w:rsidRPr="008E2B8B" w:rsidTr="00E94521">
        <w:tc>
          <w:tcPr>
            <w:tcW w:w="2813" w:type="dxa"/>
            <w:shd w:val="clear" w:color="auto" w:fill="auto"/>
            <w:vAlign w:val="center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Cytosafe 1, 34 BASIC Line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Ekokrok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CS1340BL-1432121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B8B" w:rsidRPr="008E2B8B" w:rsidRDefault="008E2B8B" w:rsidP="00E94521">
            <w:pPr>
              <w:jc w:val="center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8E2B8B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>SĽ</w:t>
            </w:r>
          </w:p>
        </w:tc>
        <w:tc>
          <w:tcPr>
            <w:tcW w:w="3402" w:type="dxa"/>
            <w:shd w:val="clear" w:color="auto" w:fill="auto"/>
          </w:tcPr>
          <w:p w:rsidR="008E2B8B" w:rsidRPr="008E2B8B" w:rsidRDefault="008E2B8B" w:rsidP="00E9452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8E2B8B">
              <w:rPr>
                <w:rFonts w:ascii="Arial Narrow" w:hAnsi="Arial Narrow"/>
                <w:b w:val="0"/>
                <w:color w:val="000000"/>
                <w:sz w:val="22"/>
                <w:szCs w:val="22"/>
              </w:rPr>
              <w:t>ročná záručná prehliadka, servisná podpora</w:t>
            </w:r>
          </w:p>
        </w:tc>
      </w:tr>
    </w:tbl>
    <w:p w:rsidR="008E2B8B" w:rsidRPr="008E2B8B" w:rsidRDefault="008E2B8B" w:rsidP="008E2B8B">
      <w:pPr>
        <w:ind w:left="284"/>
        <w:jc w:val="both"/>
        <w:rPr>
          <w:rFonts w:ascii="Arial Narrow" w:hAnsi="Arial Narrow"/>
          <w:b w:val="0"/>
          <w:sz w:val="22"/>
          <w:szCs w:val="22"/>
        </w:rPr>
      </w:pPr>
    </w:p>
    <w:p w:rsidR="008E2B8B" w:rsidRPr="008E2B8B" w:rsidRDefault="008E2B8B" w:rsidP="008E2B8B">
      <w:pPr>
        <w:numPr>
          <w:ilvl w:val="0"/>
          <w:numId w:val="17"/>
        </w:numPr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Predmetom služby je vykonanie ročnej validácie a servisnej prehliadky PCR laminárnych boxov s overením ich správnej funkčnosti – overenie prístrojov a to vrátane práce, materiálu k servisu a údržbe, dopravy a servisná podpora na dané prístroje.</w:t>
      </w:r>
    </w:p>
    <w:p w:rsidR="008E2B8B" w:rsidRPr="008E2B8B" w:rsidRDefault="008E2B8B" w:rsidP="008E2B8B">
      <w:pPr>
        <w:numPr>
          <w:ilvl w:val="0"/>
          <w:numId w:val="17"/>
        </w:numPr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Predmetom záručnej služby je vykonanie ročnej validácie a servisnej prehliadky Cytosafe boxov s overením ich správnej funkčnosti – overenie prístrojov a to vrátane práce, materiálu k servisu a údržbe, dopravy a servisná podpora na dané prístroje</w:t>
      </w:r>
    </w:p>
    <w:p w:rsidR="008E2B8B" w:rsidRPr="008E2B8B" w:rsidRDefault="008E2B8B" w:rsidP="008E2B8B">
      <w:pPr>
        <w:pStyle w:val="Odsekzoznamu"/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color w:val="000000"/>
          <w:sz w:val="22"/>
          <w:szCs w:val="22"/>
        </w:rPr>
        <w:t>Do cenovej ponuky za kalibráciu a servis zohľadnite aj náklady na dopravu, prácu servisného technika a cenu za najčastejšie používané náhradné diely používané pri servisnej prehliadke, ako aj náklady na vystavenie protokolov o meraní a kalibrácií zariadení.</w:t>
      </w:r>
    </w:p>
    <w:p w:rsidR="008E2B8B" w:rsidRPr="008E2B8B" w:rsidRDefault="008E2B8B" w:rsidP="008E2B8B">
      <w:pPr>
        <w:pStyle w:val="Odsekzoznamu"/>
        <w:ind w:left="284"/>
        <w:jc w:val="both"/>
        <w:rPr>
          <w:rFonts w:ascii="Arial Narrow" w:hAnsi="Arial Narrow"/>
          <w:b w:val="0"/>
          <w:sz w:val="22"/>
          <w:szCs w:val="22"/>
        </w:rPr>
      </w:pP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Servisná prehliadka zahŕňa: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Vizuálnu kontrolu integrity a funkčnosti zariadenia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Výmenu ULPA/HEPA filtra na vstupe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Výmenu ULPA/HEPA filtra na výstupe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Zabezpečenie náhradných filtračných vložiek na 1 rok prevádzky</w:t>
      </w:r>
    </w:p>
    <w:p w:rsidR="008E2B8B" w:rsidRPr="008E2B8B" w:rsidRDefault="008E2B8B" w:rsidP="008E2B8B">
      <w:pPr>
        <w:pStyle w:val="Odsekzoznamu"/>
        <w:ind w:left="567"/>
        <w:jc w:val="both"/>
        <w:rPr>
          <w:rFonts w:ascii="Arial Narrow" w:hAnsi="Arial Narrow"/>
          <w:b w:val="0"/>
          <w:sz w:val="22"/>
          <w:szCs w:val="22"/>
        </w:rPr>
      </w:pP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284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Servisná podpora zahŕňa: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Opravy prístrojov tak, aby bola zachovaná plná funkčnosť prístrojov pri ich použití objednávateľom v rámci jeho činnosti, ak je taký zásah nevyhnutný.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O vykonaní opravy vydá zhotoviteľ objednávateľovi servisný protokol.</w:t>
      </w:r>
    </w:p>
    <w:p w:rsidR="008E2B8B" w:rsidRPr="008E2B8B" w:rsidRDefault="008E2B8B" w:rsidP="008E2B8B">
      <w:pPr>
        <w:pStyle w:val="Odsekzoznamu"/>
        <w:ind w:left="567"/>
        <w:jc w:val="both"/>
        <w:rPr>
          <w:rFonts w:ascii="Arial Narrow" w:hAnsi="Arial Narrow"/>
          <w:b w:val="0"/>
          <w:sz w:val="22"/>
          <w:szCs w:val="22"/>
        </w:rPr>
      </w:pP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Nastavenie zariadenia / funkčná skúška / validácia zahŕňa: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Nastavenie zariadenia.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Skúšku funkčnosti.</w:t>
      </w:r>
    </w:p>
    <w:p w:rsidR="008E2B8B" w:rsidRPr="008E2B8B" w:rsidRDefault="008E2B8B" w:rsidP="008E2B8B">
      <w:pPr>
        <w:pStyle w:val="Odsekzoznamu"/>
        <w:numPr>
          <w:ilvl w:val="0"/>
          <w:numId w:val="18"/>
        </w:numPr>
        <w:spacing w:after="200"/>
        <w:ind w:left="567" w:hanging="283"/>
        <w:jc w:val="both"/>
        <w:rPr>
          <w:rFonts w:ascii="Arial Narrow" w:hAnsi="Arial Narrow"/>
          <w:b w:val="0"/>
          <w:sz w:val="22"/>
          <w:szCs w:val="22"/>
        </w:rPr>
      </w:pPr>
      <w:r w:rsidRPr="008E2B8B">
        <w:rPr>
          <w:rFonts w:ascii="Arial Narrow" w:hAnsi="Arial Narrow"/>
          <w:b w:val="0"/>
          <w:sz w:val="22"/>
          <w:szCs w:val="22"/>
        </w:rPr>
        <w:t>Validáciu zariadenia podľa STN EN ISO 14644-1.</w:t>
      </w:r>
    </w:p>
    <w:p w:rsidR="00B66531" w:rsidRPr="00B359CE" w:rsidRDefault="008E2B8B" w:rsidP="008E2B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8E2B8B">
        <w:rPr>
          <w:rFonts w:ascii="Arial Narrow" w:hAnsi="Arial Narrow"/>
          <w:b w:val="0"/>
          <w:sz w:val="22"/>
          <w:szCs w:val="22"/>
        </w:rPr>
        <w:t>Vypracovanie dokumentov – skúšobnej správy a vystavenie certifikátu funkčnosti prístro</w:t>
      </w:r>
      <w:bookmarkEnd w:id="2"/>
      <w:r w:rsidRPr="008E2B8B">
        <w:rPr>
          <w:rFonts w:ascii="Arial Narrow" w:hAnsi="Arial Narrow"/>
          <w:b w:val="0"/>
          <w:sz w:val="22"/>
          <w:szCs w:val="22"/>
        </w:rPr>
        <w:t>ja.</w:t>
      </w:r>
      <w:r w:rsidR="00FD5709" w:rsidRPr="008E2B8B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</w:t>
      </w:r>
    </w:p>
    <w:sectPr w:rsidR="00B66531" w:rsidRPr="00B359CE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94" w:rsidRDefault="00156F94" w:rsidP="000F49C3">
      <w:r>
        <w:separator/>
      </w:r>
    </w:p>
  </w:endnote>
  <w:endnote w:type="continuationSeparator" w:id="0">
    <w:p w:rsidR="00156F94" w:rsidRDefault="00156F9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D5E73" w:rsidRPr="00DD5E73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94" w:rsidRDefault="00156F94" w:rsidP="000F49C3">
      <w:r>
        <w:separator/>
      </w:r>
    </w:p>
  </w:footnote>
  <w:footnote w:type="continuationSeparator" w:id="0">
    <w:p w:rsidR="00156F94" w:rsidRDefault="00156F9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0933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6F94"/>
    <w:rsid w:val="001574E3"/>
    <w:rsid w:val="00172453"/>
    <w:rsid w:val="00177F37"/>
    <w:rsid w:val="00183BA4"/>
    <w:rsid w:val="001A0428"/>
    <w:rsid w:val="001A727B"/>
    <w:rsid w:val="001B2495"/>
    <w:rsid w:val="001C1A87"/>
    <w:rsid w:val="001E290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0EEA"/>
    <w:rsid w:val="00262045"/>
    <w:rsid w:val="0026715C"/>
    <w:rsid w:val="0028504B"/>
    <w:rsid w:val="0029230A"/>
    <w:rsid w:val="002938D9"/>
    <w:rsid w:val="00295379"/>
    <w:rsid w:val="002A28E2"/>
    <w:rsid w:val="002A45DE"/>
    <w:rsid w:val="002E3E81"/>
    <w:rsid w:val="002E7A30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76F0A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9657A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28FA"/>
    <w:rsid w:val="0057580A"/>
    <w:rsid w:val="005779D2"/>
    <w:rsid w:val="00586DE1"/>
    <w:rsid w:val="005A7E31"/>
    <w:rsid w:val="005D16FD"/>
    <w:rsid w:val="005D20DC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0D28"/>
    <w:rsid w:val="006A2535"/>
    <w:rsid w:val="006B38E3"/>
    <w:rsid w:val="006D352F"/>
    <w:rsid w:val="006E6D41"/>
    <w:rsid w:val="006F2699"/>
    <w:rsid w:val="00700A5E"/>
    <w:rsid w:val="00700BCE"/>
    <w:rsid w:val="00700C29"/>
    <w:rsid w:val="007074E1"/>
    <w:rsid w:val="007214B6"/>
    <w:rsid w:val="007260E8"/>
    <w:rsid w:val="007373E1"/>
    <w:rsid w:val="00772600"/>
    <w:rsid w:val="00797D45"/>
    <w:rsid w:val="007A0AC5"/>
    <w:rsid w:val="007B63C5"/>
    <w:rsid w:val="007C2D7A"/>
    <w:rsid w:val="007D2133"/>
    <w:rsid w:val="007D41DF"/>
    <w:rsid w:val="007D4FFB"/>
    <w:rsid w:val="00807A08"/>
    <w:rsid w:val="00816EEE"/>
    <w:rsid w:val="00817AAE"/>
    <w:rsid w:val="00824EB7"/>
    <w:rsid w:val="00827EF0"/>
    <w:rsid w:val="008500C1"/>
    <w:rsid w:val="00852C79"/>
    <w:rsid w:val="00870AEF"/>
    <w:rsid w:val="00877D99"/>
    <w:rsid w:val="00884C53"/>
    <w:rsid w:val="0088742C"/>
    <w:rsid w:val="008A7415"/>
    <w:rsid w:val="008B6B60"/>
    <w:rsid w:val="008C64B7"/>
    <w:rsid w:val="008C6767"/>
    <w:rsid w:val="008D2863"/>
    <w:rsid w:val="008D2919"/>
    <w:rsid w:val="008E2AE9"/>
    <w:rsid w:val="008E2B8B"/>
    <w:rsid w:val="008E59E3"/>
    <w:rsid w:val="008F10EC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66C8"/>
    <w:rsid w:val="009A459E"/>
    <w:rsid w:val="009B38DE"/>
    <w:rsid w:val="009B505B"/>
    <w:rsid w:val="009B5CAC"/>
    <w:rsid w:val="009E60F1"/>
    <w:rsid w:val="009F1522"/>
    <w:rsid w:val="009F18EF"/>
    <w:rsid w:val="00A05259"/>
    <w:rsid w:val="00A065AC"/>
    <w:rsid w:val="00A14BE9"/>
    <w:rsid w:val="00A172EA"/>
    <w:rsid w:val="00A2115D"/>
    <w:rsid w:val="00A2629B"/>
    <w:rsid w:val="00A27F82"/>
    <w:rsid w:val="00A35EBD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34669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73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01F6"/>
    <w:rsid w:val="00F32E6A"/>
    <w:rsid w:val="00F36041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DD69D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52C79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2580-B302-4130-8292-7CC5FF93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8555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5</cp:revision>
  <cp:lastPrinted>2022-08-03T06:37:00Z</cp:lastPrinted>
  <dcterms:created xsi:type="dcterms:W3CDTF">2022-07-22T06:29:00Z</dcterms:created>
  <dcterms:modified xsi:type="dcterms:W3CDTF">2022-08-03T06:37:00Z</dcterms:modified>
</cp:coreProperties>
</file>