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 xml:space="preserve">a nasl.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250F949E"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r w:rsidR="009768AA" w:rsidRPr="00FE5CDA">
        <w:rPr>
          <w:rFonts w:asciiTheme="minorHAnsi" w:hAnsiTheme="minorHAnsi" w:cstheme="minorHAnsi"/>
          <w:b/>
          <w:bCs/>
          <w:sz w:val="22"/>
          <w:szCs w:val="22"/>
        </w:rPr>
        <w:t>SOŠHSaD</w:t>
      </w:r>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99368A">
        <w:rPr>
          <w:rFonts w:asciiTheme="minorHAnsi" w:hAnsiTheme="minorHAnsi" w:cstheme="minorHAnsi"/>
          <w:b/>
          <w:bCs/>
          <w:sz w:val="22"/>
          <w:szCs w:val="22"/>
        </w:rPr>
        <w:t>Elektrické prístroje</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verejného </w:t>
      </w:r>
      <w:r w:rsidR="009F08A1" w:rsidRPr="00AC7ABD">
        <w:rPr>
          <w:rFonts w:asciiTheme="minorHAnsi" w:hAnsiTheme="minorHAnsi" w:cstheme="minorHAnsi"/>
          <w:sz w:val="22"/>
          <w:szCs w:val="22"/>
        </w:rPr>
        <w:lastRenderedPageBreak/>
        <w:t>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0E973B11"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99368A">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99368A">
        <w:rPr>
          <w:rFonts w:asciiTheme="minorHAnsi" w:hAnsiTheme="minorHAnsi" w:cstheme="minorHAnsi"/>
          <w:b/>
          <w:bCs/>
          <w:sz w:val="22"/>
          <w:szCs w:val="22"/>
        </w:rPr>
        <w:t>Elektrické prístroje</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99368A">
        <w:rPr>
          <w:rFonts w:asciiTheme="minorHAnsi" w:hAnsiTheme="minorHAnsi" w:cstheme="minorHAnsi"/>
          <w:b/>
          <w:bCs/>
          <w:i/>
          <w:iCs/>
          <w:sz w:val="22"/>
          <w:szCs w:val="22"/>
        </w:rPr>
        <w:t>1</w:t>
      </w:r>
      <w:r w:rsidR="00B566A2">
        <w:rPr>
          <w:rFonts w:asciiTheme="minorHAnsi" w:hAnsiTheme="minorHAnsi" w:cstheme="minorHAnsi"/>
          <w:b/>
          <w:bCs/>
          <w:i/>
          <w:iCs/>
          <w:sz w:val="22"/>
          <w:szCs w:val="22"/>
        </w:rPr>
        <w:t>2</w:t>
      </w:r>
      <w:r w:rsidR="00525614">
        <w:rPr>
          <w:rFonts w:asciiTheme="minorHAnsi" w:hAnsiTheme="minorHAnsi" w:cstheme="minorHAnsi"/>
          <w:b/>
          <w:bCs/>
          <w:i/>
          <w:iCs/>
          <w:sz w:val="22"/>
          <w:szCs w:val="22"/>
        </w:rPr>
        <w:t xml:space="preserve"> - „</w:t>
      </w:r>
      <w:r w:rsidR="0099368A">
        <w:rPr>
          <w:rFonts w:asciiTheme="minorHAnsi" w:hAnsiTheme="minorHAnsi" w:cstheme="minorHAnsi"/>
          <w:b/>
          <w:bCs/>
          <w:i/>
          <w:iCs/>
          <w:sz w:val="22"/>
          <w:szCs w:val="22"/>
        </w:rPr>
        <w:t>K</w:t>
      </w:r>
      <w:r w:rsidR="00B566A2">
        <w:rPr>
          <w:rFonts w:asciiTheme="minorHAnsi" w:hAnsiTheme="minorHAnsi" w:cstheme="minorHAnsi"/>
          <w:b/>
          <w:bCs/>
          <w:i/>
          <w:iCs/>
          <w:sz w:val="22"/>
          <w:szCs w:val="22"/>
        </w:rPr>
        <w:t>aderník</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vnášať zbrane, strelivá,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(ŽoNFP)</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1F2F298D" w14:textId="77777777" w:rsidR="004F6525" w:rsidRPr="00397B18" w:rsidRDefault="004F6525" w:rsidP="004F6525">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F59BA25" w14:textId="77777777" w:rsidR="004F6525" w:rsidRPr="00914239" w:rsidRDefault="004F6525" w:rsidP="004F6525">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04718EC" w14:textId="77777777" w:rsidR="004F6525" w:rsidRPr="00EA7B10" w:rsidRDefault="004F6525" w:rsidP="004F6525">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050FA66D"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0AFC1DCB" w:rsidR="00B57B03" w:rsidRPr="00914239" w:rsidRDefault="00B57B03" w:rsidP="004F6525">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4F6525">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7ACB" w14:textId="77777777" w:rsidR="00885EBA" w:rsidRDefault="00885EBA" w:rsidP="007201A3">
      <w:r>
        <w:separator/>
      </w:r>
    </w:p>
  </w:endnote>
  <w:endnote w:type="continuationSeparator" w:id="0">
    <w:p w14:paraId="52770812" w14:textId="77777777" w:rsidR="00885EBA" w:rsidRDefault="00885EBA"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A2FD2" w14:textId="77777777" w:rsidR="00885EBA" w:rsidRDefault="00885EBA" w:rsidP="007201A3">
      <w:r>
        <w:separator/>
      </w:r>
    </w:p>
  </w:footnote>
  <w:footnote w:type="continuationSeparator" w:id="0">
    <w:p w14:paraId="2A83E06E" w14:textId="77777777" w:rsidR="00885EBA" w:rsidRDefault="00885EBA"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0D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4F6525"/>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5EBA"/>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5EB0"/>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368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66A2"/>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BAF"/>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8483</Words>
  <Characters>48356</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2022-08-03T11:17:00Z</dcterms:created>
  <dcterms:modified xsi:type="dcterms:W3CDTF">2022-08-08T08:15:00Z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