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127F90CA"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202B1D" w:rsidRPr="00E75798">
        <w:rPr>
          <w:rFonts w:ascii="Cambria" w:hAnsi="Cambria"/>
          <w:b/>
          <w:sz w:val="32"/>
          <w:szCs w:val="32"/>
        </w:rPr>
        <w:t>C-NBS1-000-073-444</w:t>
      </w:r>
    </w:p>
    <w:p w14:paraId="58AECB73" w14:textId="7D4FCFB6" w:rsidR="00F12D5C" w:rsidRPr="00E75798" w:rsidRDefault="00C057AC" w:rsidP="0099618A">
      <w:pPr>
        <w:pStyle w:val="BodyTextIndent"/>
        <w:spacing w:before="0"/>
        <w:ind w:left="0" w:firstLine="0"/>
        <w:jc w:val="center"/>
        <w:rPr>
          <w:rFonts w:ascii="Cambria" w:hAnsi="Cambria"/>
          <w:b/>
          <w:sz w:val="32"/>
          <w:szCs w:val="32"/>
        </w:rPr>
      </w:pPr>
      <w:r w:rsidRPr="00E75798">
        <w:rPr>
          <w:rFonts w:ascii="Cambria" w:hAnsi="Cambria"/>
          <w:b/>
          <w:sz w:val="32"/>
          <w:szCs w:val="32"/>
        </w:rPr>
        <w:t>n</w:t>
      </w:r>
      <w:r w:rsidR="00DD6823" w:rsidRPr="00E75798">
        <w:rPr>
          <w:rFonts w:ascii="Cambria" w:hAnsi="Cambria"/>
          <w:b/>
          <w:sz w:val="32"/>
          <w:szCs w:val="32"/>
        </w:rPr>
        <w:t>a</w:t>
      </w:r>
      <w:r w:rsidRPr="00E75798">
        <w:rPr>
          <w:rFonts w:ascii="Cambria" w:hAnsi="Cambria"/>
          <w:b/>
          <w:sz w:val="32"/>
          <w:szCs w:val="32"/>
        </w:rPr>
        <w:t xml:space="preserve"> IS</w:t>
      </w:r>
      <w:r w:rsidR="00DD6823" w:rsidRPr="00E75798">
        <w:rPr>
          <w:rFonts w:ascii="Cambria" w:hAnsi="Cambria"/>
          <w:b/>
          <w:sz w:val="32"/>
          <w:szCs w:val="32"/>
        </w:rPr>
        <w:t xml:space="preserve"> DWH </w:t>
      </w:r>
      <w:r w:rsidR="004E004E" w:rsidRPr="004E004E">
        <w:rPr>
          <w:rFonts w:ascii="Cambria" w:hAnsi="Cambria"/>
          <w:b/>
          <w:sz w:val="32"/>
          <w:szCs w:val="32"/>
        </w:rPr>
        <w:t xml:space="preserve">– </w:t>
      </w:r>
      <w:r w:rsidR="00DD6823" w:rsidRPr="00E75798">
        <w:rPr>
          <w:rFonts w:ascii="Cambria" w:hAnsi="Cambria"/>
          <w:b/>
          <w:sz w:val="32"/>
          <w:szCs w:val="32"/>
        </w:rPr>
        <w:t>Dátový sklad</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nasl.</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Karvaša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099DA5D5"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&lt;doplní verejný obstarávateľ&gt;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EB7B02" w:rsidRPr="00621F36">
        <w:rPr>
          <w:rFonts w:ascii="Cambria" w:hAnsi="Cambria" w:cs="Arial"/>
          <w:b w:val="0"/>
          <w:bCs/>
          <w:color w:val="000000"/>
          <w:sz w:val="22"/>
          <w:szCs w:val="22"/>
        </w:rPr>
        <w:t>Konsolidácia údajov DWH/BI</w:t>
      </w:r>
      <w:r w:rsidRPr="00621F36">
        <w:rPr>
          <w:rFonts w:ascii="Cambria" w:hAnsi="Cambria" w:cs="Arial"/>
          <w:b w:val="0"/>
          <w:bCs/>
          <w:color w:val="000000"/>
          <w:sz w:val="22"/>
          <w:szCs w:val="22"/>
        </w:rPr>
        <w:t>.</w:t>
      </w:r>
    </w:p>
    <w:p w14:paraId="596F599C" w14:textId="125837C4"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5D601FF6" w14:textId="45BAF87D" w:rsidR="00FB4876" w:rsidRPr="00621F36" w:rsidRDefault="00FB4876" w:rsidP="009A3D19">
      <w:pPr>
        <w:pStyle w:val="Heading1"/>
        <w:numPr>
          <w:ilvl w:val="1"/>
          <w:numId w:val="5"/>
        </w:numPr>
        <w:spacing w:after="240"/>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 xml:space="preserve">Súčasne s touto zmluvou o dielo </w:t>
      </w:r>
      <w:r w:rsidR="006D099A" w:rsidRPr="00621F36">
        <w:rPr>
          <w:rFonts w:ascii="Cambria" w:hAnsi="Cambria" w:cs="Arial"/>
          <w:b w:val="0"/>
          <w:bCs/>
          <w:color w:val="000000"/>
          <w:sz w:val="22"/>
          <w:szCs w:val="22"/>
        </w:rPr>
        <w:t xml:space="preserve">objednávateľ </w:t>
      </w:r>
      <w:r w:rsidRPr="00621F36">
        <w:rPr>
          <w:rFonts w:ascii="Cambria" w:hAnsi="Cambria" w:cs="Arial"/>
          <w:b w:val="0"/>
          <w:bCs/>
          <w:color w:val="000000"/>
          <w:sz w:val="22"/>
          <w:szCs w:val="22"/>
        </w:rPr>
        <w:t>s</w:t>
      </w:r>
      <w:r w:rsidR="006D099A" w:rsidRPr="00621F36">
        <w:rPr>
          <w:rFonts w:ascii="Cambria" w:hAnsi="Cambria" w:cs="Arial"/>
          <w:b w:val="0"/>
          <w:bCs/>
          <w:color w:val="000000"/>
          <w:sz w:val="22"/>
          <w:szCs w:val="22"/>
        </w:rPr>
        <w:t>o</w:t>
      </w:r>
      <w:r w:rsidRPr="00621F36">
        <w:rPr>
          <w:rFonts w:ascii="Cambria" w:hAnsi="Cambria" w:cs="Arial"/>
          <w:b w:val="0"/>
          <w:bCs/>
          <w:color w:val="000000"/>
          <w:sz w:val="22"/>
          <w:szCs w:val="22"/>
        </w:rPr>
        <w:t> zhotoviteľom uzatvára aj Servisn</w:t>
      </w:r>
      <w:r w:rsidR="006D099A" w:rsidRPr="00621F36">
        <w:rPr>
          <w:rFonts w:ascii="Cambria" w:hAnsi="Cambria" w:cs="Arial"/>
          <w:b w:val="0"/>
          <w:bCs/>
          <w:color w:val="000000"/>
          <w:sz w:val="22"/>
          <w:szCs w:val="22"/>
        </w:rPr>
        <w:t>ú</w:t>
      </w:r>
      <w:r w:rsidRPr="00621F36">
        <w:rPr>
          <w:rFonts w:ascii="Cambria" w:hAnsi="Cambria" w:cs="Arial"/>
          <w:b w:val="0"/>
          <w:bCs/>
          <w:color w:val="000000"/>
          <w:sz w:val="22"/>
          <w:szCs w:val="22"/>
        </w:rPr>
        <w:t xml:space="preserve"> zmluv</w:t>
      </w:r>
      <w:r w:rsidR="006D099A" w:rsidRPr="00621F36">
        <w:rPr>
          <w:rFonts w:ascii="Cambria" w:hAnsi="Cambria" w:cs="Arial"/>
          <w:b w:val="0"/>
          <w:bCs/>
          <w:color w:val="000000"/>
          <w:sz w:val="22"/>
          <w:szCs w:val="22"/>
        </w:rPr>
        <w:t>u</w:t>
      </w:r>
      <w:r w:rsidRPr="00621F36">
        <w:rPr>
          <w:rFonts w:ascii="Cambria" w:hAnsi="Cambria" w:cs="Arial"/>
          <w:b w:val="0"/>
          <w:bCs/>
          <w:color w:val="000000"/>
          <w:sz w:val="22"/>
          <w:szCs w:val="22"/>
        </w:rPr>
        <w:t xml:space="preserve"> </w:t>
      </w:r>
      <w:r w:rsidR="000766A1" w:rsidRPr="00953A11">
        <w:rPr>
          <w:rFonts w:ascii="Cambria" w:hAnsi="Cambria" w:cs="Arial"/>
          <w:b w:val="0"/>
          <w:color w:val="000000"/>
          <w:sz w:val="22"/>
          <w:szCs w:val="22"/>
        </w:rPr>
        <w:t xml:space="preserve">č. </w:t>
      </w:r>
      <w:r w:rsidR="003216C7" w:rsidRPr="00953A11">
        <w:rPr>
          <w:rFonts w:ascii="Cambria" w:hAnsi="Cambria" w:cs="Arial"/>
          <w:b w:val="0"/>
          <w:color w:val="000000"/>
          <w:sz w:val="22"/>
          <w:szCs w:val="22"/>
        </w:rPr>
        <w:t>C-NBS1-000-074-008</w:t>
      </w:r>
      <w:r w:rsidR="003216C7">
        <w:rPr>
          <w:rFonts w:ascii="Cambria" w:hAnsi="Cambria" w:cs="Arial"/>
          <w:b w:val="0"/>
          <w:bCs/>
          <w:color w:val="000000"/>
          <w:sz w:val="22"/>
          <w:szCs w:val="22"/>
        </w:rPr>
        <w:t xml:space="preserve"> </w:t>
      </w:r>
      <w:r w:rsidR="000766A1" w:rsidRPr="00621F36">
        <w:rPr>
          <w:rFonts w:ascii="Cambria" w:hAnsi="Cambria" w:cs="Arial"/>
          <w:b w:val="0"/>
          <w:bCs/>
          <w:color w:val="000000"/>
          <w:sz w:val="22"/>
          <w:szCs w:val="22"/>
        </w:rPr>
        <w:t xml:space="preserve">na </w:t>
      </w:r>
      <w:r w:rsidR="005849F6" w:rsidRPr="00621F36">
        <w:rPr>
          <w:rFonts w:ascii="Cambria" w:hAnsi="Cambria" w:cs="Arial"/>
          <w:b w:val="0"/>
          <w:bCs/>
          <w:color w:val="000000"/>
          <w:sz w:val="22"/>
          <w:szCs w:val="22"/>
        </w:rPr>
        <w:t xml:space="preserve">poskytovanie služieb technickej podpory prevádzky, údržby a rozvoja dodaného informačného systému </w:t>
      </w:r>
      <w:r w:rsidR="004E004E" w:rsidRPr="00621F36">
        <w:rPr>
          <w:rFonts w:ascii="Cambria" w:hAnsi="Cambria" w:cs="Arial"/>
          <w:b w:val="0"/>
          <w:bCs/>
          <w:color w:val="000000"/>
          <w:sz w:val="22"/>
          <w:szCs w:val="22"/>
        </w:rPr>
        <w:t xml:space="preserve">– </w:t>
      </w:r>
      <w:r w:rsidR="005849F6" w:rsidRPr="00621F36">
        <w:rPr>
          <w:rFonts w:ascii="Cambria" w:hAnsi="Cambria" w:cs="Arial"/>
          <w:b w:val="0"/>
          <w:bCs/>
          <w:color w:val="000000"/>
          <w:sz w:val="22"/>
          <w:szCs w:val="22"/>
        </w:rPr>
        <w:t>Centrálny celobankový dátový sklad.</w:t>
      </w:r>
    </w:p>
    <w:p w14:paraId="7B924DC5" w14:textId="111383E8"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6C1277B9"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je </w:t>
      </w:r>
      <w:r w:rsidR="00E93DD3" w:rsidRPr="00621F36">
        <w:rPr>
          <w:rFonts w:ascii="Cambria" w:hAnsi="Cambria" w:cs="Arial"/>
          <w:b w:val="0"/>
          <w:color w:val="000000" w:themeColor="text1"/>
          <w:sz w:val="22"/>
          <w:szCs w:val="22"/>
        </w:rPr>
        <w:t>vytvorenie</w:t>
      </w:r>
      <w:r w:rsidR="008F752B" w:rsidRPr="00621F36">
        <w:rPr>
          <w:rFonts w:ascii="Cambria" w:hAnsi="Cambria" w:cs="Arial"/>
          <w:b w:val="0"/>
          <w:color w:val="000000" w:themeColor="text1"/>
          <w:sz w:val="22"/>
          <w:szCs w:val="22"/>
        </w:rPr>
        <w:t xml:space="preserve"> dátového skladu</w:t>
      </w:r>
      <w:r w:rsidR="00B51302" w:rsidRPr="00621F36">
        <w:rPr>
          <w:rFonts w:ascii="Cambria" w:hAnsi="Cambria" w:cs="Arial"/>
          <w:b w:val="0"/>
          <w:color w:val="000000" w:themeColor="text1"/>
          <w:sz w:val="22"/>
          <w:szCs w:val="22"/>
        </w:rPr>
        <w:t>,</w:t>
      </w:r>
      <w:r w:rsidR="008F752B" w:rsidRPr="00621F36">
        <w:rPr>
          <w:rFonts w:ascii="Cambria" w:hAnsi="Cambria" w:cs="Arial"/>
          <w:b w:val="0"/>
          <w:color w:val="000000" w:themeColor="text1"/>
          <w:sz w:val="22"/>
          <w:szCs w:val="22"/>
        </w:rPr>
        <w:t xml:space="preserve"> v ktorom budú</w:t>
      </w:r>
      <w:r w:rsidR="00E93DD3" w:rsidRPr="00621F36">
        <w:rPr>
          <w:rFonts w:ascii="Cambria" w:hAnsi="Cambria" w:cs="Arial"/>
          <w:b w:val="0"/>
          <w:color w:val="000000" w:themeColor="text1"/>
          <w:sz w:val="22"/>
          <w:szCs w:val="22"/>
        </w:rPr>
        <w:t xml:space="preserve"> </w:t>
      </w:r>
      <w:r w:rsidR="008F752B" w:rsidRPr="00621F36">
        <w:rPr>
          <w:rFonts w:ascii="Cambria" w:hAnsi="Cambria" w:cs="Arial"/>
          <w:b w:val="0"/>
          <w:color w:val="000000" w:themeColor="text1"/>
          <w:sz w:val="22"/>
          <w:szCs w:val="22"/>
        </w:rPr>
        <w:t>všetky relevantné informácie a</w:t>
      </w:r>
      <w:r w:rsidR="003577FC" w:rsidRPr="00621F36">
        <w:rPr>
          <w:rFonts w:ascii="Cambria" w:hAnsi="Cambria" w:cs="Arial"/>
          <w:b w:val="0"/>
          <w:color w:val="000000" w:themeColor="text1"/>
          <w:sz w:val="22"/>
          <w:szCs w:val="22"/>
        </w:rPr>
        <w:t> </w:t>
      </w:r>
      <w:r w:rsidR="008F752B" w:rsidRPr="00621F36">
        <w:rPr>
          <w:rFonts w:ascii="Cambria" w:hAnsi="Cambria" w:cs="Arial"/>
          <w:b w:val="0"/>
          <w:color w:val="000000" w:themeColor="text1"/>
          <w:sz w:val="22"/>
          <w:szCs w:val="22"/>
        </w:rPr>
        <w:t>dáta</w:t>
      </w:r>
      <w:r w:rsidR="003577FC" w:rsidRPr="00621F36">
        <w:rPr>
          <w:rFonts w:ascii="Cambria" w:hAnsi="Cambria" w:cs="Arial"/>
          <w:b w:val="0"/>
          <w:color w:val="000000" w:themeColor="text1"/>
          <w:sz w:val="22"/>
          <w:szCs w:val="22"/>
        </w:rPr>
        <w:t>, ktoré NBS používa na každodennej báze, dostupné z jedného bodu.</w:t>
      </w:r>
      <w:r w:rsidR="00BF72F3" w:rsidRPr="00621F36">
        <w:rPr>
          <w:rFonts w:ascii="Cambria" w:hAnsi="Cambria" w:cs="Arial"/>
          <w:b w:val="0"/>
          <w:color w:val="000000" w:themeColor="text1"/>
          <w:sz w:val="22"/>
          <w:szCs w:val="22"/>
        </w:rPr>
        <w:t xml:space="preserve"> </w:t>
      </w:r>
      <w:r w:rsidR="00B51302" w:rsidRPr="00621F36">
        <w:rPr>
          <w:rFonts w:ascii="Cambria" w:hAnsi="Cambria" w:cs="Arial"/>
          <w:b w:val="0"/>
          <w:color w:val="000000" w:themeColor="text1"/>
          <w:sz w:val="22"/>
          <w:szCs w:val="22"/>
        </w:rPr>
        <w:t>V</w:t>
      </w:r>
      <w:r w:rsidR="008F752B" w:rsidRPr="00621F36">
        <w:rPr>
          <w:rFonts w:ascii="Cambria" w:hAnsi="Cambria" w:cs="Arial"/>
          <w:b w:val="0"/>
          <w:color w:val="000000" w:themeColor="text1"/>
          <w:sz w:val="22"/>
          <w:szCs w:val="22"/>
        </w:rPr>
        <w:t>ytvorený dátový sklad má priniesť zvýšenie produktivity a efektivity v rámci riadenia a využívania dát NBS</w:t>
      </w:r>
      <w:r w:rsidR="00EE461C" w:rsidRPr="00621F36">
        <w:rPr>
          <w:rFonts w:ascii="Cambria" w:hAnsi="Cambria" w:cs="Arial"/>
          <w:b w:val="0"/>
          <w:color w:val="000000" w:themeColor="text1"/>
          <w:sz w:val="22"/>
          <w:szCs w:val="22"/>
        </w:rPr>
        <w:t xml:space="preserve">, </w:t>
      </w:r>
      <w:r w:rsidR="003577FC" w:rsidRPr="00621F36">
        <w:rPr>
          <w:rFonts w:ascii="Cambria" w:hAnsi="Cambria" w:cs="Arial"/>
          <w:b w:val="0"/>
          <w:color w:val="000000" w:themeColor="text1"/>
          <w:sz w:val="22"/>
          <w:szCs w:val="22"/>
        </w:rPr>
        <w:t xml:space="preserve">zároveň má </w:t>
      </w:r>
      <w:r w:rsidR="00EE461C" w:rsidRPr="00621F36">
        <w:rPr>
          <w:rFonts w:ascii="Cambria" w:hAnsi="Cambria" w:cs="Arial"/>
          <w:b w:val="0"/>
          <w:color w:val="000000" w:themeColor="text1"/>
          <w:sz w:val="22"/>
          <w:szCs w:val="22"/>
        </w:rPr>
        <w:t>zabezpečiť</w:t>
      </w:r>
      <w:r w:rsidR="008F752B" w:rsidRPr="00621F36">
        <w:rPr>
          <w:rFonts w:ascii="Cambria" w:hAnsi="Cambria" w:cs="Arial"/>
          <w:b w:val="0"/>
          <w:color w:val="000000" w:themeColor="text1"/>
          <w:sz w:val="22"/>
          <w:szCs w:val="22"/>
        </w:rPr>
        <w:t xml:space="preserve"> zníženie operačného rizika spracovania dát, či zabezpečenie štandardnej kvality poskytovaných služieb</w:t>
      </w:r>
      <w:r w:rsidR="00EE461C" w:rsidRPr="00621F36">
        <w:rPr>
          <w:rFonts w:ascii="Cambria" w:hAnsi="Cambria" w:cs="Arial"/>
          <w:b w:val="0"/>
          <w:color w:val="000000" w:themeColor="text1"/>
          <w:sz w:val="22"/>
          <w:szCs w:val="22"/>
        </w:rPr>
        <w:t xml:space="preserve"> NBS</w:t>
      </w:r>
      <w:r w:rsidR="008F752B" w:rsidRPr="00621F36">
        <w:rPr>
          <w:rFonts w:ascii="Cambria" w:hAnsi="Cambria" w:cs="Arial"/>
          <w:b w:val="0"/>
          <w:color w:val="000000" w:themeColor="text1"/>
          <w:sz w:val="22"/>
          <w:szCs w:val="22"/>
        </w:rPr>
        <w:t xml:space="preserve">. </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233E1DCF" w:rsidR="007005E5" w:rsidRPr="00621F36"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21F36">
        <w:rPr>
          <w:rFonts w:ascii="Cambria" w:hAnsi="Cambria"/>
          <w:b w:val="0"/>
          <w:sz w:val="22"/>
          <w:szCs w:val="22"/>
        </w:rPr>
        <w:t>vytvoriť</w:t>
      </w:r>
      <w:bookmarkStart w:id="14" w:name="_Toc45811935"/>
      <w:bookmarkEnd w:id="12"/>
      <w:bookmarkEnd w:id="13"/>
      <w:r w:rsidR="003678EB" w:rsidRPr="00621F36">
        <w:rPr>
          <w:rFonts w:ascii="Cambria" w:hAnsi="Cambria"/>
          <w:b w:val="0"/>
          <w:sz w:val="22"/>
          <w:szCs w:val="22"/>
        </w:rPr>
        <w:t xml:space="preserve"> a dodať</w:t>
      </w:r>
      <w:r w:rsidR="003F4ED4" w:rsidRPr="00621F36">
        <w:rPr>
          <w:rFonts w:ascii="Cambria" w:hAnsi="Cambria"/>
          <w:b w:val="0"/>
          <w:sz w:val="22"/>
          <w:szCs w:val="22"/>
        </w:rPr>
        <w:t xml:space="preserve"> informačný systém</w:t>
      </w:r>
      <w:r w:rsidR="0099249F" w:rsidRPr="00621F36">
        <w:rPr>
          <w:rFonts w:ascii="Cambria" w:hAnsi="Cambria"/>
          <w:b w:val="0"/>
          <w:sz w:val="22"/>
          <w:szCs w:val="22"/>
        </w:rPr>
        <w:t xml:space="preserve"> </w:t>
      </w:r>
      <w:r w:rsidR="001B6E11" w:rsidRPr="00621F36">
        <w:rPr>
          <w:rFonts w:ascii="Cambria" w:hAnsi="Cambria"/>
          <w:b w:val="0"/>
          <w:sz w:val="22"/>
          <w:szCs w:val="22"/>
        </w:rPr>
        <w:t xml:space="preserve">- </w:t>
      </w:r>
      <w:r w:rsidR="0099249F" w:rsidRPr="00621F36">
        <w:rPr>
          <w:rFonts w:ascii="Cambria" w:hAnsi="Cambria"/>
          <w:b w:val="0"/>
          <w:sz w:val="22"/>
          <w:szCs w:val="22"/>
        </w:rPr>
        <w:t>Centrálny celobankový dátový sklad (ďalej len „Dielo“ alebo „</w:t>
      </w:r>
      <w:r w:rsidR="008E4094" w:rsidRPr="00621F36">
        <w:rPr>
          <w:rFonts w:ascii="Cambria" w:hAnsi="Cambria"/>
          <w:b w:val="0"/>
          <w:sz w:val="22"/>
          <w:szCs w:val="22"/>
        </w:rPr>
        <w:t>dodaný informačný systém</w:t>
      </w:r>
      <w:r w:rsidR="0099249F" w:rsidRPr="00621F36">
        <w:rPr>
          <w:rFonts w:ascii="Cambria" w:hAnsi="Cambria"/>
          <w:b w:val="0"/>
          <w:sz w:val="22"/>
          <w:szCs w:val="22"/>
        </w:rPr>
        <w:t>“</w:t>
      </w:r>
      <w:r w:rsidR="00AC6F05" w:rsidRPr="00621F36">
        <w:rPr>
          <w:rFonts w:ascii="Cambria" w:hAnsi="Cambria"/>
          <w:b w:val="0"/>
          <w:sz w:val="22"/>
          <w:szCs w:val="22"/>
        </w:rPr>
        <w:t>)</w:t>
      </w:r>
      <w:r w:rsidR="00BA16CF" w:rsidRPr="00621F36">
        <w:rPr>
          <w:rFonts w:ascii="Cambria" w:hAnsi="Cambria"/>
          <w:b w:val="0"/>
          <w:sz w:val="22"/>
          <w:szCs w:val="22"/>
        </w:rPr>
        <w:t>,</w:t>
      </w:r>
      <w:r w:rsidR="008E4094" w:rsidRPr="00621F36">
        <w:rPr>
          <w:rFonts w:ascii="Cambria" w:hAnsi="Cambria"/>
          <w:b w:val="0"/>
          <w:sz w:val="22"/>
          <w:szCs w:val="22"/>
        </w:rPr>
        <w:t xml:space="preserve"> Dielo sa skladá z piatich častí, osobitných fáz, ktoré musia byť zhotovené</w:t>
      </w:r>
      <w:r w:rsidR="003678EB" w:rsidRPr="00621F36">
        <w:rPr>
          <w:rFonts w:ascii="Cambria" w:hAnsi="Cambria"/>
          <w:b w:val="0"/>
          <w:sz w:val="22"/>
          <w:szCs w:val="22"/>
        </w:rPr>
        <w:t>, dodané</w:t>
      </w:r>
      <w:r w:rsidR="00466743">
        <w:rPr>
          <w:rFonts w:ascii="Cambria" w:hAnsi="Cambria"/>
          <w:b w:val="0"/>
          <w:sz w:val="22"/>
          <w:szCs w:val="22"/>
        </w:rPr>
        <w:t>, vzájomne aj jednotlivo</w:t>
      </w:r>
      <w:r w:rsidR="008E4094" w:rsidRPr="00621F36">
        <w:rPr>
          <w:rFonts w:ascii="Cambria" w:hAnsi="Cambria"/>
          <w:b w:val="0"/>
          <w:sz w:val="22"/>
          <w:szCs w:val="22"/>
        </w:rPr>
        <w:t> funkčné</w:t>
      </w:r>
      <w:r w:rsidR="00986A52">
        <w:rPr>
          <w:rFonts w:ascii="Cambria" w:hAnsi="Cambria"/>
          <w:b w:val="0"/>
          <w:sz w:val="22"/>
          <w:szCs w:val="22"/>
        </w:rPr>
        <w:t>, vzájomne integrované, a to</w:t>
      </w:r>
      <w:r w:rsidR="008E4094" w:rsidRPr="00621F36">
        <w:rPr>
          <w:rFonts w:ascii="Cambria" w:hAnsi="Cambria"/>
          <w:b w:val="0"/>
          <w:sz w:val="22"/>
          <w:szCs w:val="22"/>
        </w:rPr>
        <w:t> postupne podľa</w:t>
      </w:r>
      <w:r w:rsidR="005A7F8A">
        <w:rPr>
          <w:rFonts w:ascii="Cambria" w:hAnsi="Cambria"/>
          <w:b w:val="0"/>
          <w:sz w:val="22"/>
          <w:szCs w:val="22"/>
        </w:rPr>
        <w:t xml:space="preserve"> </w:t>
      </w:r>
      <w:r w:rsidR="008E4094" w:rsidRPr="00621F36">
        <w:rPr>
          <w:rFonts w:ascii="Cambria" w:hAnsi="Cambria"/>
          <w:b w:val="0"/>
          <w:sz w:val="22"/>
          <w:szCs w:val="22"/>
        </w:rPr>
        <w:t>termínov podľa Prílohy č. 3 Harmonogram platobných míľnikov</w:t>
      </w:r>
      <w:r w:rsidR="000D738B" w:rsidRPr="00621F36">
        <w:rPr>
          <w:rFonts w:ascii="Cambria" w:hAnsi="Cambria"/>
          <w:b w:val="0"/>
          <w:sz w:val="22"/>
          <w:szCs w:val="22"/>
        </w:rPr>
        <w:t xml:space="preserve"> (ďalej aj ako </w:t>
      </w:r>
      <w:r w:rsidR="00AB4CBA" w:rsidRPr="00621F36">
        <w:rPr>
          <w:rFonts w:ascii="Cambria" w:hAnsi="Cambria"/>
          <w:b w:val="0"/>
          <w:sz w:val="22"/>
          <w:szCs w:val="22"/>
        </w:rPr>
        <w:t>„</w:t>
      </w:r>
      <w:r w:rsidR="000D738B" w:rsidRPr="00621F36">
        <w:rPr>
          <w:rFonts w:ascii="Cambria" w:hAnsi="Cambria"/>
          <w:b w:val="0"/>
          <w:sz w:val="22"/>
          <w:szCs w:val="22"/>
        </w:rPr>
        <w:t>čiastkové plnenie“)</w:t>
      </w:r>
      <w:r w:rsidR="00106A1B" w:rsidRPr="00621F36">
        <w:rPr>
          <w:rFonts w:ascii="Cambria" w:hAnsi="Cambria"/>
          <w:b w:val="0"/>
          <w:sz w:val="22"/>
          <w:szCs w:val="22"/>
        </w:rPr>
        <w:t>.</w:t>
      </w:r>
      <w:r w:rsidR="008A47F9" w:rsidRPr="00621F36">
        <w:rPr>
          <w:rFonts w:ascii="Cambria" w:hAnsi="Cambria"/>
          <w:b w:val="0"/>
          <w:sz w:val="22"/>
          <w:szCs w:val="22"/>
        </w:rPr>
        <w:t xml:space="preserve"> Súčasťou každej fázy bude akceptačné testovanie a skúšobná prevádzka </w:t>
      </w:r>
      <w:r w:rsidR="009C32B0">
        <w:rPr>
          <w:rFonts w:ascii="Cambria" w:hAnsi="Cambria"/>
          <w:b w:val="0"/>
          <w:sz w:val="22"/>
          <w:szCs w:val="22"/>
        </w:rPr>
        <w:t xml:space="preserve">čiastkového plnenia samostatne ako aj v integrácii už s odovzdanými čiastkovými plneniami </w:t>
      </w:r>
      <w:r w:rsidR="008A47F9" w:rsidRPr="00621F36">
        <w:rPr>
          <w:rFonts w:ascii="Cambria" w:hAnsi="Cambria"/>
          <w:b w:val="0"/>
          <w:sz w:val="22"/>
          <w:szCs w:val="22"/>
        </w:rPr>
        <w:t>dodávaného informačného systému</w:t>
      </w:r>
      <w:r w:rsidR="0090268A" w:rsidRPr="00621F36">
        <w:rPr>
          <w:rFonts w:ascii="Cambria" w:hAnsi="Cambria"/>
          <w:b w:val="0"/>
          <w:sz w:val="22"/>
          <w:szCs w:val="22"/>
        </w:rPr>
        <w:t xml:space="preserve">, pričom súčasťou </w:t>
      </w:r>
      <w:r w:rsidR="000E52E9" w:rsidRPr="00621F36">
        <w:rPr>
          <w:rFonts w:ascii="Cambria" w:hAnsi="Cambria"/>
          <w:b w:val="0"/>
          <w:sz w:val="22"/>
          <w:szCs w:val="22"/>
        </w:rPr>
        <w:t>vykonávania</w:t>
      </w:r>
      <w:r w:rsidR="0090268A" w:rsidRPr="00621F36">
        <w:rPr>
          <w:rFonts w:ascii="Cambria" w:hAnsi="Cambria"/>
          <w:b w:val="0"/>
          <w:sz w:val="22"/>
          <w:szCs w:val="22"/>
        </w:rPr>
        <w:t xml:space="preserve"> Diela je aj:</w:t>
      </w:r>
    </w:p>
    <w:p w14:paraId="3408489B" w14:textId="54B75AF5" w:rsidR="008E4094" w:rsidRPr="00621F36" w:rsidRDefault="00C60611"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21F36">
        <w:rPr>
          <w:rFonts w:ascii="Cambria" w:hAnsi="Cambria"/>
          <w:b w:val="0"/>
          <w:sz w:val="22"/>
          <w:szCs w:val="22"/>
        </w:rPr>
        <w:t>poskytovanie</w:t>
      </w:r>
      <w:r w:rsidR="005330D3" w:rsidRPr="00621F36">
        <w:rPr>
          <w:rFonts w:ascii="Cambria" w:hAnsi="Cambria"/>
          <w:b w:val="0"/>
          <w:sz w:val="22"/>
          <w:szCs w:val="22"/>
        </w:rPr>
        <w:t xml:space="preserve"> služby podpora a údržba (ďalej spolu ako „</w:t>
      </w:r>
      <w:r w:rsidR="00BA16CF" w:rsidRPr="00621F36">
        <w:rPr>
          <w:rFonts w:ascii="Cambria" w:hAnsi="Cambria"/>
          <w:b w:val="0"/>
          <w:sz w:val="22"/>
          <w:szCs w:val="22"/>
        </w:rPr>
        <w:t>servisné služby</w:t>
      </w:r>
      <w:r w:rsidR="005330D3" w:rsidRPr="00621F36">
        <w:rPr>
          <w:rFonts w:ascii="Cambria" w:hAnsi="Cambria"/>
          <w:b w:val="0"/>
          <w:sz w:val="22"/>
          <w:szCs w:val="22"/>
        </w:rPr>
        <w:t>“)</w:t>
      </w:r>
      <w:r w:rsidR="00BA16CF" w:rsidRPr="00621F36">
        <w:rPr>
          <w:rFonts w:ascii="Cambria" w:hAnsi="Cambria"/>
          <w:b w:val="0"/>
          <w:sz w:val="22"/>
          <w:szCs w:val="22"/>
        </w:rPr>
        <w:t xml:space="preserve"> </w:t>
      </w:r>
      <w:r w:rsidR="00F30D94" w:rsidRPr="00621F36">
        <w:rPr>
          <w:rFonts w:ascii="Cambria" w:hAnsi="Cambria"/>
          <w:b w:val="0"/>
          <w:sz w:val="22"/>
          <w:szCs w:val="22"/>
        </w:rPr>
        <w:t xml:space="preserve">pre </w:t>
      </w:r>
      <w:r w:rsidR="006579B3" w:rsidRPr="00621F36">
        <w:rPr>
          <w:rFonts w:ascii="Cambria" w:hAnsi="Cambria"/>
          <w:b w:val="0"/>
          <w:sz w:val="22"/>
          <w:szCs w:val="22"/>
        </w:rPr>
        <w:t xml:space="preserve">každé </w:t>
      </w:r>
      <w:r w:rsidR="00F30D94" w:rsidRPr="00621F36">
        <w:rPr>
          <w:rFonts w:ascii="Cambria" w:hAnsi="Cambria"/>
          <w:b w:val="0"/>
          <w:sz w:val="22"/>
          <w:szCs w:val="22"/>
        </w:rPr>
        <w:t>čiastkové plnenie</w:t>
      </w:r>
      <w:r w:rsidR="00DD2F95" w:rsidRPr="00621F36">
        <w:rPr>
          <w:rFonts w:ascii="Cambria" w:hAnsi="Cambria"/>
          <w:b w:val="0"/>
          <w:sz w:val="22"/>
          <w:szCs w:val="22"/>
        </w:rPr>
        <w:t xml:space="preserve"> od</w:t>
      </w:r>
      <w:r w:rsidR="002A362C" w:rsidRPr="00621F36">
        <w:rPr>
          <w:rFonts w:ascii="Cambria" w:hAnsi="Cambria"/>
          <w:b w:val="0"/>
          <w:sz w:val="22"/>
          <w:szCs w:val="22"/>
        </w:rPr>
        <w:t>o</w:t>
      </w:r>
      <w:r w:rsidR="00DD2F95" w:rsidRPr="00621F36">
        <w:rPr>
          <w:rFonts w:ascii="Cambria" w:hAnsi="Cambria"/>
          <w:b w:val="0"/>
          <w:sz w:val="22"/>
          <w:szCs w:val="22"/>
        </w:rPr>
        <w:t xml:space="preserve"> </w:t>
      </w:r>
      <w:r w:rsidR="002A362C" w:rsidRPr="00621F36">
        <w:rPr>
          <w:rFonts w:ascii="Cambria" w:hAnsi="Cambria"/>
          <w:b w:val="0"/>
          <w:sz w:val="22"/>
          <w:szCs w:val="22"/>
        </w:rPr>
        <w:t>dňa</w:t>
      </w:r>
      <w:r w:rsidR="00DD2F95" w:rsidRPr="00621F36">
        <w:rPr>
          <w:rFonts w:ascii="Cambria" w:hAnsi="Cambria"/>
          <w:b w:val="0"/>
          <w:sz w:val="22"/>
          <w:szCs w:val="22"/>
        </w:rPr>
        <w:t xml:space="preserve"> </w:t>
      </w:r>
      <w:r w:rsidR="00482F7E" w:rsidRPr="00621F36">
        <w:rPr>
          <w:rFonts w:ascii="Cambria" w:hAnsi="Cambria"/>
          <w:b w:val="0"/>
          <w:sz w:val="22"/>
          <w:szCs w:val="22"/>
        </w:rPr>
        <w:t>dodania</w:t>
      </w:r>
      <w:r w:rsidR="00DD2F95" w:rsidRPr="00621F36">
        <w:rPr>
          <w:rFonts w:ascii="Cambria" w:hAnsi="Cambria"/>
          <w:b w:val="0"/>
          <w:sz w:val="22"/>
          <w:szCs w:val="22"/>
        </w:rPr>
        <w:t xml:space="preserve"> </w:t>
      </w:r>
      <w:r w:rsidR="00482F7E" w:rsidRPr="00621F36">
        <w:rPr>
          <w:rFonts w:ascii="Cambria" w:hAnsi="Cambria"/>
          <w:b w:val="0"/>
          <w:sz w:val="22"/>
          <w:szCs w:val="22"/>
        </w:rPr>
        <w:t>čiastkového plnenia</w:t>
      </w:r>
      <w:r w:rsidR="002A362C" w:rsidRPr="00621F36">
        <w:rPr>
          <w:rFonts w:ascii="Cambria" w:hAnsi="Cambria"/>
          <w:b w:val="0"/>
          <w:sz w:val="22"/>
          <w:szCs w:val="22"/>
        </w:rPr>
        <w:t xml:space="preserve"> do</w:t>
      </w:r>
      <w:r w:rsidR="00900935" w:rsidRPr="00621F36">
        <w:rPr>
          <w:rFonts w:ascii="Cambria" w:hAnsi="Cambria"/>
          <w:b w:val="0"/>
          <w:sz w:val="22"/>
          <w:szCs w:val="22"/>
        </w:rPr>
        <w:t xml:space="preserve"> dňa riadneho dodania Diela</w:t>
      </w:r>
      <w:r w:rsidR="00EF7958">
        <w:rPr>
          <w:rFonts w:ascii="Cambria" w:hAnsi="Cambria"/>
          <w:b w:val="0"/>
          <w:sz w:val="22"/>
          <w:szCs w:val="22"/>
        </w:rPr>
        <w:t xml:space="preserve"> upravené v Prílohe č. 2 tejto zmluvy o dielo</w:t>
      </w:r>
      <w:r w:rsidR="00284C6C" w:rsidRPr="00621F36">
        <w:rPr>
          <w:rFonts w:ascii="Cambria" w:hAnsi="Cambria"/>
          <w:b w:val="0"/>
          <w:sz w:val="22"/>
          <w:szCs w:val="22"/>
        </w:rPr>
        <w:t>;</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FA796D">
        <w:rPr>
          <w:rFonts w:ascii="Cambria" w:hAnsi="Cambria"/>
          <w:b w:val="0"/>
          <w:sz w:val="22"/>
          <w:szCs w:val="22"/>
        </w:rPr>
        <w:t xml:space="preserve">udelenie súhlasu na používanie autorských diel, resp. iných predmetov práv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w:t>
      </w:r>
      <w:r w:rsidRPr="00FA796D">
        <w:rPr>
          <w:rFonts w:ascii="Cambria" w:hAnsi="Cambria"/>
          <w:b w:val="0"/>
          <w:sz w:val="22"/>
          <w:szCs w:val="22"/>
        </w:rPr>
        <w:lastRenderedPageBreak/>
        <w:t xml:space="preserve">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6878C3DD" w14:textId="66157BFA"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produktom</w:t>
      </w:r>
      <w:r w:rsidR="00033CA5">
        <w:rPr>
          <w:rFonts w:ascii="Cambria" w:hAnsi="Cambria"/>
          <w:b w:val="0"/>
          <w:sz w:val="22"/>
          <w:szCs w:val="22"/>
        </w:rPr>
        <w:t xml:space="preserve"> zhotoviteľa a 3. strán</w:t>
      </w:r>
      <w:r w:rsidRPr="00E43F8B">
        <w:rPr>
          <w:rFonts w:ascii="Cambria" w:hAnsi="Cambria"/>
          <w:b w:val="0"/>
          <w:sz w:val="22"/>
          <w:szCs w:val="22"/>
        </w:rPr>
        <w:t>.</w:t>
      </w:r>
    </w:p>
    <w:p w14:paraId="04B9D80B" w14:textId="77777777" w:rsidR="004C7A62" w:rsidRDefault="0022777C"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E75798">
        <w:rPr>
          <w:rFonts w:ascii="Cambria" w:hAnsi="Cambria"/>
          <w:b w:val="0"/>
          <w:sz w:val="22"/>
          <w:szCs w:val="22"/>
        </w:rPr>
        <w:t xml:space="preserve">Zhotoviteľ sa zaväzuje </w:t>
      </w:r>
      <w:r>
        <w:rPr>
          <w:rFonts w:ascii="Cambria" w:hAnsi="Cambria"/>
          <w:b w:val="0"/>
          <w:sz w:val="22"/>
          <w:szCs w:val="22"/>
        </w:rPr>
        <w:t>vytvoriť, zhotoviť Dielo v nasledovnom rozsahu a jednotlivých plneniach:</w:t>
      </w:r>
    </w:p>
    <w:p w14:paraId="08CB0839" w14:textId="72A77E26" w:rsidR="004C7A62" w:rsidRDefault="008A6C37" w:rsidP="009A3D19">
      <w:pPr>
        <w:pStyle w:val="Heading1"/>
        <w:numPr>
          <w:ilvl w:val="2"/>
          <w:numId w:val="6"/>
        </w:numPr>
        <w:tabs>
          <w:tab w:val="num" w:pos="0"/>
          <w:tab w:val="left" w:pos="284"/>
        </w:tabs>
        <w:spacing w:before="0"/>
        <w:ind w:hanging="907"/>
        <w:jc w:val="both"/>
        <w:rPr>
          <w:rFonts w:ascii="Cambria" w:hAnsi="Cambria"/>
          <w:b w:val="0"/>
          <w:sz w:val="22"/>
          <w:szCs w:val="22"/>
        </w:rPr>
      </w:pPr>
      <w:r>
        <w:rPr>
          <w:rFonts w:ascii="Cambria" w:hAnsi="Cambria"/>
          <w:b w:val="0"/>
          <w:sz w:val="22"/>
          <w:szCs w:val="22"/>
        </w:rPr>
        <w:t>z</w:t>
      </w:r>
      <w:r w:rsidR="004C7A62">
        <w:rPr>
          <w:rFonts w:ascii="Cambria" w:hAnsi="Cambria"/>
          <w:b w:val="0"/>
          <w:sz w:val="22"/>
          <w:szCs w:val="22"/>
        </w:rPr>
        <w:t xml:space="preserve">hotovenie </w:t>
      </w:r>
      <w:r w:rsidR="00A46C18">
        <w:rPr>
          <w:rFonts w:ascii="Cambria" w:hAnsi="Cambria"/>
          <w:b w:val="0"/>
          <w:sz w:val="22"/>
          <w:szCs w:val="22"/>
        </w:rPr>
        <w:t>Diela</w:t>
      </w:r>
      <w:r w:rsidR="00FB6B63">
        <w:rPr>
          <w:rFonts w:ascii="Cambria" w:hAnsi="Cambria"/>
          <w:b w:val="0"/>
          <w:sz w:val="22"/>
          <w:szCs w:val="22"/>
        </w:rPr>
        <w:t xml:space="preserve"> (dodaného</w:t>
      </w:r>
      <w:r w:rsidR="004C7A62">
        <w:rPr>
          <w:rFonts w:ascii="Cambria" w:hAnsi="Cambria"/>
          <w:b w:val="0"/>
          <w:sz w:val="22"/>
          <w:szCs w:val="22"/>
        </w:rPr>
        <w:t xml:space="preserve"> informačného systému</w:t>
      </w:r>
      <w:r w:rsidR="00FB6B63">
        <w:rPr>
          <w:rFonts w:ascii="Cambria" w:hAnsi="Cambria"/>
          <w:b w:val="0"/>
          <w:sz w:val="22"/>
          <w:szCs w:val="22"/>
        </w:rPr>
        <w:t>)</w:t>
      </w:r>
      <w:r w:rsidR="004C7A62">
        <w:rPr>
          <w:rFonts w:ascii="Cambria" w:hAnsi="Cambria"/>
          <w:b w:val="0"/>
          <w:sz w:val="22"/>
          <w:szCs w:val="22"/>
        </w:rPr>
        <w:t xml:space="preserve"> v súlade s požiadavkami uvedenými v Prílohe č. 2 </w:t>
      </w:r>
      <w:r w:rsidR="004C7A62" w:rsidRPr="00E75798">
        <w:rPr>
          <w:rFonts w:ascii="Cambria" w:hAnsi="Cambria"/>
          <w:b w:val="0"/>
          <w:sz w:val="22"/>
          <w:szCs w:val="22"/>
        </w:rPr>
        <w:t xml:space="preserve">– Požiadavky na </w:t>
      </w:r>
      <w:r w:rsidR="004C7A62">
        <w:rPr>
          <w:rFonts w:ascii="Cambria" w:hAnsi="Cambria"/>
          <w:b w:val="0"/>
          <w:sz w:val="22"/>
          <w:szCs w:val="22"/>
        </w:rPr>
        <w:t>predmet zmluvy</w:t>
      </w:r>
      <w:r w:rsidR="00BA752E">
        <w:rPr>
          <w:rFonts w:ascii="Cambria" w:hAnsi="Cambria"/>
          <w:b w:val="0"/>
          <w:sz w:val="22"/>
          <w:szCs w:val="22"/>
        </w:rPr>
        <w:t>,</w:t>
      </w:r>
      <w:r w:rsidR="004C7A62">
        <w:rPr>
          <w:rFonts w:ascii="Cambria" w:hAnsi="Cambria"/>
          <w:b w:val="0"/>
          <w:sz w:val="22"/>
          <w:szCs w:val="22"/>
        </w:rPr>
        <w:t xml:space="preserve"> vrátane súvisiacej dokumentácie; </w:t>
      </w:r>
    </w:p>
    <w:p w14:paraId="7007329E" w14:textId="77777777" w:rsidR="004C7A62" w:rsidRPr="004C7A62" w:rsidRDefault="004C7A62"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C7A62">
        <w:rPr>
          <w:rFonts w:ascii="Cambria" w:hAnsi="Cambria"/>
          <w:b w:val="0"/>
          <w:sz w:val="22"/>
          <w:szCs w:val="22"/>
        </w:rPr>
        <w:t>realizácia riešenia, vrátane implementácie a testovania, ktorá zahŕňa:</w:t>
      </w:r>
    </w:p>
    <w:p w14:paraId="4042EDFD" w14:textId="577BC096" w:rsidR="00EB6DC9" w:rsidRPr="00620A30" w:rsidRDefault="004C7A62" w:rsidP="009A3D19">
      <w:pPr>
        <w:pStyle w:val="Heading1"/>
        <w:numPr>
          <w:ilvl w:val="3"/>
          <w:numId w:val="6"/>
        </w:numPr>
        <w:tabs>
          <w:tab w:val="clear" w:pos="1800"/>
          <w:tab w:val="num" w:pos="0"/>
          <w:tab w:val="left" w:pos="284"/>
          <w:tab w:val="num" w:pos="1701"/>
        </w:tabs>
        <w:spacing w:before="0"/>
        <w:ind w:hanging="907"/>
        <w:jc w:val="both"/>
        <w:rPr>
          <w:rFonts w:ascii="Cambria" w:hAnsi="Cambria"/>
          <w:b w:val="0"/>
          <w:sz w:val="22"/>
          <w:szCs w:val="22"/>
        </w:rPr>
      </w:pPr>
      <w:bookmarkStart w:id="16" w:name="_Ref305985"/>
      <w:r w:rsidRPr="00620A30">
        <w:rPr>
          <w:rFonts w:ascii="Cambria" w:hAnsi="Cambria"/>
          <w:b w:val="0"/>
          <w:sz w:val="22"/>
          <w:szCs w:val="22"/>
        </w:rPr>
        <w:t xml:space="preserve">vývoj, zabezpečenie a poskytnutie súčinnosti </w:t>
      </w:r>
      <w:r w:rsidR="00D163C5" w:rsidRPr="00620A30">
        <w:rPr>
          <w:rFonts w:ascii="Cambria" w:hAnsi="Cambria"/>
          <w:b w:val="0"/>
          <w:sz w:val="22"/>
          <w:szCs w:val="22"/>
        </w:rPr>
        <w:t>o</w:t>
      </w:r>
      <w:r w:rsidRPr="00620A30">
        <w:rPr>
          <w:rFonts w:ascii="Cambria" w:hAnsi="Cambria"/>
          <w:b w:val="0"/>
          <w:sz w:val="22"/>
          <w:szCs w:val="22"/>
        </w:rPr>
        <w:t xml:space="preserve">bjednávateľovi pri implementácii </w:t>
      </w:r>
      <w:r w:rsidR="005D325C" w:rsidRPr="00620A30">
        <w:rPr>
          <w:rFonts w:ascii="Cambria" w:hAnsi="Cambria"/>
          <w:b w:val="0"/>
          <w:sz w:val="22"/>
          <w:szCs w:val="22"/>
        </w:rPr>
        <w:t>dodaného i</w:t>
      </w:r>
      <w:r w:rsidRPr="00620A30">
        <w:rPr>
          <w:rFonts w:ascii="Cambria" w:hAnsi="Cambria"/>
          <w:b w:val="0"/>
          <w:sz w:val="22"/>
          <w:szCs w:val="22"/>
        </w:rPr>
        <w:t xml:space="preserve">nformačného systému </w:t>
      </w:r>
      <w:r w:rsidR="005D325C" w:rsidRPr="00620A30">
        <w:rPr>
          <w:rFonts w:ascii="Cambria" w:hAnsi="Cambria"/>
          <w:b w:val="0"/>
          <w:sz w:val="22"/>
          <w:szCs w:val="22"/>
        </w:rPr>
        <w:t>alebo čiastkového plnenia</w:t>
      </w:r>
      <w:r w:rsidR="00EB6DC9" w:rsidRPr="00620A30">
        <w:rPr>
          <w:rFonts w:ascii="Cambria" w:hAnsi="Cambria"/>
          <w:b w:val="0"/>
          <w:sz w:val="22"/>
          <w:szCs w:val="22"/>
        </w:rPr>
        <w:t xml:space="preserve"> </w:t>
      </w:r>
      <w:r w:rsidR="0069004D" w:rsidRPr="00620A30">
        <w:rPr>
          <w:rFonts w:ascii="Cambria" w:hAnsi="Cambria"/>
          <w:b w:val="0"/>
          <w:sz w:val="22"/>
          <w:szCs w:val="22"/>
        </w:rPr>
        <w:t>a pri uveden</w:t>
      </w:r>
      <w:r w:rsidR="007308C5" w:rsidRPr="00620A30">
        <w:rPr>
          <w:rFonts w:ascii="Cambria" w:hAnsi="Cambria"/>
          <w:b w:val="0"/>
          <w:sz w:val="22"/>
          <w:szCs w:val="22"/>
        </w:rPr>
        <w:t xml:space="preserve">í </w:t>
      </w:r>
      <w:r w:rsidR="00484404" w:rsidRPr="00620A30">
        <w:rPr>
          <w:rFonts w:ascii="Cambria" w:hAnsi="Cambria"/>
          <w:b w:val="0"/>
          <w:sz w:val="22"/>
          <w:szCs w:val="22"/>
        </w:rPr>
        <w:t>produkčného prostredia</w:t>
      </w:r>
    </w:p>
    <w:bookmarkEnd w:id="16"/>
    <w:p w14:paraId="7C5BE49F" w14:textId="77777777" w:rsidR="004C7A62" w:rsidRPr="004C7A62" w:rsidRDefault="004C7A62" w:rsidP="009A3D19">
      <w:pPr>
        <w:pStyle w:val="Heading1"/>
        <w:numPr>
          <w:ilvl w:val="3"/>
          <w:numId w:val="6"/>
        </w:numPr>
        <w:tabs>
          <w:tab w:val="clear" w:pos="1800"/>
          <w:tab w:val="num" w:pos="0"/>
          <w:tab w:val="left" w:pos="284"/>
          <w:tab w:val="num" w:pos="1701"/>
        </w:tabs>
        <w:spacing w:before="0"/>
        <w:ind w:hanging="907"/>
        <w:jc w:val="both"/>
        <w:rPr>
          <w:rFonts w:ascii="Cambria" w:hAnsi="Cambria"/>
          <w:b w:val="0"/>
          <w:sz w:val="22"/>
          <w:szCs w:val="22"/>
        </w:rPr>
      </w:pPr>
      <w:r w:rsidRPr="004C7A62">
        <w:rPr>
          <w:rFonts w:ascii="Cambria" w:hAnsi="Cambria"/>
          <w:b w:val="0"/>
          <w:sz w:val="22"/>
          <w:szCs w:val="22"/>
        </w:rPr>
        <w:t>vyhotovenie podporných prostriedkov a konverzných programov vrátane vyhotovenia súvisiacej dokumentácie,</w:t>
      </w:r>
    </w:p>
    <w:p w14:paraId="6C5EB42D" w14:textId="4A6C0531" w:rsidR="004C7A62" w:rsidRPr="004C7A62" w:rsidRDefault="004C7A62" w:rsidP="009A3D19">
      <w:pPr>
        <w:pStyle w:val="Heading1"/>
        <w:numPr>
          <w:ilvl w:val="3"/>
          <w:numId w:val="6"/>
        </w:numPr>
        <w:tabs>
          <w:tab w:val="num" w:pos="0"/>
          <w:tab w:val="left" w:pos="284"/>
        </w:tabs>
        <w:spacing w:before="0"/>
        <w:ind w:hanging="907"/>
        <w:jc w:val="both"/>
        <w:rPr>
          <w:rFonts w:ascii="Cambria" w:hAnsi="Cambria"/>
          <w:b w:val="0"/>
          <w:sz w:val="22"/>
          <w:szCs w:val="22"/>
        </w:rPr>
      </w:pPr>
      <w:r w:rsidRPr="004C7A62">
        <w:rPr>
          <w:rFonts w:ascii="Cambria" w:hAnsi="Cambria"/>
          <w:b w:val="0"/>
          <w:sz w:val="22"/>
          <w:szCs w:val="22"/>
        </w:rPr>
        <w:t xml:space="preserve">inštalácia, nastavenie parametrov a užívateľského nastavenia </w:t>
      </w:r>
      <w:r w:rsidR="00EA10F5">
        <w:rPr>
          <w:rFonts w:ascii="Cambria" w:hAnsi="Cambria"/>
          <w:b w:val="0"/>
          <w:sz w:val="22"/>
          <w:szCs w:val="22"/>
        </w:rPr>
        <w:t>dodaného i</w:t>
      </w:r>
      <w:r w:rsidRPr="004C7A62">
        <w:rPr>
          <w:rFonts w:ascii="Cambria" w:hAnsi="Cambria"/>
          <w:b w:val="0"/>
          <w:sz w:val="22"/>
          <w:szCs w:val="22"/>
        </w:rPr>
        <w:t>nformačného systému a ich integrácia</w:t>
      </w:r>
      <w:r w:rsidR="00B4672D">
        <w:rPr>
          <w:rFonts w:ascii="Cambria" w:hAnsi="Cambria"/>
          <w:b w:val="0"/>
          <w:sz w:val="22"/>
          <w:szCs w:val="22"/>
        </w:rPr>
        <w:t>,</w:t>
      </w:r>
      <w:r w:rsidRPr="004C7A62">
        <w:rPr>
          <w:rFonts w:ascii="Cambria" w:hAnsi="Cambria"/>
          <w:b w:val="0"/>
          <w:sz w:val="22"/>
          <w:szCs w:val="22"/>
        </w:rPr>
        <w:t xml:space="preserve"> </w:t>
      </w:r>
    </w:p>
    <w:p w14:paraId="08330B7A" w14:textId="49AC51EA" w:rsidR="004C7A62" w:rsidRPr="004C7A62" w:rsidRDefault="004C7A62" w:rsidP="009A3D19">
      <w:pPr>
        <w:pStyle w:val="Heading1"/>
        <w:numPr>
          <w:ilvl w:val="3"/>
          <w:numId w:val="6"/>
        </w:numPr>
        <w:tabs>
          <w:tab w:val="num" w:pos="0"/>
          <w:tab w:val="left" w:pos="284"/>
        </w:tabs>
        <w:spacing w:before="0"/>
        <w:ind w:hanging="907"/>
        <w:jc w:val="both"/>
        <w:rPr>
          <w:rFonts w:ascii="Cambria" w:hAnsi="Cambria"/>
          <w:b w:val="0"/>
          <w:sz w:val="22"/>
          <w:szCs w:val="22"/>
        </w:rPr>
      </w:pPr>
      <w:r w:rsidRPr="004C7A62">
        <w:rPr>
          <w:rFonts w:ascii="Cambria" w:hAnsi="Cambria"/>
          <w:b w:val="0"/>
          <w:sz w:val="22"/>
          <w:szCs w:val="22"/>
        </w:rPr>
        <w:t xml:space="preserve">overenie funkčnosti a úplnosti </w:t>
      </w:r>
      <w:r w:rsidR="00B4672D">
        <w:rPr>
          <w:rFonts w:ascii="Cambria" w:hAnsi="Cambria"/>
          <w:b w:val="0"/>
          <w:sz w:val="22"/>
          <w:szCs w:val="22"/>
        </w:rPr>
        <w:t>dodaného i</w:t>
      </w:r>
      <w:r w:rsidRPr="004C7A62">
        <w:rPr>
          <w:rFonts w:ascii="Cambria" w:hAnsi="Cambria"/>
          <w:b w:val="0"/>
          <w:sz w:val="22"/>
          <w:szCs w:val="22"/>
        </w:rPr>
        <w:t>nformačného systému</w:t>
      </w:r>
      <w:r w:rsidR="00B4672D">
        <w:rPr>
          <w:rFonts w:ascii="Cambria" w:hAnsi="Cambria"/>
          <w:b w:val="0"/>
          <w:sz w:val="22"/>
          <w:szCs w:val="22"/>
        </w:rPr>
        <w:t>,</w:t>
      </w:r>
    </w:p>
    <w:p w14:paraId="294BF4CE" w14:textId="77777777" w:rsidR="004C7A62" w:rsidRPr="005B7445" w:rsidRDefault="004C7A62" w:rsidP="009A3D19">
      <w:pPr>
        <w:pStyle w:val="Heading1"/>
        <w:numPr>
          <w:ilvl w:val="3"/>
          <w:numId w:val="6"/>
        </w:numPr>
        <w:tabs>
          <w:tab w:val="num" w:pos="0"/>
          <w:tab w:val="left" w:pos="284"/>
        </w:tabs>
        <w:spacing w:before="0"/>
        <w:ind w:hanging="907"/>
        <w:jc w:val="both"/>
        <w:rPr>
          <w:rFonts w:ascii="Cambria" w:hAnsi="Cambria"/>
          <w:b w:val="0"/>
          <w:sz w:val="22"/>
          <w:szCs w:val="22"/>
        </w:rPr>
      </w:pPr>
      <w:r w:rsidRPr="004C7A62">
        <w:rPr>
          <w:rFonts w:ascii="Cambria" w:hAnsi="Cambria"/>
          <w:b w:val="0"/>
          <w:sz w:val="22"/>
          <w:szCs w:val="22"/>
        </w:rPr>
        <w:t xml:space="preserve">tvorba manuálov k SW (tvorba užívateľskej dokumentácie – užívateľských </w:t>
      </w:r>
      <w:r w:rsidRPr="005B7445">
        <w:rPr>
          <w:rFonts w:ascii="Cambria" w:hAnsi="Cambria"/>
          <w:b w:val="0"/>
          <w:sz w:val="22"/>
          <w:szCs w:val="22"/>
        </w:rPr>
        <w:t>príručiek),</w:t>
      </w:r>
    </w:p>
    <w:p w14:paraId="61FB4020" w14:textId="501A9501" w:rsidR="004C7A62" w:rsidRPr="005B7445" w:rsidRDefault="004C7A62" w:rsidP="009A3D19">
      <w:pPr>
        <w:pStyle w:val="Heading1"/>
        <w:numPr>
          <w:ilvl w:val="3"/>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vyhotovenie dokumentácie o</w:t>
      </w:r>
      <w:r w:rsidR="00966804" w:rsidRPr="005B7445">
        <w:rPr>
          <w:rFonts w:ascii="Cambria" w:hAnsi="Cambria"/>
          <w:b w:val="0"/>
          <w:sz w:val="22"/>
          <w:szCs w:val="22"/>
        </w:rPr>
        <w:t> dodanom informačnom</w:t>
      </w:r>
      <w:r w:rsidRPr="005B7445">
        <w:rPr>
          <w:rFonts w:ascii="Cambria" w:hAnsi="Cambria"/>
          <w:b w:val="0"/>
          <w:sz w:val="22"/>
          <w:szCs w:val="22"/>
        </w:rPr>
        <w:t xml:space="preserve"> systéme,</w:t>
      </w:r>
    </w:p>
    <w:p w14:paraId="50A545EB" w14:textId="78C7C32C" w:rsidR="00F301A2" w:rsidRPr="005B7445" w:rsidRDefault="00F301A2"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 xml:space="preserve">vypracovanie detailnej analýzy požiadaviek </w:t>
      </w:r>
      <w:r w:rsidR="00782632" w:rsidRPr="005B7445">
        <w:rPr>
          <w:rFonts w:ascii="Cambria" w:hAnsi="Cambria"/>
          <w:b w:val="0"/>
          <w:sz w:val="22"/>
          <w:szCs w:val="22"/>
        </w:rPr>
        <w:t>objednávateľa</w:t>
      </w:r>
      <w:r w:rsidR="00714AB0" w:rsidRPr="005B7445">
        <w:rPr>
          <w:rFonts w:ascii="Cambria" w:hAnsi="Cambria"/>
          <w:b w:val="0"/>
          <w:sz w:val="22"/>
          <w:szCs w:val="22"/>
        </w:rPr>
        <w:t>,</w:t>
      </w:r>
    </w:p>
    <w:p w14:paraId="605EFB75" w14:textId="229770FD" w:rsidR="008D2CFC" w:rsidRPr="005B7445" w:rsidRDefault="008D2CFC"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 xml:space="preserve">vypracovanie návrhu dátového modelu na základe detailnej analýzy požiadaviek </w:t>
      </w:r>
      <w:r w:rsidR="007D1CE5" w:rsidRPr="005B7445">
        <w:rPr>
          <w:rFonts w:ascii="Cambria" w:hAnsi="Cambria"/>
          <w:b w:val="0"/>
          <w:sz w:val="22"/>
          <w:szCs w:val="22"/>
        </w:rPr>
        <w:t>objednávateľa</w:t>
      </w:r>
      <w:r w:rsidR="00714AB0" w:rsidRPr="005B7445">
        <w:rPr>
          <w:rFonts w:ascii="Cambria" w:hAnsi="Cambria"/>
          <w:b w:val="0"/>
          <w:sz w:val="22"/>
          <w:szCs w:val="22"/>
        </w:rPr>
        <w:t>,</w:t>
      </w:r>
    </w:p>
    <w:p w14:paraId="60952D7E" w14:textId="4A458055" w:rsidR="002C61F7" w:rsidRDefault="00452C2B" w:rsidP="002C61F7">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d</w:t>
      </w:r>
      <w:r w:rsidR="005A1696" w:rsidRPr="005B7445">
        <w:rPr>
          <w:rFonts w:ascii="Cambria" w:hAnsi="Cambria"/>
          <w:b w:val="0"/>
          <w:sz w:val="22"/>
          <w:szCs w:val="22"/>
        </w:rPr>
        <w:t>od</w:t>
      </w:r>
      <w:r w:rsidR="000C7E99" w:rsidRPr="005B7445">
        <w:rPr>
          <w:rFonts w:ascii="Cambria" w:hAnsi="Cambria"/>
          <w:b w:val="0"/>
          <w:sz w:val="22"/>
          <w:szCs w:val="22"/>
        </w:rPr>
        <w:t>anie</w:t>
      </w:r>
      <w:r w:rsidR="005A1696" w:rsidRPr="005B7445">
        <w:rPr>
          <w:rFonts w:ascii="Cambria" w:hAnsi="Cambria"/>
          <w:b w:val="0"/>
          <w:sz w:val="22"/>
          <w:szCs w:val="22"/>
        </w:rPr>
        <w:t xml:space="preserve"> riešeni</w:t>
      </w:r>
      <w:r w:rsidR="002B177A">
        <w:rPr>
          <w:rFonts w:ascii="Cambria" w:hAnsi="Cambria"/>
          <w:b w:val="0"/>
          <w:sz w:val="22"/>
          <w:szCs w:val="22"/>
        </w:rPr>
        <w:t>a</w:t>
      </w:r>
      <w:r w:rsidR="005A1696" w:rsidRPr="005B7445">
        <w:rPr>
          <w:rFonts w:ascii="Cambria" w:hAnsi="Cambria"/>
          <w:b w:val="0"/>
          <w:sz w:val="22"/>
          <w:szCs w:val="22"/>
        </w:rPr>
        <w:t xml:space="preserve">, ktoré bude v prípade spracovania osobných údajov pokrývať celý životný cyklus administrácie osobných údajov od evidencie až po ich </w:t>
      </w:r>
    </w:p>
    <w:p w14:paraId="20D6F0EE" w14:textId="06FC5FB4" w:rsidR="008D4183" w:rsidRPr="005B7445" w:rsidRDefault="002C61F7" w:rsidP="002C61F7">
      <w:pPr>
        <w:pStyle w:val="Heading1"/>
        <w:tabs>
          <w:tab w:val="left" w:pos="284"/>
          <w:tab w:val="num" w:pos="1701"/>
        </w:tabs>
        <w:spacing w:before="0"/>
        <w:ind w:left="1701"/>
        <w:jc w:val="both"/>
        <w:rPr>
          <w:rFonts w:ascii="Cambria" w:hAnsi="Cambria"/>
          <w:b w:val="0"/>
          <w:sz w:val="22"/>
          <w:szCs w:val="22"/>
        </w:rPr>
      </w:pPr>
      <w:r>
        <w:rPr>
          <w:rFonts w:ascii="Cambria" w:hAnsi="Cambria"/>
          <w:b w:val="0"/>
          <w:sz w:val="22"/>
          <w:szCs w:val="22"/>
        </w:rPr>
        <w:t>l</w:t>
      </w:r>
      <w:r w:rsidR="005A1696" w:rsidRPr="005B7445">
        <w:rPr>
          <w:rFonts w:ascii="Cambria" w:hAnsi="Cambria"/>
          <w:b w:val="0"/>
          <w:sz w:val="22"/>
          <w:szCs w:val="22"/>
        </w:rPr>
        <w:t xml:space="preserve">ikvidáciu (vrátane vymazania osobných údajov na základe žiadosti dotknutej osoby).    </w:t>
      </w:r>
    </w:p>
    <w:p w14:paraId="7A08FF61" w14:textId="30728925" w:rsidR="007D1CE5" w:rsidRPr="00560A7A" w:rsidRDefault="007D1CE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60A7A">
        <w:rPr>
          <w:rFonts w:ascii="Cambria" w:hAnsi="Cambria"/>
          <w:b w:val="0"/>
          <w:sz w:val="22"/>
          <w:szCs w:val="22"/>
        </w:rPr>
        <w:t xml:space="preserve">realizácia </w:t>
      </w:r>
      <w:r w:rsidR="00560A7A">
        <w:rPr>
          <w:rFonts w:ascii="Cambria" w:hAnsi="Cambria"/>
          <w:b w:val="0"/>
          <w:sz w:val="22"/>
          <w:szCs w:val="22"/>
        </w:rPr>
        <w:t>integrácie</w:t>
      </w:r>
      <w:r w:rsidRPr="00560A7A">
        <w:rPr>
          <w:rFonts w:ascii="Cambria" w:hAnsi="Cambria"/>
          <w:b w:val="0"/>
          <w:sz w:val="22"/>
          <w:szCs w:val="22"/>
        </w:rPr>
        <w:t xml:space="preserve"> na zdrojové systémy, vrátane pravidelného nahrávania dát do dátového skladu,</w:t>
      </w:r>
    </w:p>
    <w:p w14:paraId="6FDF7174" w14:textId="571CBA07" w:rsidR="007D1CE5" w:rsidRPr="004E6D0A" w:rsidRDefault="007D1CE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E6D0A">
        <w:rPr>
          <w:rFonts w:ascii="Cambria" w:hAnsi="Cambria"/>
          <w:b w:val="0"/>
          <w:sz w:val="22"/>
          <w:szCs w:val="22"/>
        </w:rPr>
        <w:t xml:space="preserve">vypracovanie </w:t>
      </w:r>
      <w:r w:rsidR="00914FF3" w:rsidRPr="004E6D0A">
        <w:rPr>
          <w:rFonts w:ascii="Cambria" w:hAnsi="Cambria"/>
          <w:b w:val="0"/>
          <w:sz w:val="22"/>
          <w:szCs w:val="22"/>
        </w:rPr>
        <w:t>návrhu kapacitného plánu,</w:t>
      </w:r>
    </w:p>
    <w:p w14:paraId="6034B8E2" w14:textId="6CA044F8" w:rsidR="00914FF3" w:rsidRPr="004E6D0A" w:rsidRDefault="00914FF3"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E6D0A">
        <w:rPr>
          <w:rFonts w:ascii="Cambria" w:hAnsi="Cambria"/>
          <w:b w:val="0"/>
          <w:sz w:val="22"/>
          <w:szCs w:val="22"/>
        </w:rPr>
        <w:t>dodanie odporučenia konfigurácie DataLake a dodávka všetkých potrebných licencií tejto časti,</w:t>
      </w:r>
    </w:p>
    <w:p w14:paraId="4180B604" w14:textId="06D8F1F1" w:rsidR="00914FF3" w:rsidRPr="00674A4A" w:rsidRDefault="00914FF3"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E6D0A">
        <w:rPr>
          <w:rFonts w:ascii="Cambria" w:hAnsi="Cambria"/>
          <w:b w:val="0"/>
          <w:sz w:val="22"/>
          <w:szCs w:val="22"/>
        </w:rPr>
        <w:t xml:space="preserve">inštalácia SW zabezpečenia </w:t>
      </w:r>
      <w:r w:rsidR="00E96700" w:rsidRPr="004E6D0A">
        <w:rPr>
          <w:rFonts w:ascii="Cambria" w:hAnsi="Cambria"/>
          <w:b w:val="0"/>
          <w:sz w:val="22"/>
          <w:szCs w:val="22"/>
        </w:rPr>
        <w:t>(DataLake časť DWH, Fr</w:t>
      </w:r>
      <w:r w:rsidR="005D1D23">
        <w:rPr>
          <w:rFonts w:ascii="Cambria" w:hAnsi="Cambria"/>
          <w:b w:val="0"/>
          <w:sz w:val="22"/>
          <w:szCs w:val="22"/>
        </w:rPr>
        <w:t>a</w:t>
      </w:r>
      <w:r w:rsidR="00E96700" w:rsidRPr="004E6D0A">
        <w:rPr>
          <w:rFonts w:ascii="Cambria" w:hAnsi="Cambria"/>
          <w:b w:val="0"/>
          <w:sz w:val="22"/>
          <w:szCs w:val="22"/>
        </w:rPr>
        <w:t>meworky, ETL nástroja)</w:t>
      </w:r>
      <w:r w:rsidR="00253959">
        <w:rPr>
          <w:rFonts w:ascii="Cambria" w:hAnsi="Cambria"/>
          <w:b w:val="0"/>
          <w:sz w:val="22"/>
          <w:szCs w:val="22"/>
        </w:rPr>
        <w:t>,</w:t>
      </w:r>
    </w:p>
    <w:p w14:paraId="77C6E1D1" w14:textId="2C1598E6" w:rsidR="00E96700" w:rsidRPr="005B7445" w:rsidRDefault="00E9670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E6D0A">
        <w:rPr>
          <w:rFonts w:ascii="Cambria" w:hAnsi="Cambria"/>
          <w:b w:val="0"/>
          <w:sz w:val="22"/>
          <w:szCs w:val="22"/>
        </w:rPr>
        <w:t xml:space="preserve">prevádzka a podpora SW </w:t>
      </w:r>
      <w:r w:rsidR="005D1D23" w:rsidRPr="004E6D0A">
        <w:rPr>
          <w:rFonts w:ascii="Cambria" w:hAnsi="Cambria"/>
          <w:b w:val="0"/>
          <w:sz w:val="22"/>
          <w:szCs w:val="22"/>
        </w:rPr>
        <w:t>zabezpečenia</w:t>
      </w:r>
      <w:r w:rsidRPr="004E6D0A">
        <w:rPr>
          <w:rFonts w:ascii="Cambria" w:hAnsi="Cambria"/>
          <w:b w:val="0"/>
          <w:sz w:val="22"/>
          <w:szCs w:val="22"/>
        </w:rPr>
        <w:t xml:space="preserve"> (DataLake časť DWH, Frameworky) počas </w:t>
      </w:r>
      <w:r w:rsidR="006246A7" w:rsidRPr="005B7445">
        <w:rPr>
          <w:rFonts w:ascii="Cambria" w:hAnsi="Cambria"/>
          <w:b w:val="0"/>
          <w:sz w:val="22"/>
          <w:szCs w:val="22"/>
        </w:rPr>
        <w:t>tr</w:t>
      </w:r>
      <w:r w:rsidR="00253959" w:rsidRPr="005B7445">
        <w:rPr>
          <w:rFonts w:ascii="Cambria" w:hAnsi="Cambria"/>
          <w:b w:val="0"/>
          <w:sz w:val="22"/>
          <w:szCs w:val="22"/>
        </w:rPr>
        <w:t xml:space="preserve">vania </w:t>
      </w:r>
      <w:r w:rsidR="00B15ECF">
        <w:rPr>
          <w:rFonts w:ascii="Cambria" w:hAnsi="Cambria"/>
          <w:b w:val="0"/>
          <w:sz w:val="22"/>
          <w:szCs w:val="22"/>
        </w:rPr>
        <w:t>zmluvy o dielo</w:t>
      </w:r>
      <w:r w:rsidR="00253959" w:rsidRPr="005B7445">
        <w:rPr>
          <w:rFonts w:ascii="Cambria" w:hAnsi="Cambria"/>
          <w:b w:val="0"/>
          <w:sz w:val="22"/>
          <w:szCs w:val="22"/>
        </w:rPr>
        <w:t>,</w:t>
      </w:r>
    </w:p>
    <w:p w14:paraId="70238233" w14:textId="20B8560E" w:rsidR="00253959" w:rsidRPr="005B7445" w:rsidRDefault="00253959"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vypracovanie návrhu a</w:t>
      </w:r>
      <w:r w:rsidR="00440011" w:rsidRPr="005B7445">
        <w:rPr>
          <w:rFonts w:ascii="Cambria" w:hAnsi="Cambria"/>
          <w:b w:val="0"/>
          <w:sz w:val="22"/>
          <w:szCs w:val="22"/>
        </w:rPr>
        <w:t> </w:t>
      </w:r>
      <w:r w:rsidRPr="005B7445">
        <w:rPr>
          <w:rFonts w:ascii="Cambria" w:hAnsi="Cambria"/>
          <w:b w:val="0"/>
          <w:sz w:val="22"/>
          <w:szCs w:val="22"/>
        </w:rPr>
        <w:t>implem</w:t>
      </w:r>
      <w:r w:rsidR="00440011" w:rsidRPr="005B7445">
        <w:rPr>
          <w:rFonts w:ascii="Cambria" w:hAnsi="Cambria"/>
          <w:b w:val="0"/>
          <w:sz w:val="22"/>
          <w:szCs w:val="22"/>
        </w:rPr>
        <w:t>entácia nov</w:t>
      </w:r>
      <w:r w:rsidR="001950A7" w:rsidRPr="005B7445">
        <w:rPr>
          <w:rFonts w:ascii="Cambria" w:hAnsi="Cambria"/>
          <w:b w:val="0"/>
          <w:sz w:val="22"/>
          <w:szCs w:val="22"/>
        </w:rPr>
        <w:t>ého</w:t>
      </w:r>
      <w:r w:rsidR="00440011" w:rsidRPr="005B7445">
        <w:rPr>
          <w:rFonts w:ascii="Cambria" w:hAnsi="Cambria"/>
          <w:b w:val="0"/>
          <w:sz w:val="22"/>
          <w:szCs w:val="22"/>
        </w:rPr>
        <w:t xml:space="preserve"> Knowledge Moduloi ODI</w:t>
      </w:r>
      <w:r w:rsidR="00010992" w:rsidRPr="005B7445">
        <w:rPr>
          <w:rFonts w:ascii="Cambria" w:hAnsi="Cambria"/>
          <w:b w:val="0"/>
          <w:sz w:val="22"/>
          <w:szCs w:val="22"/>
        </w:rPr>
        <w:t>,</w:t>
      </w:r>
    </w:p>
    <w:p w14:paraId="367787F3" w14:textId="63D16B97" w:rsidR="00440011" w:rsidRPr="005B7445" w:rsidRDefault="00440011"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implementov</w:t>
      </w:r>
      <w:r w:rsidR="00243AC8" w:rsidRPr="005B7445">
        <w:rPr>
          <w:rFonts w:ascii="Cambria" w:hAnsi="Cambria"/>
          <w:b w:val="0"/>
          <w:sz w:val="22"/>
          <w:szCs w:val="22"/>
        </w:rPr>
        <w:t>anie</w:t>
      </w:r>
      <w:r w:rsidRPr="005B7445">
        <w:rPr>
          <w:rFonts w:ascii="Cambria" w:hAnsi="Cambria"/>
          <w:b w:val="0"/>
          <w:sz w:val="22"/>
          <w:szCs w:val="22"/>
        </w:rPr>
        <w:t xml:space="preserve"> dátov</w:t>
      </w:r>
      <w:r w:rsidR="004C2DE6" w:rsidRPr="005B7445">
        <w:rPr>
          <w:rFonts w:ascii="Cambria" w:hAnsi="Cambria"/>
          <w:b w:val="0"/>
          <w:sz w:val="22"/>
          <w:szCs w:val="22"/>
        </w:rPr>
        <w:t>ého</w:t>
      </w:r>
      <w:r w:rsidRPr="005B7445">
        <w:rPr>
          <w:rFonts w:ascii="Cambria" w:hAnsi="Cambria"/>
          <w:b w:val="0"/>
          <w:sz w:val="22"/>
          <w:szCs w:val="22"/>
        </w:rPr>
        <w:t xml:space="preserve"> model</w:t>
      </w:r>
      <w:r w:rsidR="007761DB" w:rsidRPr="005B7445">
        <w:rPr>
          <w:rFonts w:ascii="Cambria" w:hAnsi="Cambria"/>
          <w:b w:val="0"/>
          <w:sz w:val="22"/>
          <w:szCs w:val="22"/>
        </w:rPr>
        <w:t>u</w:t>
      </w:r>
      <w:r w:rsidRPr="005B7445">
        <w:rPr>
          <w:rFonts w:ascii="Cambria" w:hAnsi="Cambria"/>
          <w:b w:val="0"/>
          <w:sz w:val="22"/>
          <w:szCs w:val="22"/>
        </w:rPr>
        <w:t xml:space="preserve"> a dodávka inštalačných scriptov,</w:t>
      </w:r>
    </w:p>
    <w:p w14:paraId="6F3818BF" w14:textId="6570995F" w:rsidR="00440011" w:rsidRPr="005B7445" w:rsidRDefault="00E10DDE"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implementov</w:t>
      </w:r>
      <w:r w:rsidR="00243AC8" w:rsidRPr="005B7445">
        <w:rPr>
          <w:rFonts w:ascii="Cambria" w:hAnsi="Cambria"/>
          <w:b w:val="0"/>
          <w:sz w:val="22"/>
          <w:szCs w:val="22"/>
        </w:rPr>
        <w:t>anie</w:t>
      </w:r>
      <w:r w:rsidR="00440011" w:rsidRPr="005B7445">
        <w:rPr>
          <w:rFonts w:ascii="Cambria" w:hAnsi="Cambria"/>
          <w:b w:val="0"/>
          <w:sz w:val="22"/>
          <w:szCs w:val="22"/>
        </w:rPr>
        <w:t xml:space="preserve"> ETL úloh a doda</w:t>
      </w:r>
      <w:r w:rsidR="00E94C4C" w:rsidRPr="005B7445">
        <w:rPr>
          <w:rFonts w:ascii="Cambria" w:hAnsi="Cambria"/>
          <w:b w:val="0"/>
          <w:sz w:val="22"/>
          <w:szCs w:val="22"/>
        </w:rPr>
        <w:t>nie</w:t>
      </w:r>
      <w:r w:rsidR="00440011" w:rsidRPr="005B7445">
        <w:rPr>
          <w:rFonts w:ascii="Cambria" w:hAnsi="Cambria"/>
          <w:b w:val="0"/>
          <w:sz w:val="22"/>
          <w:szCs w:val="22"/>
        </w:rPr>
        <w:t xml:space="preserve"> </w:t>
      </w:r>
      <w:r w:rsidR="00C01459" w:rsidRPr="005B7445">
        <w:rPr>
          <w:rFonts w:ascii="Cambria" w:hAnsi="Cambria"/>
          <w:b w:val="0"/>
          <w:sz w:val="22"/>
          <w:szCs w:val="22"/>
        </w:rPr>
        <w:t>inštalačn</w:t>
      </w:r>
      <w:r w:rsidR="00313C45" w:rsidRPr="005B7445">
        <w:rPr>
          <w:rFonts w:ascii="Cambria" w:hAnsi="Cambria"/>
          <w:b w:val="0"/>
          <w:sz w:val="22"/>
          <w:szCs w:val="22"/>
        </w:rPr>
        <w:t>ých</w:t>
      </w:r>
      <w:r w:rsidR="00440011" w:rsidRPr="005B7445">
        <w:rPr>
          <w:rFonts w:ascii="Cambria" w:hAnsi="Cambria"/>
          <w:b w:val="0"/>
          <w:sz w:val="22"/>
          <w:szCs w:val="22"/>
        </w:rPr>
        <w:t xml:space="preserve"> nastaven</w:t>
      </w:r>
      <w:r w:rsidR="00FA6BB0" w:rsidRPr="005B7445">
        <w:rPr>
          <w:rFonts w:ascii="Cambria" w:hAnsi="Cambria"/>
          <w:b w:val="0"/>
          <w:sz w:val="22"/>
          <w:szCs w:val="22"/>
        </w:rPr>
        <w:t>í</w:t>
      </w:r>
      <w:r w:rsidR="00C01459" w:rsidRPr="005B7445">
        <w:rPr>
          <w:rFonts w:ascii="Cambria" w:hAnsi="Cambria"/>
          <w:b w:val="0"/>
          <w:sz w:val="22"/>
          <w:szCs w:val="22"/>
        </w:rPr>
        <w:t>,</w:t>
      </w:r>
    </w:p>
    <w:p w14:paraId="190D353B" w14:textId="2B7259BC" w:rsidR="00440011" w:rsidRPr="005B7445" w:rsidRDefault="00440011"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implementácia reportov a analýzy podľa požiadaviek</w:t>
      </w:r>
      <w:r w:rsidR="004E7C45" w:rsidRPr="005B7445">
        <w:rPr>
          <w:rFonts w:ascii="Cambria" w:hAnsi="Cambria"/>
          <w:b w:val="0"/>
          <w:sz w:val="22"/>
          <w:szCs w:val="22"/>
        </w:rPr>
        <w:t xml:space="preserve"> na predmet zmluvy</w:t>
      </w:r>
      <w:r w:rsidR="00C01459" w:rsidRPr="005B7445">
        <w:rPr>
          <w:rFonts w:ascii="Cambria" w:hAnsi="Cambria"/>
          <w:b w:val="0"/>
          <w:sz w:val="22"/>
          <w:szCs w:val="22"/>
        </w:rPr>
        <w:t>,</w:t>
      </w:r>
    </w:p>
    <w:p w14:paraId="487ED4F4" w14:textId="15AD74D9" w:rsidR="00D3187F" w:rsidRPr="005B7445" w:rsidRDefault="00721AA7"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i</w:t>
      </w:r>
      <w:r w:rsidR="00564FD7" w:rsidRPr="005B7445">
        <w:rPr>
          <w:rFonts w:ascii="Cambria" w:hAnsi="Cambria"/>
          <w:b w:val="0"/>
          <w:sz w:val="22"/>
          <w:szCs w:val="22"/>
        </w:rPr>
        <w:t>mplementova</w:t>
      </w:r>
      <w:r w:rsidR="00C64537" w:rsidRPr="005B7445">
        <w:rPr>
          <w:rFonts w:ascii="Cambria" w:hAnsi="Cambria"/>
          <w:b w:val="0"/>
          <w:sz w:val="22"/>
          <w:szCs w:val="22"/>
        </w:rPr>
        <w:t>nie</w:t>
      </w:r>
      <w:r w:rsidR="00564FD7" w:rsidRPr="005B7445">
        <w:rPr>
          <w:rFonts w:ascii="Cambria" w:hAnsi="Cambria"/>
          <w:b w:val="0"/>
          <w:sz w:val="22"/>
          <w:szCs w:val="22"/>
        </w:rPr>
        <w:t xml:space="preserve"> OUT objekt</w:t>
      </w:r>
      <w:r w:rsidR="00967AD1" w:rsidRPr="005B7445">
        <w:rPr>
          <w:rFonts w:ascii="Cambria" w:hAnsi="Cambria"/>
          <w:b w:val="0"/>
          <w:sz w:val="22"/>
          <w:szCs w:val="22"/>
        </w:rPr>
        <w:t>ov</w:t>
      </w:r>
      <w:r w:rsidR="00564FD7" w:rsidRPr="005B7445">
        <w:rPr>
          <w:rFonts w:ascii="Cambria" w:hAnsi="Cambria"/>
          <w:b w:val="0"/>
          <w:sz w:val="22"/>
          <w:szCs w:val="22"/>
        </w:rPr>
        <w:t xml:space="preserve"> a transformáci</w:t>
      </w:r>
      <w:r w:rsidR="00E27348" w:rsidRPr="005B7445">
        <w:rPr>
          <w:rFonts w:ascii="Cambria" w:hAnsi="Cambria"/>
          <w:b w:val="0"/>
          <w:sz w:val="22"/>
          <w:szCs w:val="22"/>
        </w:rPr>
        <w:t>í</w:t>
      </w:r>
      <w:r w:rsidR="00564FD7" w:rsidRPr="005B7445">
        <w:rPr>
          <w:rFonts w:ascii="Cambria" w:hAnsi="Cambria"/>
          <w:b w:val="0"/>
          <w:sz w:val="22"/>
          <w:szCs w:val="22"/>
        </w:rPr>
        <w:t xml:space="preserve"> dát do požadovaného formátu pre koncového odberateľa (</w:t>
      </w:r>
      <w:r w:rsidR="00F43C56" w:rsidRPr="005B7445">
        <w:rPr>
          <w:rFonts w:ascii="Cambria" w:hAnsi="Cambria"/>
          <w:b w:val="0"/>
          <w:sz w:val="22"/>
          <w:szCs w:val="22"/>
        </w:rPr>
        <w:t xml:space="preserve">Príloha č. 2 zmluvy o dielo) </w:t>
      </w:r>
    </w:p>
    <w:p w14:paraId="187FFEF0" w14:textId="5CE94614" w:rsidR="004E7C45" w:rsidRPr="005B7445" w:rsidRDefault="004E7C4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5B7445">
        <w:rPr>
          <w:rFonts w:ascii="Cambria" w:hAnsi="Cambria"/>
          <w:b w:val="0"/>
          <w:sz w:val="22"/>
          <w:szCs w:val="22"/>
        </w:rPr>
        <w:t>dodanie nastavenia BI nástroja</w:t>
      </w:r>
      <w:r w:rsidR="00C01459" w:rsidRPr="005B7445">
        <w:rPr>
          <w:rFonts w:ascii="Cambria" w:hAnsi="Cambria"/>
          <w:b w:val="0"/>
          <w:sz w:val="22"/>
          <w:szCs w:val="22"/>
        </w:rPr>
        <w:t>,</w:t>
      </w:r>
    </w:p>
    <w:p w14:paraId="6D359DD9" w14:textId="2D9A44F1" w:rsidR="004E7C45" w:rsidRPr="00674A4A" w:rsidRDefault="004E7C4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674A4A">
        <w:rPr>
          <w:rFonts w:ascii="Cambria" w:hAnsi="Cambria"/>
          <w:b w:val="0"/>
          <w:sz w:val="22"/>
          <w:szCs w:val="22"/>
        </w:rPr>
        <w:t xml:space="preserve">dodanie </w:t>
      </w:r>
      <w:r w:rsidRPr="00C473E4">
        <w:rPr>
          <w:rFonts w:ascii="Cambria" w:hAnsi="Cambria"/>
          <w:b w:val="0"/>
          <w:sz w:val="22"/>
          <w:szCs w:val="22"/>
        </w:rPr>
        <w:t>nasledovných fram</w:t>
      </w:r>
      <w:r w:rsidR="00F91945">
        <w:rPr>
          <w:rFonts w:ascii="Cambria" w:hAnsi="Cambria"/>
          <w:b w:val="0"/>
          <w:sz w:val="22"/>
          <w:szCs w:val="22"/>
        </w:rPr>
        <w:t>e</w:t>
      </w:r>
      <w:r w:rsidRPr="00C473E4">
        <w:rPr>
          <w:rFonts w:ascii="Cambria" w:hAnsi="Cambria"/>
          <w:b w:val="0"/>
          <w:sz w:val="22"/>
          <w:szCs w:val="22"/>
        </w:rPr>
        <w:t>workov</w:t>
      </w:r>
      <w:r w:rsidRPr="00674A4A">
        <w:rPr>
          <w:rFonts w:ascii="Cambria" w:hAnsi="Cambria"/>
          <w:b w:val="0"/>
          <w:sz w:val="22"/>
          <w:szCs w:val="22"/>
        </w:rPr>
        <w:t xml:space="preserve"> a </w:t>
      </w:r>
      <w:r w:rsidR="007F1E94" w:rsidRPr="00674A4A">
        <w:rPr>
          <w:rFonts w:ascii="Cambria" w:hAnsi="Cambria"/>
          <w:b w:val="0"/>
          <w:sz w:val="22"/>
          <w:szCs w:val="22"/>
        </w:rPr>
        <w:t>nastavení</w:t>
      </w:r>
      <w:r w:rsidRPr="00674A4A">
        <w:rPr>
          <w:rFonts w:ascii="Cambria" w:hAnsi="Cambria"/>
          <w:b w:val="0"/>
          <w:sz w:val="22"/>
          <w:szCs w:val="22"/>
        </w:rPr>
        <w:t xml:space="preserve"> metadát týchto frameworkov</w:t>
      </w:r>
      <w:r w:rsidR="00A90120">
        <w:rPr>
          <w:rFonts w:ascii="Cambria" w:hAnsi="Cambria"/>
          <w:b w:val="0"/>
          <w:sz w:val="22"/>
          <w:szCs w:val="22"/>
        </w:rPr>
        <w:t>:</w:t>
      </w:r>
    </w:p>
    <w:p w14:paraId="79355C5E" w14:textId="2443058C"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podporu správu, riadenie a monitoring aktualizačných úloh</w:t>
      </w:r>
      <w:r w:rsidR="00010992">
        <w:rPr>
          <w:rFonts w:ascii="Cambria" w:hAnsi="Cambria"/>
          <w:b w:val="0"/>
          <w:sz w:val="22"/>
          <w:szCs w:val="22"/>
        </w:rPr>
        <w:t>,</w:t>
      </w:r>
    </w:p>
    <w:p w14:paraId="0F25697A" w14:textId="3A38A1F4"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správu číselníkov, mostíkov, referenčných dát,  hierarchií jednotlivých dimenzií a manuálnych vstupov</w:t>
      </w:r>
      <w:r w:rsidR="00010992">
        <w:rPr>
          <w:rFonts w:ascii="Cambria" w:hAnsi="Cambria"/>
          <w:b w:val="0"/>
          <w:sz w:val="22"/>
          <w:szCs w:val="22"/>
        </w:rPr>
        <w:t>,</w:t>
      </w:r>
    </w:p>
    <w:p w14:paraId="294C3361" w14:textId="29A9DC2B"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nahrávanie veľkého počtu a rôznych súborov</w:t>
      </w:r>
      <w:r w:rsidR="00010992">
        <w:rPr>
          <w:rFonts w:ascii="Cambria" w:hAnsi="Cambria"/>
          <w:b w:val="0"/>
          <w:sz w:val="22"/>
          <w:szCs w:val="22"/>
        </w:rPr>
        <w:t>,</w:t>
      </w:r>
    </w:p>
    <w:p w14:paraId="6B5BE3B5" w14:textId="74701EE1"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správu, automatické spúšťanie a vyhodnocovanie dátovej kvality</w:t>
      </w:r>
      <w:r w:rsidR="00010992">
        <w:rPr>
          <w:rFonts w:ascii="Cambria" w:hAnsi="Cambria"/>
          <w:b w:val="0"/>
          <w:sz w:val="22"/>
          <w:szCs w:val="22"/>
        </w:rPr>
        <w:t>,</w:t>
      </w:r>
    </w:p>
    <w:p w14:paraId="3F3B7DEE" w14:textId="4C337E23"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správu prístupov (riadenie bezpečnosti) k</w:t>
      </w:r>
      <w:r w:rsidR="00010992">
        <w:rPr>
          <w:rFonts w:ascii="Cambria" w:hAnsi="Cambria"/>
          <w:b w:val="0"/>
          <w:sz w:val="22"/>
          <w:szCs w:val="22"/>
        </w:rPr>
        <w:t> </w:t>
      </w:r>
      <w:r w:rsidRPr="000455D5">
        <w:rPr>
          <w:rFonts w:ascii="Cambria" w:hAnsi="Cambria"/>
          <w:b w:val="0"/>
          <w:sz w:val="22"/>
          <w:szCs w:val="22"/>
        </w:rPr>
        <w:t>dátam</w:t>
      </w:r>
      <w:r w:rsidR="00010992">
        <w:rPr>
          <w:rFonts w:ascii="Cambria" w:hAnsi="Cambria"/>
          <w:b w:val="0"/>
          <w:sz w:val="22"/>
          <w:szCs w:val="22"/>
        </w:rPr>
        <w:t>,</w:t>
      </w:r>
    </w:p>
    <w:p w14:paraId="685AF1F2" w14:textId="54B31A34" w:rsidR="003C6B80" w:rsidRPr="000455D5" w:rsidRDefault="003C6B80" w:rsidP="009A3D19">
      <w:pPr>
        <w:pStyle w:val="Heading1"/>
        <w:numPr>
          <w:ilvl w:val="3"/>
          <w:numId w:val="6"/>
        </w:numPr>
        <w:tabs>
          <w:tab w:val="num" w:pos="0"/>
          <w:tab w:val="left" w:pos="284"/>
        </w:tabs>
        <w:spacing w:before="0"/>
        <w:ind w:hanging="907"/>
        <w:jc w:val="both"/>
        <w:rPr>
          <w:rFonts w:ascii="Cambria" w:hAnsi="Cambria"/>
          <w:b w:val="0"/>
          <w:sz w:val="22"/>
          <w:szCs w:val="22"/>
        </w:rPr>
      </w:pPr>
      <w:r w:rsidRPr="000455D5">
        <w:rPr>
          <w:rFonts w:ascii="Cambria" w:hAnsi="Cambria"/>
          <w:b w:val="0"/>
          <w:sz w:val="22"/>
          <w:szCs w:val="22"/>
        </w:rPr>
        <w:t>pre správu dokumentácie k DWH a iných metadát (o modeli, o reportoch, mapovaní zdroj-cieľ) pre správu riadenia dátovej retencie.</w:t>
      </w:r>
    </w:p>
    <w:p w14:paraId="2413C71F" w14:textId="5CE8624A" w:rsidR="003C6B80" w:rsidRPr="0069004D" w:rsidRDefault="0059346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21AA7">
        <w:rPr>
          <w:rFonts w:ascii="Cambria" w:hAnsi="Cambria"/>
          <w:b w:val="0"/>
          <w:sz w:val="22"/>
          <w:szCs w:val="22"/>
        </w:rPr>
        <w:lastRenderedPageBreak/>
        <w:t>p</w:t>
      </w:r>
      <w:r w:rsidR="003C6B80" w:rsidRPr="00721AA7">
        <w:rPr>
          <w:rFonts w:ascii="Cambria" w:hAnsi="Cambria"/>
          <w:b w:val="0"/>
          <w:sz w:val="22"/>
          <w:szCs w:val="22"/>
        </w:rPr>
        <w:t>oskytn</w:t>
      </w:r>
      <w:r w:rsidR="00243AC8" w:rsidRPr="00721AA7">
        <w:rPr>
          <w:rFonts w:ascii="Cambria" w:hAnsi="Cambria"/>
          <w:b w:val="0"/>
          <w:sz w:val="22"/>
          <w:szCs w:val="22"/>
        </w:rPr>
        <w:t>utie</w:t>
      </w:r>
      <w:r w:rsidR="003C6B80" w:rsidRPr="00721AA7">
        <w:rPr>
          <w:rFonts w:ascii="Cambria" w:hAnsi="Cambria"/>
          <w:b w:val="0"/>
          <w:sz w:val="22"/>
          <w:szCs w:val="22"/>
        </w:rPr>
        <w:t xml:space="preserve"> p</w:t>
      </w:r>
      <w:r w:rsidR="003C6B80" w:rsidRPr="0069004D">
        <w:rPr>
          <w:rFonts w:ascii="Cambria" w:hAnsi="Cambria"/>
          <w:b w:val="0"/>
          <w:sz w:val="22"/>
          <w:szCs w:val="22"/>
        </w:rPr>
        <w:t>rojektové</w:t>
      </w:r>
      <w:r w:rsidR="00003BDD">
        <w:rPr>
          <w:rFonts w:ascii="Cambria" w:hAnsi="Cambria"/>
          <w:b w:val="0"/>
          <w:sz w:val="22"/>
          <w:szCs w:val="22"/>
        </w:rPr>
        <w:t>ho</w:t>
      </w:r>
      <w:r w:rsidR="003C6B80" w:rsidRPr="0069004D">
        <w:rPr>
          <w:rFonts w:ascii="Cambria" w:hAnsi="Cambria"/>
          <w:b w:val="0"/>
          <w:sz w:val="22"/>
          <w:szCs w:val="22"/>
        </w:rPr>
        <w:t xml:space="preserve"> riadeni</w:t>
      </w:r>
      <w:r w:rsidR="00003BDD">
        <w:rPr>
          <w:rFonts w:ascii="Cambria" w:hAnsi="Cambria"/>
          <w:b w:val="0"/>
          <w:sz w:val="22"/>
          <w:szCs w:val="22"/>
        </w:rPr>
        <w:t>a</w:t>
      </w:r>
      <w:r w:rsidR="003C6B80" w:rsidRPr="0069004D">
        <w:rPr>
          <w:rFonts w:ascii="Cambria" w:hAnsi="Cambria"/>
          <w:b w:val="0"/>
          <w:sz w:val="22"/>
          <w:szCs w:val="22"/>
        </w:rPr>
        <w:t xml:space="preserve"> zastrešujúce</w:t>
      </w:r>
      <w:r w:rsidR="009C1C52">
        <w:rPr>
          <w:rFonts w:ascii="Cambria" w:hAnsi="Cambria"/>
          <w:b w:val="0"/>
          <w:sz w:val="22"/>
          <w:szCs w:val="22"/>
        </w:rPr>
        <w:t>ho</w:t>
      </w:r>
      <w:r w:rsidR="003C6B80" w:rsidRPr="0069004D">
        <w:rPr>
          <w:rFonts w:ascii="Cambria" w:hAnsi="Cambria"/>
          <w:b w:val="0"/>
          <w:sz w:val="22"/>
          <w:szCs w:val="22"/>
        </w:rPr>
        <w:t xml:space="preserve"> dodanie Diela</w:t>
      </w:r>
      <w:r>
        <w:rPr>
          <w:rFonts w:ascii="Cambria" w:hAnsi="Cambria"/>
          <w:b w:val="0"/>
          <w:sz w:val="22"/>
          <w:szCs w:val="22"/>
        </w:rPr>
        <w:t>;</w:t>
      </w:r>
    </w:p>
    <w:p w14:paraId="24534956" w14:textId="4A28243E" w:rsidR="003C6B80" w:rsidRPr="00490EDB" w:rsidRDefault="0059346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21AA7">
        <w:rPr>
          <w:rFonts w:ascii="Cambria" w:hAnsi="Cambria"/>
          <w:b w:val="0"/>
          <w:sz w:val="22"/>
          <w:szCs w:val="22"/>
        </w:rPr>
        <w:t>v</w:t>
      </w:r>
      <w:r w:rsidR="000931E1" w:rsidRPr="00721AA7">
        <w:rPr>
          <w:rFonts w:ascii="Cambria" w:hAnsi="Cambria"/>
          <w:b w:val="0"/>
          <w:sz w:val="22"/>
          <w:szCs w:val="22"/>
        </w:rPr>
        <w:t>ytvor</w:t>
      </w:r>
      <w:r w:rsidR="008676B2" w:rsidRPr="00721AA7">
        <w:rPr>
          <w:rFonts w:ascii="Cambria" w:hAnsi="Cambria"/>
          <w:b w:val="0"/>
          <w:sz w:val="22"/>
          <w:szCs w:val="22"/>
        </w:rPr>
        <w:t>enie</w:t>
      </w:r>
      <w:r w:rsidR="000931E1" w:rsidRPr="0069004D">
        <w:rPr>
          <w:rFonts w:ascii="Cambria" w:hAnsi="Cambria"/>
          <w:b w:val="0"/>
          <w:sz w:val="22"/>
          <w:szCs w:val="22"/>
        </w:rPr>
        <w:t xml:space="preserve"> </w:t>
      </w:r>
      <w:r w:rsidR="000931E1" w:rsidRPr="00490EDB">
        <w:rPr>
          <w:rFonts w:ascii="Cambria" w:hAnsi="Cambria"/>
          <w:b w:val="0"/>
          <w:sz w:val="22"/>
          <w:szCs w:val="22"/>
        </w:rPr>
        <w:t>a odovzda</w:t>
      </w:r>
      <w:r w:rsidR="008676B2">
        <w:rPr>
          <w:rFonts w:ascii="Cambria" w:hAnsi="Cambria"/>
          <w:b w:val="0"/>
          <w:sz w:val="22"/>
          <w:szCs w:val="22"/>
        </w:rPr>
        <w:t>nie</w:t>
      </w:r>
      <w:r w:rsidR="000931E1" w:rsidRPr="00490EDB">
        <w:rPr>
          <w:rFonts w:ascii="Cambria" w:hAnsi="Cambria"/>
          <w:b w:val="0"/>
          <w:sz w:val="22"/>
          <w:szCs w:val="22"/>
        </w:rPr>
        <w:t xml:space="preserve"> technick</w:t>
      </w:r>
      <w:r w:rsidR="008676B2">
        <w:rPr>
          <w:rFonts w:ascii="Cambria" w:hAnsi="Cambria"/>
          <w:b w:val="0"/>
          <w:sz w:val="22"/>
          <w:szCs w:val="22"/>
        </w:rPr>
        <w:t>ej</w:t>
      </w:r>
      <w:r w:rsidR="000931E1" w:rsidRPr="00490EDB">
        <w:rPr>
          <w:rFonts w:ascii="Cambria" w:hAnsi="Cambria"/>
          <w:b w:val="0"/>
          <w:sz w:val="22"/>
          <w:szCs w:val="22"/>
        </w:rPr>
        <w:t xml:space="preserve"> </w:t>
      </w:r>
      <w:r w:rsidR="002944AA" w:rsidRPr="00490EDB">
        <w:rPr>
          <w:rFonts w:ascii="Cambria" w:hAnsi="Cambria"/>
          <w:b w:val="0"/>
          <w:sz w:val="22"/>
          <w:szCs w:val="22"/>
        </w:rPr>
        <w:t>dokumentáci</w:t>
      </w:r>
      <w:r w:rsidR="008676B2">
        <w:rPr>
          <w:rFonts w:ascii="Cambria" w:hAnsi="Cambria"/>
          <w:b w:val="0"/>
          <w:sz w:val="22"/>
          <w:szCs w:val="22"/>
        </w:rPr>
        <w:t>e</w:t>
      </w:r>
      <w:r w:rsidR="000931E1" w:rsidRPr="00490EDB">
        <w:rPr>
          <w:rFonts w:ascii="Cambria" w:hAnsi="Cambria"/>
          <w:b w:val="0"/>
          <w:sz w:val="22"/>
          <w:szCs w:val="22"/>
        </w:rPr>
        <w:t xml:space="preserve"> implementovaného riešenia </w:t>
      </w:r>
      <w:r w:rsidR="005C3DB6" w:rsidRPr="00490EDB">
        <w:rPr>
          <w:rFonts w:ascii="Cambria" w:hAnsi="Cambria"/>
          <w:b w:val="0"/>
          <w:sz w:val="22"/>
          <w:szCs w:val="22"/>
        </w:rPr>
        <w:t xml:space="preserve">v súlade s požadovanými </w:t>
      </w:r>
      <w:r w:rsidR="00927D00" w:rsidRPr="00490EDB">
        <w:rPr>
          <w:rFonts w:ascii="Cambria" w:hAnsi="Cambria"/>
          <w:b w:val="0"/>
          <w:sz w:val="22"/>
          <w:szCs w:val="22"/>
        </w:rPr>
        <w:t>výstupmi</w:t>
      </w:r>
      <w:r w:rsidRPr="00490EDB">
        <w:rPr>
          <w:rFonts w:ascii="Cambria" w:hAnsi="Cambria"/>
          <w:b w:val="0"/>
          <w:sz w:val="22"/>
          <w:szCs w:val="22"/>
        </w:rPr>
        <w:t>;</w:t>
      </w:r>
    </w:p>
    <w:p w14:paraId="4F43102F" w14:textId="51335B5F" w:rsidR="000931E1" w:rsidRPr="00490EDB" w:rsidRDefault="00494592" w:rsidP="009A3D19">
      <w:pPr>
        <w:pStyle w:val="Heading1"/>
        <w:numPr>
          <w:ilvl w:val="2"/>
          <w:numId w:val="6"/>
        </w:numPr>
        <w:tabs>
          <w:tab w:val="num" w:pos="0"/>
          <w:tab w:val="left" w:pos="284"/>
        </w:tabs>
        <w:spacing w:before="0"/>
        <w:ind w:hanging="907"/>
        <w:jc w:val="both"/>
        <w:rPr>
          <w:rFonts w:ascii="Cambria" w:hAnsi="Cambria"/>
          <w:b w:val="0"/>
          <w:sz w:val="22"/>
          <w:szCs w:val="22"/>
        </w:rPr>
      </w:pPr>
      <w:r>
        <w:rPr>
          <w:rFonts w:ascii="Cambria" w:hAnsi="Cambria"/>
          <w:b w:val="0"/>
          <w:sz w:val="22"/>
          <w:szCs w:val="22"/>
        </w:rPr>
        <w:t>z</w:t>
      </w:r>
      <w:r w:rsidR="000931E1" w:rsidRPr="00490EDB">
        <w:rPr>
          <w:rFonts w:ascii="Cambria" w:hAnsi="Cambria"/>
          <w:b w:val="0"/>
          <w:sz w:val="22"/>
          <w:szCs w:val="22"/>
        </w:rPr>
        <w:t xml:space="preserve">aškolenie </w:t>
      </w:r>
      <w:r w:rsidR="002944AA" w:rsidRPr="00490EDB">
        <w:rPr>
          <w:rFonts w:ascii="Cambria" w:hAnsi="Cambria"/>
          <w:b w:val="0"/>
          <w:sz w:val="22"/>
          <w:szCs w:val="22"/>
        </w:rPr>
        <w:t>obsluhy</w:t>
      </w:r>
      <w:r w:rsidR="000931E1" w:rsidRPr="00490EDB">
        <w:rPr>
          <w:rFonts w:ascii="Cambria" w:hAnsi="Cambria"/>
          <w:b w:val="0"/>
          <w:sz w:val="22"/>
          <w:szCs w:val="22"/>
        </w:rPr>
        <w:t xml:space="preserve"> a</w:t>
      </w:r>
      <w:r w:rsidR="002944AA" w:rsidRPr="00490EDB">
        <w:rPr>
          <w:rFonts w:ascii="Cambria" w:hAnsi="Cambria"/>
          <w:b w:val="0"/>
          <w:sz w:val="22"/>
          <w:szCs w:val="22"/>
        </w:rPr>
        <w:t xml:space="preserve"> </w:t>
      </w:r>
      <w:r w:rsidR="000931E1" w:rsidRPr="00490EDB">
        <w:rPr>
          <w:rFonts w:ascii="Cambria" w:hAnsi="Cambria"/>
          <w:b w:val="0"/>
          <w:sz w:val="22"/>
          <w:szCs w:val="22"/>
        </w:rPr>
        <w:t xml:space="preserve">používateľov </w:t>
      </w:r>
      <w:r>
        <w:rPr>
          <w:rFonts w:ascii="Cambria" w:hAnsi="Cambria"/>
          <w:b w:val="0"/>
          <w:sz w:val="22"/>
          <w:szCs w:val="22"/>
        </w:rPr>
        <w:t xml:space="preserve">objednávateľa </w:t>
      </w:r>
      <w:r w:rsidR="00470FEF" w:rsidRPr="00490EDB">
        <w:rPr>
          <w:rFonts w:ascii="Cambria" w:hAnsi="Cambria"/>
          <w:b w:val="0"/>
          <w:sz w:val="22"/>
          <w:szCs w:val="22"/>
        </w:rPr>
        <w:t>dodaného informačného systému</w:t>
      </w:r>
      <w:r w:rsidR="0059346B" w:rsidRPr="00490EDB">
        <w:rPr>
          <w:rFonts w:ascii="Cambria" w:hAnsi="Cambria"/>
          <w:b w:val="0"/>
          <w:sz w:val="22"/>
          <w:szCs w:val="22"/>
        </w:rPr>
        <w:t>;</w:t>
      </w:r>
    </w:p>
    <w:p w14:paraId="310A36EE" w14:textId="150DA210" w:rsidR="000931E1" w:rsidRPr="0069004D" w:rsidRDefault="0059346B" w:rsidP="009A3D19">
      <w:pPr>
        <w:pStyle w:val="Heading1"/>
        <w:numPr>
          <w:ilvl w:val="2"/>
          <w:numId w:val="6"/>
        </w:numPr>
        <w:tabs>
          <w:tab w:val="num" w:pos="0"/>
          <w:tab w:val="left" w:pos="284"/>
        </w:tabs>
        <w:spacing w:before="0"/>
        <w:ind w:hanging="907"/>
        <w:jc w:val="both"/>
        <w:rPr>
          <w:rFonts w:ascii="Cambria" w:hAnsi="Cambria"/>
          <w:b w:val="0"/>
          <w:sz w:val="22"/>
          <w:szCs w:val="22"/>
        </w:rPr>
      </w:pPr>
      <w:r>
        <w:rPr>
          <w:rFonts w:ascii="Cambria" w:hAnsi="Cambria"/>
          <w:b w:val="0"/>
          <w:sz w:val="22"/>
          <w:szCs w:val="22"/>
        </w:rPr>
        <w:t>p</w:t>
      </w:r>
      <w:r w:rsidR="000931E1" w:rsidRPr="0069004D">
        <w:rPr>
          <w:rFonts w:ascii="Cambria" w:hAnsi="Cambria"/>
          <w:b w:val="0"/>
          <w:sz w:val="22"/>
          <w:szCs w:val="22"/>
        </w:rPr>
        <w:t>oskytovanie súčinnosti pri inštalácii a prevádzke neprodukčných prostredí DEv a TEST dodávaného informačného systému</w:t>
      </w:r>
      <w:r>
        <w:rPr>
          <w:rFonts w:ascii="Cambria" w:hAnsi="Cambria"/>
          <w:b w:val="0"/>
          <w:sz w:val="22"/>
          <w:szCs w:val="22"/>
        </w:rPr>
        <w:t>;</w:t>
      </w:r>
    </w:p>
    <w:p w14:paraId="2A2A4405" w14:textId="164BBCEA" w:rsidR="000931E1" w:rsidRPr="0069004D" w:rsidRDefault="0059346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4F584E">
        <w:rPr>
          <w:rFonts w:ascii="Cambria" w:hAnsi="Cambria"/>
          <w:b w:val="0"/>
          <w:sz w:val="22"/>
          <w:szCs w:val="22"/>
        </w:rPr>
        <w:t>p</w:t>
      </w:r>
      <w:r w:rsidR="000931E1" w:rsidRPr="004F584E">
        <w:rPr>
          <w:rFonts w:ascii="Cambria" w:hAnsi="Cambria"/>
          <w:b w:val="0"/>
          <w:sz w:val="22"/>
          <w:szCs w:val="22"/>
        </w:rPr>
        <w:t>oskyt</w:t>
      </w:r>
      <w:r w:rsidR="00E4734F">
        <w:rPr>
          <w:rFonts w:ascii="Cambria" w:hAnsi="Cambria"/>
          <w:b w:val="0"/>
          <w:sz w:val="22"/>
          <w:szCs w:val="22"/>
        </w:rPr>
        <w:t>ovanie</w:t>
      </w:r>
      <w:r w:rsidR="000931E1" w:rsidRPr="004F584E">
        <w:rPr>
          <w:rFonts w:ascii="Cambria" w:hAnsi="Cambria"/>
          <w:b w:val="0"/>
          <w:sz w:val="22"/>
          <w:szCs w:val="22"/>
        </w:rPr>
        <w:t xml:space="preserve"> </w:t>
      </w:r>
      <w:r w:rsidR="00C249D6" w:rsidRPr="004F584E">
        <w:rPr>
          <w:rFonts w:ascii="Cambria" w:hAnsi="Cambria"/>
          <w:b w:val="0"/>
          <w:sz w:val="22"/>
          <w:szCs w:val="22"/>
        </w:rPr>
        <w:t>súčinnos</w:t>
      </w:r>
      <w:r w:rsidR="00003BDD" w:rsidRPr="004F584E">
        <w:rPr>
          <w:rFonts w:ascii="Cambria" w:hAnsi="Cambria"/>
          <w:b w:val="0"/>
          <w:sz w:val="22"/>
          <w:szCs w:val="22"/>
        </w:rPr>
        <w:t>ti</w:t>
      </w:r>
      <w:r w:rsidR="00C249D6">
        <w:rPr>
          <w:rFonts w:ascii="Cambria" w:hAnsi="Cambria"/>
          <w:b w:val="0"/>
          <w:sz w:val="22"/>
          <w:szCs w:val="22"/>
        </w:rPr>
        <w:t xml:space="preserve"> </w:t>
      </w:r>
      <w:r w:rsidR="000931E1" w:rsidRPr="0069004D">
        <w:rPr>
          <w:rFonts w:ascii="Cambria" w:hAnsi="Cambria"/>
          <w:b w:val="0"/>
          <w:sz w:val="22"/>
          <w:szCs w:val="22"/>
        </w:rPr>
        <w:t xml:space="preserve">pre </w:t>
      </w:r>
      <w:r w:rsidR="00C249D6" w:rsidRPr="0069004D">
        <w:rPr>
          <w:rFonts w:ascii="Cambria" w:hAnsi="Cambria"/>
          <w:b w:val="0"/>
          <w:sz w:val="22"/>
          <w:szCs w:val="22"/>
        </w:rPr>
        <w:t>podporu</w:t>
      </w:r>
      <w:r w:rsidR="000931E1" w:rsidRPr="0069004D">
        <w:rPr>
          <w:rFonts w:ascii="Cambria" w:hAnsi="Cambria"/>
          <w:b w:val="0"/>
          <w:sz w:val="22"/>
          <w:szCs w:val="22"/>
        </w:rPr>
        <w:t xml:space="preserve"> produkčného prostredia </w:t>
      </w:r>
      <w:r w:rsidR="0001700B">
        <w:rPr>
          <w:rFonts w:ascii="Cambria" w:hAnsi="Cambria"/>
          <w:b w:val="0"/>
          <w:sz w:val="22"/>
          <w:szCs w:val="22"/>
        </w:rPr>
        <w:t xml:space="preserve">dodaného </w:t>
      </w:r>
      <w:r w:rsidR="000931E1" w:rsidRPr="0069004D">
        <w:rPr>
          <w:rFonts w:ascii="Cambria" w:hAnsi="Cambria"/>
          <w:b w:val="0"/>
          <w:sz w:val="22"/>
          <w:szCs w:val="22"/>
        </w:rPr>
        <w:t xml:space="preserve">informačného systému </w:t>
      </w:r>
      <w:r w:rsidR="00B4408C" w:rsidRPr="0069004D">
        <w:rPr>
          <w:rFonts w:ascii="Cambria" w:hAnsi="Cambria"/>
          <w:b w:val="0"/>
          <w:sz w:val="22"/>
          <w:szCs w:val="22"/>
        </w:rPr>
        <w:t>(súčasťou Diela je aj prevádzkový manuál)</w:t>
      </w:r>
      <w:r>
        <w:rPr>
          <w:rFonts w:ascii="Cambria" w:hAnsi="Cambria"/>
          <w:b w:val="0"/>
          <w:sz w:val="22"/>
          <w:szCs w:val="22"/>
        </w:rPr>
        <w:t>;</w:t>
      </w:r>
    </w:p>
    <w:p w14:paraId="1F65CEA5" w14:textId="62A120F2" w:rsidR="00B4408C" w:rsidRPr="0069004D" w:rsidRDefault="00AD3214"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B7683">
        <w:rPr>
          <w:rFonts w:ascii="Cambria" w:hAnsi="Cambria"/>
          <w:b w:val="0"/>
          <w:sz w:val="22"/>
          <w:szCs w:val="22"/>
        </w:rPr>
        <w:t>poskyt</w:t>
      </w:r>
      <w:r w:rsidR="00F065D8" w:rsidRPr="007B7683">
        <w:rPr>
          <w:rFonts w:ascii="Cambria" w:hAnsi="Cambria"/>
          <w:b w:val="0"/>
          <w:sz w:val="22"/>
          <w:szCs w:val="22"/>
        </w:rPr>
        <w:t>ovanie</w:t>
      </w:r>
      <w:r w:rsidRPr="007B7683">
        <w:rPr>
          <w:rFonts w:ascii="Cambria" w:hAnsi="Cambria"/>
          <w:b w:val="0"/>
          <w:sz w:val="22"/>
          <w:szCs w:val="22"/>
        </w:rPr>
        <w:t xml:space="preserve"> </w:t>
      </w:r>
      <w:r w:rsidR="0059346B" w:rsidRPr="007B7683">
        <w:rPr>
          <w:rFonts w:ascii="Cambria" w:hAnsi="Cambria"/>
          <w:b w:val="0"/>
          <w:sz w:val="22"/>
          <w:szCs w:val="22"/>
        </w:rPr>
        <w:t>s</w:t>
      </w:r>
      <w:r w:rsidR="00B4408C" w:rsidRPr="007B7683">
        <w:rPr>
          <w:rFonts w:ascii="Cambria" w:hAnsi="Cambria"/>
          <w:b w:val="0"/>
          <w:sz w:val="22"/>
          <w:szCs w:val="22"/>
        </w:rPr>
        <w:t>účinnos</w:t>
      </w:r>
      <w:r w:rsidR="00DC4EA1" w:rsidRPr="007B7683">
        <w:rPr>
          <w:rFonts w:ascii="Cambria" w:hAnsi="Cambria"/>
          <w:b w:val="0"/>
          <w:sz w:val="22"/>
          <w:szCs w:val="22"/>
        </w:rPr>
        <w:t>ti</w:t>
      </w:r>
      <w:r w:rsidR="00B4408C" w:rsidRPr="007B7683">
        <w:rPr>
          <w:rFonts w:ascii="Cambria" w:hAnsi="Cambria"/>
          <w:b w:val="0"/>
          <w:sz w:val="22"/>
          <w:szCs w:val="22"/>
        </w:rPr>
        <w:t xml:space="preserve"> pri</w:t>
      </w:r>
      <w:r w:rsidR="00B4408C" w:rsidRPr="0069004D">
        <w:rPr>
          <w:rFonts w:ascii="Cambria" w:hAnsi="Cambria"/>
          <w:b w:val="0"/>
          <w:sz w:val="22"/>
          <w:szCs w:val="22"/>
        </w:rPr>
        <w:t xml:space="preserve"> inštalácii Diela na </w:t>
      </w:r>
      <w:r w:rsidR="00C249D6">
        <w:rPr>
          <w:rFonts w:ascii="Cambria" w:hAnsi="Cambria"/>
          <w:b w:val="0"/>
          <w:sz w:val="22"/>
          <w:szCs w:val="22"/>
        </w:rPr>
        <w:t>produkčné</w:t>
      </w:r>
      <w:r w:rsidR="00B4408C" w:rsidRPr="0069004D">
        <w:rPr>
          <w:rFonts w:ascii="Cambria" w:hAnsi="Cambria"/>
          <w:b w:val="0"/>
          <w:sz w:val="22"/>
          <w:szCs w:val="22"/>
        </w:rPr>
        <w:t xml:space="preserve"> prostredia</w:t>
      </w:r>
      <w:r w:rsidR="00542D26">
        <w:rPr>
          <w:rFonts w:ascii="Cambria" w:hAnsi="Cambria"/>
          <w:b w:val="0"/>
          <w:sz w:val="22"/>
          <w:szCs w:val="22"/>
        </w:rPr>
        <w:t>.</w:t>
      </w:r>
    </w:p>
    <w:p w14:paraId="542C588D" w14:textId="12F830FA" w:rsidR="00B865EC"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Pr>
          <w:rFonts w:ascii="Cambria" w:hAnsi="Cambria"/>
          <w:b w:val="0"/>
          <w:sz w:val="22"/>
          <w:szCs w:val="22"/>
        </w:rPr>
        <w:t>Zhotoviteľ sa zaväzuje dodať aj o</w:t>
      </w:r>
      <w:r w:rsidR="00B865EC" w:rsidRPr="00B865EC">
        <w:rPr>
          <w:rFonts w:ascii="Cambria" w:hAnsi="Cambria"/>
          <w:b w:val="0"/>
          <w:sz w:val="22"/>
          <w:szCs w:val="22"/>
        </w:rPr>
        <w:t xml:space="preserve">statné dodávky, činnosti a práce nevyhnutné pre realizáciu Diela, ktoré nie sú výslovne stanovené ako povinnosť </w:t>
      </w:r>
      <w:r w:rsidR="009D3261">
        <w:rPr>
          <w:rFonts w:ascii="Cambria" w:hAnsi="Cambria"/>
          <w:b w:val="0"/>
          <w:sz w:val="22"/>
          <w:szCs w:val="22"/>
        </w:rPr>
        <w:t>o</w:t>
      </w:r>
      <w:r w:rsidR="00B865EC" w:rsidRPr="00B865EC">
        <w:rPr>
          <w:rFonts w:ascii="Cambria" w:hAnsi="Cambria"/>
          <w:b w:val="0"/>
          <w:sz w:val="22"/>
          <w:szCs w:val="22"/>
        </w:rPr>
        <w:t>bjednávateľa</w:t>
      </w:r>
      <w:r w:rsidR="00DD605C">
        <w:rPr>
          <w:rFonts w:ascii="Cambria" w:hAnsi="Cambria"/>
          <w:b w:val="0"/>
          <w:sz w:val="22"/>
          <w:szCs w:val="22"/>
        </w:rPr>
        <w:t xml:space="preserve">, prípadne sú uvedené </w:t>
      </w:r>
      <w:r w:rsidR="00C17564">
        <w:rPr>
          <w:rFonts w:ascii="Cambria" w:hAnsi="Cambria"/>
          <w:b w:val="0"/>
          <w:sz w:val="22"/>
          <w:szCs w:val="22"/>
        </w:rPr>
        <w:t>v Prílohe č. 2 tejto zmluvy o</w:t>
      </w:r>
      <w:r w:rsidR="00867BD3">
        <w:rPr>
          <w:rFonts w:ascii="Cambria" w:hAnsi="Cambria"/>
          <w:b w:val="0"/>
          <w:sz w:val="22"/>
          <w:szCs w:val="22"/>
        </w:rPr>
        <w:t> </w:t>
      </w:r>
      <w:r w:rsidR="00C17564">
        <w:rPr>
          <w:rFonts w:ascii="Cambria" w:hAnsi="Cambria"/>
          <w:b w:val="0"/>
          <w:sz w:val="22"/>
          <w:szCs w:val="22"/>
        </w:rPr>
        <w:t>dielo</w:t>
      </w:r>
      <w:r w:rsidR="00867BD3">
        <w:rPr>
          <w:rFonts w:ascii="Cambria" w:hAnsi="Cambria"/>
          <w:b w:val="0"/>
          <w:sz w:val="22"/>
          <w:szCs w:val="22"/>
        </w:rPr>
        <w:t xml:space="preserve"> alebo </w:t>
      </w:r>
      <w:r w:rsidR="00DE1EAB">
        <w:rPr>
          <w:rFonts w:ascii="Cambria" w:hAnsi="Cambria"/>
          <w:b w:val="0"/>
          <w:sz w:val="22"/>
          <w:szCs w:val="22"/>
        </w:rPr>
        <w:t>v článku XIII tejto zmluvy o dielo</w:t>
      </w:r>
      <w:r w:rsidR="00C17564">
        <w:rPr>
          <w:rFonts w:ascii="Cambria" w:hAnsi="Cambria"/>
          <w:b w:val="0"/>
          <w:sz w:val="22"/>
          <w:szCs w:val="22"/>
        </w:rPr>
        <w:t>.</w:t>
      </w:r>
    </w:p>
    <w:p w14:paraId="534CC230" w14:textId="09DC2347" w:rsidR="00B277D3" w:rsidRPr="0060290F" w:rsidRDefault="00B277D3" w:rsidP="009A3D19">
      <w:pPr>
        <w:pStyle w:val="Heading1"/>
        <w:numPr>
          <w:ilvl w:val="1"/>
          <w:numId w:val="6"/>
        </w:numPr>
        <w:tabs>
          <w:tab w:val="clear" w:pos="907"/>
          <w:tab w:val="num" w:pos="0"/>
          <w:tab w:val="left" w:pos="284"/>
        </w:tabs>
        <w:spacing w:before="0"/>
        <w:ind w:hanging="907"/>
        <w:jc w:val="both"/>
        <w:rPr>
          <w:rFonts w:ascii="Cambria" w:hAnsi="Cambria"/>
          <w:b w:val="0"/>
          <w:bCs/>
          <w:sz w:val="22"/>
          <w:szCs w:val="22"/>
        </w:rPr>
      </w:pPr>
      <w:r w:rsidRPr="0060290F">
        <w:rPr>
          <w:rFonts w:ascii="Cambria" w:hAnsi="Cambria"/>
          <w:b w:val="0"/>
          <w:bCs/>
          <w:sz w:val="22"/>
          <w:szCs w:val="22"/>
        </w:rPr>
        <w:t xml:space="preserve">Zhotoviteľ sa zaväzuje na </w:t>
      </w:r>
      <w:r w:rsidR="00DD1E4A" w:rsidRPr="0060290F">
        <w:rPr>
          <w:rFonts w:ascii="Cambria" w:hAnsi="Cambria"/>
          <w:b w:val="0"/>
          <w:bCs/>
          <w:sz w:val="22"/>
          <w:szCs w:val="22"/>
        </w:rPr>
        <w:t>vlastné náklady</w:t>
      </w:r>
      <w:r w:rsidR="00217B23" w:rsidRPr="0060290F">
        <w:rPr>
          <w:rFonts w:ascii="Cambria" w:hAnsi="Cambria"/>
          <w:b w:val="0"/>
          <w:bCs/>
          <w:sz w:val="22"/>
          <w:szCs w:val="22"/>
        </w:rPr>
        <w:t xml:space="preserve"> </w:t>
      </w:r>
      <w:r w:rsidR="00AA28B0" w:rsidRPr="0060290F">
        <w:rPr>
          <w:rFonts w:ascii="Cambria" w:hAnsi="Cambria"/>
          <w:b w:val="0"/>
          <w:bCs/>
          <w:sz w:val="22"/>
          <w:szCs w:val="22"/>
        </w:rPr>
        <w:t xml:space="preserve">zabezpečiť pre objednávateľa </w:t>
      </w:r>
      <w:r w:rsidR="00DE6705" w:rsidRPr="0060290F">
        <w:rPr>
          <w:rFonts w:ascii="Cambria" w:hAnsi="Cambria"/>
          <w:b w:val="0"/>
          <w:bCs/>
          <w:sz w:val="22"/>
          <w:szCs w:val="22"/>
        </w:rPr>
        <w:t>produkt</w:t>
      </w:r>
      <w:r w:rsidR="003A0797" w:rsidRPr="0060290F">
        <w:rPr>
          <w:rFonts w:ascii="Cambria" w:hAnsi="Cambria"/>
          <w:b w:val="0"/>
          <w:bCs/>
          <w:sz w:val="22"/>
          <w:szCs w:val="22"/>
        </w:rPr>
        <w:t xml:space="preserve"> </w:t>
      </w:r>
      <w:r w:rsidR="00DE6705" w:rsidRPr="0060290F">
        <w:rPr>
          <w:rFonts w:ascii="Cambria" w:hAnsi="Cambria"/>
          <w:b w:val="0"/>
          <w:bCs/>
          <w:sz w:val="22"/>
          <w:szCs w:val="22"/>
        </w:rPr>
        <w:t>(predplatné</w:t>
      </w:r>
      <w:r w:rsidR="00C55FD6" w:rsidRPr="0060290F">
        <w:rPr>
          <w:rFonts w:ascii="Cambria" w:hAnsi="Cambria"/>
          <w:b w:val="0"/>
          <w:bCs/>
          <w:sz w:val="22"/>
          <w:szCs w:val="22"/>
        </w:rPr>
        <w:t xml:space="preserve"> - </w:t>
      </w:r>
      <w:r w:rsidR="00C55FD6" w:rsidRPr="0060290F">
        <w:rPr>
          <w:rFonts w:ascii="Cambria" w:hAnsi="Cambria"/>
          <w:b w:val="0"/>
          <w:bCs/>
          <w:sz w:val="22"/>
          <w:szCs w:val="22"/>
          <w:lang w:val="en-GB"/>
        </w:rPr>
        <w:t>subscription</w:t>
      </w:r>
      <w:r w:rsidR="00733008" w:rsidRPr="0060290F">
        <w:rPr>
          <w:rFonts w:ascii="Cambria" w:hAnsi="Cambria"/>
          <w:b w:val="0"/>
          <w:bCs/>
          <w:sz w:val="22"/>
          <w:szCs w:val="22"/>
        </w:rPr>
        <w:t xml:space="preserve">) </w:t>
      </w:r>
      <w:r w:rsidR="009F5973" w:rsidRPr="0060290F">
        <w:rPr>
          <w:rFonts w:ascii="Cambria" w:hAnsi="Cambria"/>
          <w:b w:val="0"/>
          <w:bCs/>
          <w:sz w:val="22"/>
          <w:szCs w:val="22"/>
        </w:rPr>
        <w:t>pre DataLake</w:t>
      </w:r>
      <w:r w:rsidR="00A83DD4">
        <w:rPr>
          <w:rFonts w:ascii="Cambria" w:hAnsi="Cambria"/>
          <w:b w:val="0"/>
          <w:bCs/>
          <w:sz w:val="22"/>
          <w:szCs w:val="22"/>
        </w:rPr>
        <w:t xml:space="preserve"> na dobu</w:t>
      </w:r>
      <w:r w:rsidR="009F5973" w:rsidRPr="0060290F">
        <w:rPr>
          <w:rFonts w:ascii="Cambria" w:hAnsi="Cambria"/>
          <w:b w:val="0"/>
          <w:bCs/>
          <w:sz w:val="22"/>
          <w:szCs w:val="22"/>
        </w:rPr>
        <w:t xml:space="preserve"> </w:t>
      </w:r>
      <w:r w:rsidR="003D2C6F" w:rsidRPr="0060290F">
        <w:rPr>
          <w:rFonts w:ascii="Cambria" w:hAnsi="Cambria"/>
          <w:b w:val="0"/>
          <w:bCs/>
          <w:sz w:val="22"/>
          <w:szCs w:val="22"/>
        </w:rPr>
        <w:t>od</w:t>
      </w:r>
      <w:r w:rsidR="009A18DE" w:rsidRPr="0060290F">
        <w:rPr>
          <w:rFonts w:ascii="Cambria" w:hAnsi="Cambria"/>
          <w:b w:val="0"/>
          <w:bCs/>
          <w:sz w:val="22"/>
          <w:szCs w:val="22"/>
        </w:rPr>
        <w:t xml:space="preserve"> </w:t>
      </w:r>
      <w:r w:rsidR="000626E5" w:rsidRPr="0060290F">
        <w:rPr>
          <w:rFonts w:ascii="Cambria" w:hAnsi="Cambria"/>
          <w:b w:val="0"/>
          <w:bCs/>
          <w:sz w:val="22"/>
          <w:szCs w:val="22"/>
        </w:rPr>
        <w:t>začiatku 2. fázy</w:t>
      </w:r>
      <w:r w:rsidR="003D2C6F" w:rsidRPr="0060290F">
        <w:rPr>
          <w:rFonts w:ascii="Cambria" w:hAnsi="Cambria"/>
          <w:b w:val="0"/>
          <w:bCs/>
          <w:sz w:val="22"/>
          <w:szCs w:val="22"/>
        </w:rPr>
        <w:t xml:space="preserve"> podľa Prílohy č. 3 tejto zmluvy o</w:t>
      </w:r>
      <w:r w:rsidR="008B4363" w:rsidRPr="0060290F">
        <w:rPr>
          <w:rFonts w:ascii="Cambria" w:hAnsi="Cambria"/>
          <w:b w:val="0"/>
          <w:bCs/>
          <w:sz w:val="22"/>
          <w:szCs w:val="22"/>
        </w:rPr>
        <w:t> </w:t>
      </w:r>
      <w:r w:rsidR="003D2C6F" w:rsidRPr="0060290F">
        <w:rPr>
          <w:rFonts w:ascii="Cambria" w:hAnsi="Cambria"/>
          <w:b w:val="0"/>
          <w:bCs/>
          <w:sz w:val="22"/>
          <w:szCs w:val="22"/>
        </w:rPr>
        <w:t>dielo</w:t>
      </w:r>
      <w:r w:rsidR="008B4363" w:rsidRPr="0060290F">
        <w:rPr>
          <w:rFonts w:ascii="Cambria" w:hAnsi="Cambria"/>
          <w:b w:val="0"/>
          <w:bCs/>
          <w:sz w:val="22"/>
          <w:szCs w:val="22"/>
        </w:rPr>
        <w:t xml:space="preserve"> do riadneho </w:t>
      </w:r>
      <w:r w:rsidR="003D2C6F" w:rsidRPr="0060290F">
        <w:rPr>
          <w:rFonts w:ascii="Cambria" w:hAnsi="Cambria"/>
          <w:b w:val="0"/>
          <w:bCs/>
          <w:sz w:val="22"/>
          <w:szCs w:val="22"/>
        </w:rPr>
        <w:t xml:space="preserve"> </w:t>
      </w:r>
      <w:r w:rsidR="00150FE1" w:rsidRPr="0060290F">
        <w:rPr>
          <w:rFonts w:ascii="Cambria" w:hAnsi="Cambria"/>
          <w:b w:val="0"/>
          <w:bCs/>
          <w:sz w:val="22"/>
          <w:szCs w:val="22"/>
        </w:rPr>
        <w:t>dodania</w:t>
      </w:r>
      <w:r w:rsidR="009F5973" w:rsidRPr="0060290F">
        <w:rPr>
          <w:rFonts w:ascii="Cambria" w:hAnsi="Cambria"/>
          <w:b w:val="0"/>
          <w:bCs/>
          <w:sz w:val="22"/>
          <w:szCs w:val="22"/>
        </w:rPr>
        <w:t xml:space="preserve"> Diela t. j. po podpísaní Záverečného akceptačného protokolu.</w:t>
      </w:r>
    </w:p>
    <w:p w14:paraId="6417C549" w14:textId="5EB44750" w:rsidR="00AE4C5D" w:rsidRPr="0060290F" w:rsidRDefault="00AE4C5D"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60290F">
        <w:rPr>
          <w:rFonts w:ascii="Cambria" w:hAnsi="Cambria"/>
          <w:b w:val="0"/>
          <w:bCs/>
          <w:sz w:val="22"/>
          <w:szCs w:val="22"/>
        </w:rPr>
        <w:t xml:space="preserve">Zhotoviteľ sa zaväzuje na </w:t>
      </w:r>
      <w:r w:rsidR="00FB46BA" w:rsidRPr="0060290F">
        <w:rPr>
          <w:rFonts w:ascii="Cambria" w:hAnsi="Cambria"/>
          <w:b w:val="0"/>
          <w:bCs/>
          <w:sz w:val="22"/>
          <w:szCs w:val="22"/>
        </w:rPr>
        <w:t xml:space="preserve">vlastné náklady zabezpečiť pre objednávateľa </w:t>
      </w:r>
      <w:r w:rsidR="00F2480D" w:rsidRPr="0060290F">
        <w:rPr>
          <w:rFonts w:ascii="Cambria" w:hAnsi="Cambria"/>
          <w:b w:val="0"/>
          <w:bCs/>
          <w:sz w:val="22"/>
          <w:szCs w:val="22"/>
        </w:rPr>
        <w:t>licencie SW</w:t>
      </w:r>
      <w:r w:rsidR="00924049" w:rsidRPr="0060290F">
        <w:rPr>
          <w:rFonts w:ascii="Cambria" w:hAnsi="Cambria"/>
          <w:b w:val="0"/>
          <w:bCs/>
          <w:sz w:val="22"/>
          <w:szCs w:val="22"/>
        </w:rPr>
        <w:t xml:space="preserve"> v špecifikácii pracovnej stanice vývojára </w:t>
      </w:r>
      <w:r w:rsidR="00EE1ADB" w:rsidRPr="0060290F">
        <w:rPr>
          <w:rFonts w:ascii="Cambria" w:hAnsi="Cambria"/>
          <w:b w:val="0"/>
          <w:bCs/>
          <w:sz w:val="22"/>
          <w:szCs w:val="22"/>
        </w:rPr>
        <w:t>v zmysle príloh tejto zmluvy o</w:t>
      </w:r>
      <w:r w:rsidR="001F03FD">
        <w:rPr>
          <w:rFonts w:ascii="Cambria" w:hAnsi="Cambria"/>
          <w:b w:val="0"/>
          <w:bCs/>
          <w:sz w:val="22"/>
          <w:szCs w:val="22"/>
        </w:rPr>
        <w:t> </w:t>
      </w:r>
      <w:r w:rsidR="00EE1ADB" w:rsidRPr="0060290F">
        <w:rPr>
          <w:rFonts w:ascii="Cambria" w:hAnsi="Cambria"/>
          <w:b w:val="0"/>
          <w:bCs/>
          <w:sz w:val="22"/>
          <w:szCs w:val="22"/>
        </w:rPr>
        <w:t>dielo</w:t>
      </w:r>
      <w:r w:rsidR="001F03FD">
        <w:rPr>
          <w:rFonts w:ascii="Cambria" w:hAnsi="Cambria"/>
          <w:b w:val="0"/>
          <w:bCs/>
          <w:sz w:val="22"/>
          <w:szCs w:val="22"/>
        </w:rPr>
        <w:t xml:space="preserve">, ktoré </w:t>
      </w:r>
      <w:r w:rsidR="00DD42E8">
        <w:rPr>
          <w:rFonts w:ascii="Cambria" w:hAnsi="Cambria"/>
          <w:b w:val="0"/>
          <w:bCs/>
          <w:sz w:val="22"/>
          <w:szCs w:val="22"/>
        </w:rPr>
        <w:t xml:space="preserve">sú </w:t>
      </w:r>
      <w:r w:rsidR="00095BAB">
        <w:rPr>
          <w:rFonts w:ascii="Cambria" w:hAnsi="Cambria"/>
          <w:b w:val="0"/>
          <w:bCs/>
          <w:sz w:val="22"/>
          <w:szCs w:val="22"/>
        </w:rPr>
        <w:t xml:space="preserve">pre vytvorenie a dodanie Diela nevyhnutné a nie sú súčasťou poskytnutých SW licencií </w:t>
      </w:r>
      <w:r w:rsidR="0059515C">
        <w:rPr>
          <w:rFonts w:ascii="Cambria" w:hAnsi="Cambria"/>
          <w:b w:val="0"/>
          <w:bCs/>
          <w:sz w:val="22"/>
          <w:szCs w:val="22"/>
        </w:rPr>
        <w:t>od objednávateľa (</w:t>
      </w:r>
      <w:r w:rsidR="00DD42E8">
        <w:rPr>
          <w:rFonts w:ascii="Cambria" w:hAnsi="Cambria"/>
          <w:b w:val="0"/>
          <w:bCs/>
          <w:sz w:val="22"/>
          <w:szCs w:val="22"/>
        </w:rPr>
        <w:t>Príloha č. 2 zmluvy o dielo)</w:t>
      </w:r>
      <w:r w:rsidR="008E01AD" w:rsidRPr="0060290F">
        <w:rPr>
          <w:rFonts w:ascii="Cambria" w:hAnsi="Cambria"/>
          <w:b w:val="0"/>
          <w:bCs/>
          <w:sz w:val="22"/>
          <w:szCs w:val="22"/>
        </w:rPr>
        <w:t xml:space="preserve">. Tieto licencie </w:t>
      </w:r>
      <w:r w:rsidR="00A32C7B" w:rsidRPr="0060290F">
        <w:rPr>
          <w:rFonts w:ascii="Cambria" w:hAnsi="Cambria"/>
          <w:b w:val="0"/>
          <w:bCs/>
          <w:sz w:val="22"/>
          <w:szCs w:val="22"/>
        </w:rPr>
        <w:t>sú pre objednávateľa zhotoviteľom zabezpečené s podporou výrobcu</w:t>
      </w:r>
      <w:r w:rsidR="00B5797A" w:rsidRPr="0060290F">
        <w:rPr>
          <w:rFonts w:ascii="Cambria" w:hAnsi="Cambria"/>
          <w:b w:val="0"/>
          <w:bCs/>
          <w:sz w:val="22"/>
          <w:szCs w:val="22"/>
        </w:rPr>
        <w:t xml:space="preserve"> </w:t>
      </w:r>
      <w:r w:rsidR="00473576" w:rsidRPr="0060290F">
        <w:rPr>
          <w:rFonts w:ascii="Cambria" w:hAnsi="Cambria"/>
          <w:b w:val="0"/>
          <w:bCs/>
          <w:sz w:val="22"/>
          <w:szCs w:val="22"/>
        </w:rPr>
        <w:t xml:space="preserve">na dobu od začiatku vykonávania Diela po </w:t>
      </w:r>
      <w:r w:rsidR="007E36D5" w:rsidRPr="0060290F">
        <w:rPr>
          <w:rFonts w:ascii="Cambria" w:hAnsi="Cambria"/>
          <w:b w:val="0"/>
          <w:bCs/>
          <w:sz w:val="22"/>
          <w:szCs w:val="22"/>
        </w:rPr>
        <w:t>moment jeho riad</w:t>
      </w:r>
      <w:r w:rsidR="006E000A" w:rsidRPr="0060290F">
        <w:rPr>
          <w:rFonts w:ascii="Cambria" w:hAnsi="Cambria"/>
          <w:b w:val="0"/>
          <w:bCs/>
          <w:sz w:val="22"/>
          <w:szCs w:val="22"/>
        </w:rPr>
        <w:t>neho dodania Diela t.j. po podpísaní Záverečného protokolu)</w:t>
      </w:r>
      <w:r w:rsidR="007E36D5" w:rsidRPr="0060290F">
        <w:rPr>
          <w:rFonts w:ascii="Cambria" w:hAnsi="Cambria"/>
          <w:b w:val="0"/>
          <w:bCs/>
          <w:sz w:val="22"/>
          <w:szCs w:val="22"/>
        </w:rPr>
        <w:t xml:space="preserve">. </w:t>
      </w:r>
      <w:r w:rsidR="0060290F" w:rsidRPr="0060290F">
        <w:rPr>
          <w:rFonts w:ascii="Cambria" w:hAnsi="Cambria"/>
          <w:b w:val="0"/>
          <w:bCs/>
          <w:sz w:val="22"/>
          <w:szCs w:val="22"/>
        </w:rPr>
        <w:t>Produkty (predplatné-</w:t>
      </w:r>
      <w:r w:rsidR="0060290F" w:rsidRPr="0060290F">
        <w:rPr>
          <w:rFonts w:ascii="Cambria" w:hAnsi="Cambria"/>
          <w:b w:val="0"/>
          <w:bCs/>
          <w:sz w:val="22"/>
          <w:szCs w:val="22"/>
          <w:lang w:val="en-GB"/>
        </w:rPr>
        <w:t>subscription</w:t>
      </w:r>
      <w:r w:rsidR="0060290F" w:rsidRPr="0060290F">
        <w:rPr>
          <w:rFonts w:ascii="Cambria" w:hAnsi="Cambria"/>
          <w:b w:val="0"/>
          <w:bCs/>
          <w:sz w:val="22"/>
          <w:szCs w:val="22"/>
        </w:rPr>
        <w:t xml:space="preserve"> a licencie) </w:t>
      </w:r>
      <w:r w:rsidR="00D9212A" w:rsidRPr="0060290F">
        <w:rPr>
          <w:rFonts w:ascii="Cambria" w:hAnsi="Cambria"/>
          <w:b w:val="0"/>
          <w:sz w:val="22"/>
          <w:szCs w:val="22"/>
        </w:rPr>
        <w:t>podľa bodu 2.4.</w:t>
      </w:r>
      <w:r w:rsidR="009D6D35" w:rsidRPr="0060290F">
        <w:rPr>
          <w:rFonts w:ascii="Cambria" w:hAnsi="Cambria"/>
          <w:b w:val="0"/>
          <w:sz w:val="22"/>
          <w:szCs w:val="22"/>
        </w:rPr>
        <w:t xml:space="preserve"> a bodu 2.5. sú </w:t>
      </w:r>
      <w:r w:rsidR="00AE778A" w:rsidRPr="0060290F">
        <w:rPr>
          <w:rFonts w:ascii="Cambria" w:hAnsi="Cambria"/>
          <w:b w:val="0"/>
          <w:sz w:val="22"/>
          <w:szCs w:val="22"/>
        </w:rPr>
        <w:t xml:space="preserve">spolu </w:t>
      </w:r>
      <w:r w:rsidR="00F163CE" w:rsidRPr="0060290F">
        <w:rPr>
          <w:rFonts w:ascii="Cambria" w:hAnsi="Cambria"/>
          <w:b w:val="0"/>
          <w:sz w:val="22"/>
          <w:szCs w:val="22"/>
        </w:rPr>
        <w:t>ďalej označené</w:t>
      </w:r>
      <w:r w:rsidR="009D6D35" w:rsidRPr="0060290F">
        <w:rPr>
          <w:rFonts w:ascii="Cambria" w:hAnsi="Cambria"/>
          <w:b w:val="0"/>
          <w:sz w:val="22"/>
          <w:szCs w:val="22"/>
        </w:rPr>
        <w:t xml:space="preserve"> </w:t>
      </w:r>
      <w:r w:rsidR="00F163CE" w:rsidRPr="0060290F">
        <w:rPr>
          <w:rFonts w:ascii="Cambria" w:hAnsi="Cambria"/>
          <w:b w:val="0"/>
          <w:sz w:val="22"/>
          <w:szCs w:val="22"/>
        </w:rPr>
        <w:t>ako</w:t>
      </w:r>
      <w:r w:rsidR="009D6D35" w:rsidRPr="0060290F">
        <w:rPr>
          <w:rFonts w:ascii="Cambria" w:hAnsi="Cambria"/>
          <w:b w:val="0"/>
          <w:sz w:val="22"/>
          <w:szCs w:val="22"/>
        </w:rPr>
        <w:t xml:space="preserve"> „</w:t>
      </w:r>
      <w:r w:rsidR="00B3551D" w:rsidRPr="0060290F">
        <w:rPr>
          <w:rFonts w:ascii="Cambria" w:hAnsi="Cambria"/>
          <w:b w:val="0"/>
          <w:sz w:val="22"/>
          <w:szCs w:val="22"/>
        </w:rPr>
        <w:t>ďalšie</w:t>
      </w:r>
      <w:r w:rsidR="00AE778A" w:rsidRPr="0060290F">
        <w:rPr>
          <w:rFonts w:ascii="Cambria" w:hAnsi="Cambria"/>
          <w:b w:val="0"/>
          <w:sz w:val="22"/>
          <w:szCs w:val="22"/>
        </w:rPr>
        <w:t xml:space="preserve"> licencie</w:t>
      </w:r>
      <w:r w:rsidR="009D6D35" w:rsidRPr="0060290F">
        <w:rPr>
          <w:rFonts w:ascii="Cambria" w:hAnsi="Cambria"/>
          <w:b w:val="0"/>
          <w:sz w:val="22"/>
          <w:szCs w:val="22"/>
        </w:rPr>
        <w:t>“.</w:t>
      </w:r>
    </w:p>
    <w:p w14:paraId="567E0AEC" w14:textId="06899C39" w:rsidR="009E3EF5" w:rsidRDefault="009E3EF5" w:rsidP="004F1095">
      <w:pPr>
        <w:pStyle w:val="Heading1"/>
        <w:tabs>
          <w:tab w:val="num" w:pos="0"/>
          <w:tab w:val="left" w:pos="284"/>
        </w:tabs>
        <w:spacing w:before="0" w:after="240"/>
        <w:ind w:left="907" w:hanging="907"/>
        <w:jc w:val="both"/>
        <w:rPr>
          <w:rFonts w:ascii="Cambria" w:hAnsi="Cambria"/>
          <w:b w:val="0"/>
          <w:sz w:val="22"/>
          <w:szCs w:val="22"/>
        </w:rPr>
      </w:pPr>
      <w:r w:rsidRPr="0060290F">
        <w:rPr>
          <w:rFonts w:ascii="Cambria" w:hAnsi="Cambria"/>
          <w:b w:val="0"/>
          <w:sz w:val="22"/>
          <w:szCs w:val="22"/>
        </w:rPr>
        <w:t xml:space="preserve">(ďalej </w:t>
      </w:r>
      <w:r w:rsidR="00527637">
        <w:rPr>
          <w:rFonts w:ascii="Cambria" w:hAnsi="Cambria"/>
          <w:b w:val="0"/>
          <w:sz w:val="22"/>
          <w:szCs w:val="22"/>
        </w:rPr>
        <w:t xml:space="preserve">bod 2.1.,2.2.,2.3.,2.4. a 2.5. </w:t>
      </w:r>
      <w:r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41BB03A9" w14:textId="2DA6058C" w:rsidR="00C066E9" w:rsidRPr="003F638E" w:rsidRDefault="000D0FCE"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Pr>
          <w:rFonts w:ascii="Cambria" w:hAnsi="Cambria"/>
          <w:b w:val="0"/>
          <w:sz w:val="22"/>
          <w:szCs w:val="22"/>
        </w:rPr>
        <w:t>S</w:t>
      </w:r>
      <w:r w:rsidR="00C066E9" w:rsidRPr="003F638E">
        <w:rPr>
          <w:rFonts w:ascii="Cambria" w:hAnsi="Cambria"/>
          <w:b w:val="0"/>
          <w:sz w:val="22"/>
          <w:szCs w:val="22"/>
        </w:rPr>
        <w:t>účasťou predmetu zmluvy nie je:</w:t>
      </w:r>
    </w:p>
    <w:p w14:paraId="7D92AB8E" w14:textId="541054E1" w:rsidR="00C066E9" w:rsidRPr="003F638E" w:rsidRDefault="001C36A1" w:rsidP="009A3D19">
      <w:pPr>
        <w:pStyle w:val="Heading1"/>
        <w:numPr>
          <w:ilvl w:val="2"/>
          <w:numId w:val="6"/>
        </w:numPr>
        <w:tabs>
          <w:tab w:val="left" w:pos="284"/>
        </w:tabs>
        <w:spacing w:before="0"/>
        <w:jc w:val="both"/>
        <w:rPr>
          <w:rFonts w:ascii="Cambria" w:hAnsi="Cambria"/>
          <w:b w:val="0"/>
          <w:sz w:val="22"/>
          <w:szCs w:val="22"/>
        </w:rPr>
      </w:pPr>
      <w:r>
        <w:rPr>
          <w:rFonts w:ascii="Cambria" w:hAnsi="Cambria"/>
          <w:b w:val="0"/>
          <w:sz w:val="22"/>
          <w:szCs w:val="22"/>
        </w:rPr>
        <w:t>dodanie</w:t>
      </w:r>
      <w:r w:rsidR="00C066E9" w:rsidRPr="003F638E">
        <w:rPr>
          <w:rFonts w:ascii="Cambria" w:hAnsi="Cambria"/>
          <w:b w:val="0"/>
          <w:sz w:val="22"/>
          <w:szCs w:val="22"/>
        </w:rPr>
        <w:t xml:space="preserve"> </w:t>
      </w:r>
      <w:r w:rsidR="00667938">
        <w:rPr>
          <w:rFonts w:ascii="Cambria" w:hAnsi="Cambria"/>
          <w:b w:val="0"/>
          <w:sz w:val="22"/>
          <w:szCs w:val="22"/>
        </w:rPr>
        <w:t xml:space="preserve">a inštalácia </w:t>
      </w:r>
      <w:r w:rsidR="00C066E9" w:rsidRPr="003F638E">
        <w:rPr>
          <w:rFonts w:ascii="Cambria" w:hAnsi="Cambria"/>
          <w:b w:val="0"/>
          <w:sz w:val="22"/>
          <w:szCs w:val="22"/>
        </w:rPr>
        <w:t>HW serverov</w:t>
      </w:r>
      <w:r w:rsidR="00782D84">
        <w:rPr>
          <w:rFonts w:ascii="Cambria" w:hAnsi="Cambria"/>
          <w:b w:val="0"/>
          <w:sz w:val="22"/>
          <w:szCs w:val="22"/>
        </w:rPr>
        <w:t xml:space="preserve"> ani HW</w:t>
      </w:r>
      <w:r w:rsidR="00667938">
        <w:rPr>
          <w:rFonts w:ascii="Cambria" w:hAnsi="Cambria"/>
          <w:b w:val="0"/>
          <w:sz w:val="22"/>
          <w:szCs w:val="22"/>
        </w:rPr>
        <w:t>,</w:t>
      </w:r>
    </w:p>
    <w:p w14:paraId="7ECC65E3" w14:textId="7F63810F" w:rsidR="00C066E9" w:rsidRPr="003F638E" w:rsidRDefault="001C36A1" w:rsidP="009A3D19">
      <w:pPr>
        <w:pStyle w:val="Heading1"/>
        <w:numPr>
          <w:ilvl w:val="2"/>
          <w:numId w:val="6"/>
        </w:numPr>
        <w:tabs>
          <w:tab w:val="left" w:pos="284"/>
        </w:tabs>
        <w:spacing w:before="0"/>
        <w:jc w:val="both"/>
        <w:rPr>
          <w:rFonts w:ascii="Cambria" w:hAnsi="Cambria"/>
          <w:b w:val="0"/>
          <w:sz w:val="22"/>
          <w:szCs w:val="22"/>
        </w:rPr>
      </w:pPr>
      <w:r>
        <w:rPr>
          <w:rFonts w:ascii="Cambria" w:hAnsi="Cambria"/>
          <w:b w:val="0"/>
          <w:sz w:val="22"/>
          <w:szCs w:val="22"/>
        </w:rPr>
        <w:t>d</w:t>
      </w:r>
      <w:r w:rsidR="00C066E9" w:rsidRPr="003F638E">
        <w:rPr>
          <w:rFonts w:ascii="Cambria" w:hAnsi="Cambria"/>
          <w:b w:val="0"/>
          <w:sz w:val="22"/>
          <w:szCs w:val="22"/>
        </w:rPr>
        <w:t xml:space="preserve">odávka licencií produktov Oracle (DB, ODI) a Microsoft (DB, PoweBI). </w:t>
      </w:r>
    </w:p>
    <w:p w14:paraId="026DA6B0" w14:textId="4DD96A83" w:rsidR="00C066E9" w:rsidRPr="003F638E" w:rsidRDefault="001C36A1" w:rsidP="009A3D19">
      <w:pPr>
        <w:pStyle w:val="Heading1"/>
        <w:numPr>
          <w:ilvl w:val="2"/>
          <w:numId w:val="6"/>
        </w:numPr>
        <w:tabs>
          <w:tab w:val="left" w:pos="284"/>
        </w:tabs>
        <w:spacing w:before="0"/>
        <w:jc w:val="both"/>
        <w:rPr>
          <w:rFonts w:ascii="Cambria" w:hAnsi="Cambria"/>
          <w:b w:val="0"/>
          <w:sz w:val="22"/>
          <w:szCs w:val="22"/>
        </w:rPr>
      </w:pPr>
      <w:r>
        <w:rPr>
          <w:rFonts w:ascii="Cambria" w:hAnsi="Cambria"/>
          <w:b w:val="0"/>
          <w:sz w:val="22"/>
          <w:szCs w:val="22"/>
        </w:rPr>
        <w:t>i</w:t>
      </w:r>
      <w:r w:rsidR="00C066E9" w:rsidRPr="003F638E">
        <w:rPr>
          <w:rFonts w:ascii="Cambria" w:hAnsi="Cambria"/>
          <w:b w:val="0"/>
          <w:sz w:val="22"/>
          <w:szCs w:val="22"/>
        </w:rPr>
        <w:t>nštaláci</w:t>
      </w:r>
      <w:r w:rsidR="00CB1C64">
        <w:rPr>
          <w:rFonts w:ascii="Cambria" w:hAnsi="Cambria"/>
          <w:b w:val="0"/>
          <w:sz w:val="22"/>
          <w:szCs w:val="22"/>
        </w:rPr>
        <w:t>a</w:t>
      </w:r>
      <w:r w:rsidR="00C066E9" w:rsidRPr="003F638E">
        <w:rPr>
          <w:rFonts w:ascii="Cambria" w:hAnsi="Cambria"/>
          <w:b w:val="0"/>
          <w:sz w:val="22"/>
          <w:szCs w:val="22"/>
        </w:rPr>
        <w:t xml:space="preserve"> databázy pre relačnú časť DWH (ako DB, tak aj PowerBI)</w:t>
      </w:r>
      <w:r>
        <w:rPr>
          <w:rFonts w:ascii="Cambria" w:hAnsi="Cambria"/>
          <w:b w:val="0"/>
          <w:sz w:val="22"/>
          <w:szCs w:val="22"/>
        </w:rPr>
        <w:t>,</w:t>
      </w:r>
    </w:p>
    <w:p w14:paraId="43A04CBC" w14:textId="29F8F8AC" w:rsidR="00C066E9" w:rsidRPr="003F638E" w:rsidRDefault="001C36A1" w:rsidP="009A3D19">
      <w:pPr>
        <w:pStyle w:val="Heading1"/>
        <w:numPr>
          <w:ilvl w:val="2"/>
          <w:numId w:val="6"/>
        </w:numPr>
        <w:tabs>
          <w:tab w:val="left" w:pos="284"/>
        </w:tabs>
        <w:spacing w:before="0"/>
        <w:jc w:val="both"/>
        <w:rPr>
          <w:rFonts w:ascii="Cambria" w:hAnsi="Cambria"/>
          <w:b w:val="0"/>
          <w:sz w:val="22"/>
          <w:szCs w:val="22"/>
        </w:rPr>
      </w:pPr>
      <w:r>
        <w:rPr>
          <w:rFonts w:ascii="Cambria" w:hAnsi="Cambria"/>
          <w:b w:val="0"/>
          <w:sz w:val="22"/>
          <w:szCs w:val="22"/>
        </w:rPr>
        <w:t>i</w:t>
      </w:r>
      <w:r w:rsidR="00C066E9" w:rsidRPr="003F638E">
        <w:rPr>
          <w:rFonts w:ascii="Cambria" w:hAnsi="Cambria"/>
          <w:b w:val="0"/>
          <w:sz w:val="22"/>
          <w:szCs w:val="22"/>
        </w:rPr>
        <w:t>nštaláci</w:t>
      </w:r>
      <w:r w:rsidR="00CB1C64">
        <w:rPr>
          <w:rFonts w:ascii="Cambria" w:hAnsi="Cambria"/>
          <w:b w:val="0"/>
          <w:sz w:val="22"/>
          <w:szCs w:val="22"/>
        </w:rPr>
        <w:t>a</w:t>
      </w:r>
      <w:r w:rsidR="00C066E9" w:rsidRPr="003F638E">
        <w:rPr>
          <w:rFonts w:ascii="Cambria" w:hAnsi="Cambria"/>
          <w:b w:val="0"/>
          <w:sz w:val="22"/>
          <w:szCs w:val="22"/>
        </w:rPr>
        <w:t xml:space="preserve"> a prevádzk</w:t>
      </w:r>
      <w:r w:rsidR="003666FB">
        <w:rPr>
          <w:rFonts w:ascii="Cambria" w:hAnsi="Cambria"/>
          <w:b w:val="0"/>
          <w:sz w:val="22"/>
          <w:szCs w:val="22"/>
        </w:rPr>
        <w:t>a</w:t>
      </w:r>
      <w:r w:rsidR="00C066E9" w:rsidRPr="003F638E">
        <w:rPr>
          <w:rFonts w:ascii="Cambria" w:hAnsi="Cambria"/>
          <w:b w:val="0"/>
          <w:sz w:val="22"/>
          <w:szCs w:val="22"/>
        </w:rPr>
        <w:t xml:space="preserve"> virtuálnych strojov s Linux OS (pre DataLake časť DWH)</w:t>
      </w:r>
      <w:r w:rsidR="00DB3B67">
        <w:rPr>
          <w:rFonts w:ascii="Cambria" w:hAnsi="Cambria"/>
          <w:b w:val="0"/>
          <w:sz w:val="22"/>
          <w:szCs w:val="22"/>
        </w:rPr>
        <w:t>,</w:t>
      </w:r>
    </w:p>
    <w:p w14:paraId="77AC94DF" w14:textId="4F68BA7F" w:rsidR="00C066E9" w:rsidRPr="00B541CE" w:rsidRDefault="001C36A1" w:rsidP="009A3D19">
      <w:pPr>
        <w:pStyle w:val="Heading1"/>
        <w:numPr>
          <w:ilvl w:val="2"/>
          <w:numId w:val="6"/>
        </w:numPr>
        <w:tabs>
          <w:tab w:val="left" w:pos="284"/>
        </w:tabs>
        <w:spacing w:before="0"/>
        <w:jc w:val="both"/>
        <w:rPr>
          <w:rFonts w:ascii="Cambria" w:hAnsi="Cambria"/>
          <w:b w:val="0"/>
          <w:sz w:val="22"/>
          <w:szCs w:val="22"/>
        </w:rPr>
      </w:pPr>
      <w:r w:rsidRPr="00B541CE">
        <w:rPr>
          <w:rFonts w:ascii="Cambria" w:hAnsi="Cambria"/>
          <w:b w:val="0"/>
          <w:sz w:val="22"/>
          <w:szCs w:val="22"/>
        </w:rPr>
        <w:t>i</w:t>
      </w:r>
      <w:r w:rsidR="00C066E9" w:rsidRPr="00B541CE">
        <w:rPr>
          <w:rFonts w:ascii="Cambria" w:hAnsi="Cambria"/>
          <w:b w:val="0"/>
          <w:sz w:val="22"/>
          <w:szCs w:val="22"/>
        </w:rPr>
        <w:t>nštaláci</w:t>
      </w:r>
      <w:r w:rsidR="00CB1C64">
        <w:rPr>
          <w:rFonts w:ascii="Cambria" w:hAnsi="Cambria"/>
          <w:b w:val="0"/>
          <w:sz w:val="22"/>
          <w:szCs w:val="22"/>
        </w:rPr>
        <w:t>a</w:t>
      </w:r>
      <w:r w:rsidR="00C066E9" w:rsidRPr="00B541CE">
        <w:rPr>
          <w:rFonts w:ascii="Cambria" w:hAnsi="Cambria"/>
          <w:b w:val="0"/>
          <w:sz w:val="22"/>
          <w:szCs w:val="22"/>
        </w:rPr>
        <w:t xml:space="preserve"> a prevádzk</w:t>
      </w:r>
      <w:r w:rsidR="003666FB">
        <w:rPr>
          <w:rFonts w:ascii="Cambria" w:hAnsi="Cambria"/>
          <w:b w:val="0"/>
          <w:sz w:val="22"/>
          <w:szCs w:val="22"/>
        </w:rPr>
        <w:t>a</w:t>
      </w:r>
      <w:r w:rsidR="00C066E9" w:rsidRPr="00B541CE">
        <w:rPr>
          <w:rFonts w:ascii="Cambria" w:hAnsi="Cambria"/>
          <w:b w:val="0"/>
          <w:sz w:val="22"/>
          <w:szCs w:val="22"/>
        </w:rPr>
        <w:t xml:space="preserve"> virtuálneho stroja s  aplikačnom serverom </w:t>
      </w:r>
      <w:r w:rsidR="00DB3B67">
        <w:rPr>
          <w:rFonts w:ascii="Cambria" w:hAnsi="Cambria"/>
          <w:b w:val="0"/>
          <w:sz w:val="22"/>
          <w:szCs w:val="22"/>
        </w:rPr>
        <w:t>,</w:t>
      </w:r>
    </w:p>
    <w:p w14:paraId="32D83848" w14:textId="6B7337F9" w:rsidR="00C066E9" w:rsidRPr="00B541CE" w:rsidRDefault="001C36A1" w:rsidP="009A3D19">
      <w:pPr>
        <w:pStyle w:val="Heading1"/>
        <w:numPr>
          <w:ilvl w:val="2"/>
          <w:numId w:val="6"/>
        </w:numPr>
        <w:tabs>
          <w:tab w:val="left" w:pos="284"/>
        </w:tabs>
        <w:spacing w:before="0"/>
        <w:jc w:val="both"/>
        <w:rPr>
          <w:rFonts w:ascii="Cambria" w:hAnsi="Cambria"/>
          <w:b w:val="0"/>
          <w:sz w:val="22"/>
          <w:szCs w:val="22"/>
        </w:rPr>
      </w:pPr>
      <w:r w:rsidRPr="00B541CE">
        <w:rPr>
          <w:rFonts w:ascii="Cambria" w:hAnsi="Cambria"/>
          <w:b w:val="0"/>
          <w:sz w:val="22"/>
          <w:szCs w:val="22"/>
        </w:rPr>
        <w:t>dodanie</w:t>
      </w:r>
      <w:r w:rsidR="00C066E9" w:rsidRPr="00B541CE">
        <w:rPr>
          <w:rFonts w:ascii="Cambria" w:hAnsi="Cambria"/>
          <w:b w:val="0"/>
          <w:sz w:val="22"/>
          <w:szCs w:val="22"/>
        </w:rPr>
        <w:t xml:space="preserve"> licencií aplikácie pre Dátové modelovanie</w:t>
      </w:r>
      <w:r w:rsidR="00DB3B67">
        <w:rPr>
          <w:rFonts w:ascii="Cambria" w:hAnsi="Cambria"/>
          <w:b w:val="0"/>
          <w:sz w:val="22"/>
          <w:szCs w:val="22"/>
        </w:rPr>
        <w:t>.</w:t>
      </w:r>
    </w:p>
    <w:p w14:paraId="6EDB9C10" w14:textId="5E9AEA8A" w:rsidR="00B30410" w:rsidRDefault="008E4094"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E75798">
        <w:rPr>
          <w:rFonts w:ascii="Cambria" w:hAnsi="Cambria"/>
          <w:b w:val="0"/>
          <w:sz w:val="22"/>
          <w:szCs w:val="22"/>
        </w:rPr>
        <w:t xml:space="preserve">Zhotoviteľ sa zaväzuje </w:t>
      </w:r>
      <w:r w:rsidR="004E004E">
        <w:rPr>
          <w:rFonts w:ascii="Cambria" w:hAnsi="Cambria"/>
          <w:b w:val="0"/>
          <w:sz w:val="22"/>
          <w:szCs w:val="22"/>
        </w:rPr>
        <w:t>dodať predmet zmluvy v rozsahu</w:t>
      </w:r>
      <w:r w:rsidR="00243FF1">
        <w:rPr>
          <w:rFonts w:ascii="Cambria" w:hAnsi="Cambria"/>
          <w:b w:val="0"/>
          <w:sz w:val="22"/>
          <w:szCs w:val="22"/>
        </w:rPr>
        <w:t xml:space="preserve"> a</w:t>
      </w:r>
      <w:r w:rsidR="004E004E">
        <w:rPr>
          <w:rFonts w:ascii="Cambria" w:hAnsi="Cambria"/>
          <w:b w:val="0"/>
          <w:sz w:val="22"/>
          <w:szCs w:val="22"/>
        </w:rPr>
        <w:t xml:space="preserve"> </w:t>
      </w:r>
      <w:r w:rsidR="00243FF1">
        <w:rPr>
          <w:rFonts w:ascii="Cambria" w:hAnsi="Cambria"/>
          <w:b w:val="0"/>
          <w:sz w:val="22"/>
          <w:szCs w:val="22"/>
        </w:rPr>
        <w:t>v s</w:t>
      </w:r>
      <w:r w:rsidRPr="00E75798">
        <w:rPr>
          <w:rFonts w:ascii="Cambria" w:hAnsi="Cambria"/>
          <w:b w:val="0"/>
          <w:sz w:val="22"/>
          <w:szCs w:val="22"/>
        </w:rPr>
        <w:t>úlade s požiadavkami</w:t>
      </w:r>
      <w:r w:rsidR="00B30410" w:rsidRPr="00E75798">
        <w:rPr>
          <w:rFonts w:ascii="Cambria" w:hAnsi="Cambria"/>
          <w:b w:val="0"/>
          <w:sz w:val="22"/>
          <w:szCs w:val="22"/>
        </w:rPr>
        <w:t>, ktoré sú uvedené v </w:t>
      </w:r>
      <w:r w:rsidR="00AE0EEA" w:rsidRPr="00E75798">
        <w:rPr>
          <w:rFonts w:ascii="Cambria" w:hAnsi="Cambria"/>
          <w:b w:val="0"/>
          <w:sz w:val="22"/>
          <w:szCs w:val="22"/>
        </w:rPr>
        <w:t>P</w:t>
      </w:r>
      <w:r w:rsidR="00B30410" w:rsidRPr="00E75798">
        <w:rPr>
          <w:rFonts w:ascii="Cambria" w:hAnsi="Cambria"/>
          <w:b w:val="0"/>
          <w:sz w:val="22"/>
          <w:szCs w:val="22"/>
        </w:rPr>
        <w:t xml:space="preserve">rílohe č. </w:t>
      </w:r>
      <w:r w:rsidR="00AE0EEA" w:rsidRPr="00E75798">
        <w:rPr>
          <w:rFonts w:ascii="Cambria" w:hAnsi="Cambria"/>
          <w:b w:val="0"/>
          <w:sz w:val="22"/>
          <w:szCs w:val="22"/>
        </w:rPr>
        <w:t>2</w:t>
      </w:r>
      <w:r w:rsidR="00B30410" w:rsidRPr="00E75798">
        <w:rPr>
          <w:rFonts w:ascii="Cambria" w:hAnsi="Cambria"/>
          <w:b w:val="0"/>
          <w:sz w:val="22"/>
          <w:szCs w:val="22"/>
        </w:rPr>
        <w:t xml:space="preserve"> </w:t>
      </w:r>
      <w:r w:rsidR="00AE0EEA" w:rsidRPr="00E75798">
        <w:rPr>
          <w:rFonts w:ascii="Cambria" w:hAnsi="Cambria"/>
          <w:b w:val="0"/>
          <w:sz w:val="22"/>
          <w:szCs w:val="22"/>
        </w:rPr>
        <w:t>– Požiadavky na</w:t>
      </w:r>
      <w:r w:rsidR="00AC6F05" w:rsidRPr="00E75798">
        <w:rPr>
          <w:rFonts w:ascii="Cambria" w:hAnsi="Cambria"/>
          <w:b w:val="0"/>
          <w:sz w:val="22"/>
          <w:szCs w:val="22"/>
        </w:rPr>
        <w:t xml:space="preserve"> </w:t>
      </w:r>
      <w:r w:rsidR="009014E2">
        <w:rPr>
          <w:rFonts w:ascii="Cambria" w:hAnsi="Cambria"/>
          <w:b w:val="0"/>
          <w:sz w:val="22"/>
          <w:szCs w:val="22"/>
        </w:rPr>
        <w:t>predmet zmluvy</w:t>
      </w:r>
      <w:r w:rsidR="005202D1" w:rsidRPr="00E75798">
        <w:rPr>
          <w:rFonts w:ascii="Cambria" w:hAnsi="Cambria"/>
          <w:b w:val="0"/>
          <w:sz w:val="22"/>
          <w:szCs w:val="22"/>
        </w:rPr>
        <w:t>,</w:t>
      </w:r>
      <w:r w:rsidR="00AE0EEA" w:rsidRPr="00E75798">
        <w:rPr>
          <w:rFonts w:ascii="Cambria" w:hAnsi="Cambria"/>
          <w:b w:val="0"/>
          <w:sz w:val="22"/>
          <w:szCs w:val="22"/>
        </w:rPr>
        <w:t xml:space="preserve"> </w:t>
      </w:r>
      <w:r w:rsidR="00243FF1">
        <w:rPr>
          <w:rFonts w:ascii="Cambria" w:hAnsi="Cambria"/>
          <w:b w:val="0"/>
          <w:sz w:val="22"/>
          <w:szCs w:val="22"/>
        </w:rPr>
        <w:t>v</w:t>
      </w:r>
      <w:r w:rsidR="005202D1" w:rsidRPr="00E75798">
        <w:rPr>
          <w:rFonts w:ascii="Cambria" w:hAnsi="Cambria"/>
          <w:b w:val="0"/>
          <w:sz w:val="22"/>
          <w:szCs w:val="22"/>
        </w:rPr>
        <w:t xml:space="preserve"> Príloh</w:t>
      </w:r>
      <w:r w:rsidR="00243FF1">
        <w:rPr>
          <w:rFonts w:ascii="Cambria" w:hAnsi="Cambria"/>
          <w:b w:val="0"/>
          <w:sz w:val="22"/>
          <w:szCs w:val="22"/>
        </w:rPr>
        <w:t>e</w:t>
      </w:r>
      <w:r w:rsidR="005202D1" w:rsidRPr="00E75798">
        <w:rPr>
          <w:rFonts w:ascii="Cambria" w:hAnsi="Cambria"/>
          <w:b w:val="0"/>
          <w:sz w:val="22"/>
          <w:szCs w:val="22"/>
        </w:rPr>
        <w:t xml:space="preserve"> č. 3 </w:t>
      </w:r>
      <w:r w:rsidR="004E004E" w:rsidRPr="004E004E">
        <w:rPr>
          <w:rFonts w:ascii="Cambria" w:hAnsi="Cambria" w:cs="Arial"/>
          <w:b w:val="0"/>
          <w:bCs/>
          <w:color w:val="000000"/>
          <w:sz w:val="22"/>
          <w:szCs w:val="22"/>
        </w:rPr>
        <w:t xml:space="preserve">– </w:t>
      </w:r>
      <w:r w:rsidR="00AF15C9" w:rsidRPr="00E75798">
        <w:rPr>
          <w:rFonts w:ascii="Cambria" w:hAnsi="Cambria"/>
          <w:b w:val="0"/>
          <w:sz w:val="22"/>
          <w:szCs w:val="22"/>
        </w:rPr>
        <w:t xml:space="preserve">Harmonogram platobných </w:t>
      </w:r>
      <w:r w:rsidR="00EC7C19" w:rsidRPr="00E75798">
        <w:rPr>
          <w:rFonts w:ascii="Cambria" w:hAnsi="Cambria"/>
          <w:b w:val="0"/>
          <w:sz w:val="22"/>
          <w:szCs w:val="22"/>
        </w:rPr>
        <w:t>míľnikov</w:t>
      </w:r>
      <w:r w:rsidR="005202D1" w:rsidRPr="00E75798">
        <w:rPr>
          <w:rFonts w:ascii="Cambria" w:hAnsi="Cambria"/>
          <w:b w:val="0"/>
          <w:color w:val="0000FF"/>
          <w:sz w:val="22"/>
          <w:szCs w:val="22"/>
        </w:rPr>
        <w:t xml:space="preserve"> </w:t>
      </w:r>
      <w:r w:rsidR="00B30410" w:rsidRPr="00E75798">
        <w:rPr>
          <w:rFonts w:ascii="Cambria" w:hAnsi="Cambria"/>
          <w:b w:val="0"/>
          <w:sz w:val="22"/>
          <w:szCs w:val="22"/>
        </w:rPr>
        <w:t>a v</w:t>
      </w:r>
      <w:r w:rsidR="00AE0EEA" w:rsidRPr="00E75798">
        <w:rPr>
          <w:rFonts w:ascii="Cambria" w:hAnsi="Cambria"/>
          <w:b w:val="0"/>
          <w:sz w:val="22"/>
          <w:szCs w:val="22"/>
        </w:rPr>
        <w:t> </w:t>
      </w:r>
      <w:r w:rsidR="00B30410" w:rsidRPr="00E75798">
        <w:rPr>
          <w:rFonts w:ascii="Cambria" w:hAnsi="Cambria"/>
          <w:b w:val="0"/>
          <w:sz w:val="22"/>
          <w:szCs w:val="22"/>
        </w:rPr>
        <w:t>súlade</w:t>
      </w:r>
      <w:r w:rsidR="00AE0EEA" w:rsidRPr="00E75798">
        <w:rPr>
          <w:rFonts w:ascii="Cambria" w:hAnsi="Cambria"/>
          <w:b w:val="0"/>
          <w:sz w:val="22"/>
          <w:szCs w:val="22"/>
        </w:rPr>
        <w:t xml:space="preserve"> </w:t>
      </w:r>
      <w:r w:rsidR="002D02EB" w:rsidRPr="00E75798">
        <w:rPr>
          <w:rFonts w:ascii="Cambria" w:hAnsi="Cambria"/>
          <w:b w:val="0"/>
          <w:sz w:val="22"/>
          <w:szCs w:val="22"/>
        </w:rPr>
        <w:t xml:space="preserve">s Prílohou č. 1-  Všeobecné podmienky objednávateľa tejto zmluvy </w:t>
      </w:r>
      <w:r w:rsidR="008517FE">
        <w:rPr>
          <w:rFonts w:ascii="Cambria" w:hAnsi="Cambria"/>
          <w:b w:val="0"/>
          <w:sz w:val="22"/>
          <w:szCs w:val="22"/>
        </w:rPr>
        <w:t>o</w:t>
      </w:r>
      <w:r w:rsidR="00153D6E">
        <w:rPr>
          <w:rFonts w:ascii="Cambria" w:hAnsi="Cambria"/>
          <w:b w:val="0"/>
          <w:sz w:val="22"/>
          <w:szCs w:val="22"/>
        </w:rPr>
        <w:t> </w:t>
      </w:r>
      <w:r w:rsidR="008517FE">
        <w:rPr>
          <w:rFonts w:ascii="Cambria" w:hAnsi="Cambria"/>
          <w:b w:val="0"/>
          <w:sz w:val="22"/>
          <w:szCs w:val="22"/>
        </w:rPr>
        <w:t>dielo</w:t>
      </w:r>
      <w:r w:rsidR="00153D6E">
        <w:rPr>
          <w:rFonts w:ascii="Cambria" w:hAnsi="Cambria"/>
          <w:b w:val="0"/>
          <w:sz w:val="22"/>
          <w:szCs w:val="22"/>
        </w:rPr>
        <w:t xml:space="preserve"> </w:t>
      </w:r>
      <w:r w:rsidR="00886AAB" w:rsidRPr="00E75798">
        <w:rPr>
          <w:rFonts w:ascii="Cambria" w:hAnsi="Cambria"/>
          <w:b w:val="0"/>
          <w:sz w:val="22"/>
          <w:szCs w:val="22"/>
        </w:rPr>
        <w:t>(ďalej len „</w:t>
      </w:r>
      <w:r w:rsidR="00440893" w:rsidRPr="00E75798">
        <w:rPr>
          <w:rFonts w:ascii="Cambria" w:hAnsi="Cambria"/>
          <w:b w:val="0"/>
          <w:sz w:val="22"/>
          <w:szCs w:val="22"/>
        </w:rPr>
        <w:t>V</w:t>
      </w:r>
      <w:r w:rsidR="00886AAB" w:rsidRPr="00E75798">
        <w:rPr>
          <w:rFonts w:ascii="Cambria" w:hAnsi="Cambria"/>
          <w:b w:val="0"/>
          <w:sz w:val="22"/>
          <w:szCs w:val="22"/>
        </w:rPr>
        <w:t>šeobecné podmienky“)</w:t>
      </w:r>
      <w:bookmarkEnd w:id="14"/>
      <w:r w:rsidR="008D0056">
        <w:rPr>
          <w:rFonts w:ascii="Cambria" w:hAnsi="Cambria"/>
          <w:b w:val="0"/>
          <w:sz w:val="22"/>
          <w:szCs w:val="22"/>
        </w:rPr>
        <w:t>.</w:t>
      </w:r>
    </w:p>
    <w:p w14:paraId="1B5BFDDD" w14:textId="23433E5F"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 práva z tejto zmluvy o dielo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lastRenderedPageBreak/>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3ACF3779" w14:textId="591A56D1" w:rsidR="00D878B3" w:rsidRPr="00DA72DD" w:rsidRDefault="00D878B3" w:rsidP="009A3D19">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DA72DD">
        <w:rPr>
          <w:rFonts w:ascii="Cambria" w:hAnsi="Cambria"/>
          <w:b w:val="0"/>
          <w:sz w:val="22"/>
          <w:szCs w:val="22"/>
        </w:rPr>
        <w:t xml:space="preserve">Objednávateľ sa zaväzuje riadne </w:t>
      </w:r>
      <w:r w:rsidR="00BC622D" w:rsidRPr="00DA72DD">
        <w:rPr>
          <w:rFonts w:ascii="Cambria" w:hAnsi="Cambria"/>
          <w:b w:val="0"/>
          <w:sz w:val="22"/>
          <w:szCs w:val="22"/>
        </w:rPr>
        <w:t>a</w:t>
      </w:r>
      <w:r w:rsidR="000431E3" w:rsidRPr="00DA72DD">
        <w:rPr>
          <w:rFonts w:ascii="Cambria" w:hAnsi="Cambria"/>
          <w:b w:val="0"/>
          <w:sz w:val="22"/>
          <w:szCs w:val="22"/>
        </w:rPr>
        <w:t> </w:t>
      </w:r>
      <w:r w:rsidR="00BC622D" w:rsidRPr="00DA72DD">
        <w:rPr>
          <w:rFonts w:ascii="Cambria" w:hAnsi="Cambria"/>
          <w:b w:val="0"/>
          <w:sz w:val="22"/>
          <w:szCs w:val="22"/>
        </w:rPr>
        <w:t>včas</w:t>
      </w:r>
      <w:r w:rsidR="000431E3" w:rsidRPr="00DA72DD">
        <w:rPr>
          <w:rFonts w:ascii="Cambria" w:hAnsi="Cambria"/>
          <w:b w:val="0"/>
          <w:sz w:val="22"/>
          <w:szCs w:val="22"/>
        </w:rPr>
        <w:t xml:space="preserve"> dodaný</w:t>
      </w:r>
      <w:r w:rsidRPr="00DA72DD">
        <w:rPr>
          <w:rFonts w:ascii="Cambria" w:hAnsi="Cambria"/>
          <w:b w:val="0"/>
          <w:sz w:val="22"/>
          <w:szCs w:val="22"/>
        </w:rPr>
        <w:t xml:space="preserve"> predmet zmluvy </w:t>
      </w:r>
      <w:r w:rsidR="00385BE4" w:rsidRPr="00DA72DD">
        <w:rPr>
          <w:rFonts w:ascii="Cambria" w:hAnsi="Cambria"/>
          <w:b w:val="0"/>
          <w:sz w:val="22"/>
          <w:szCs w:val="22"/>
        </w:rPr>
        <w:t>resp. jeho čas</w:t>
      </w:r>
      <w:r w:rsidR="00DA72DD">
        <w:rPr>
          <w:rFonts w:ascii="Cambria" w:hAnsi="Cambria"/>
          <w:b w:val="0"/>
          <w:sz w:val="22"/>
          <w:szCs w:val="22"/>
        </w:rPr>
        <w:t>ti</w:t>
      </w:r>
      <w:r w:rsidR="00385BE4" w:rsidRPr="00DA72DD">
        <w:rPr>
          <w:rFonts w:ascii="Cambria" w:hAnsi="Cambria"/>
          <w:b w:val="0"/>
          <w:sz w:val="22"/>
          <w:szCs w:val="22"/>
        </w:rPr>
        <w:t xml:space="preserve"> </w:t>
      </w:r>
      <w:r w:rsidRPr="00DA72DD">
        <w:rPr>
          <w:rFonts w:ascii="Cambria" w:hAnsi="Cambria"/>
          <w:b w:val="0"/>
          <w:sz w:val="22"/>
          <w:szCs w:val="22"/>
        </w:rPr>
        <w:t xml:space="preserve">prevziať </w:t>
      </w:r>
      <w:r w:rsidR="00385BE4" w:rsidRPr="00DA72DD">
        <w:rPr>
          <w:rFonts w:ascii="Cambria" w:hAnsi="Cambria"/>
          <w:b w:val="0"/>
          <w:sz w:val="22"/>
          <w:szCs w:val="22"/>
        </w:rPr>
        <w:t xml:space="preserve">v súlade s touto zmluvou </w:t>
      </w:r>
      <w:r w:rsidR="008517FE" w:rsidRPr="00DA72DD">
        <w:rPr>
          <w:rFonts w:ascii="Cambria" w:hAnsi="Cambria"/>
          <w:b w:val="0"/>
          <w:sz w:val="22"/>
          <w:szCs w:val="22"/>
        </w:rPr>
        <w:t xml:space="preserve">o dielo </w:t>
      </w:r>
      <w:r w:rsidRPr="00DA72DD">
        <w:rPr>
          <w:rFonts w:ascii="Cambria" w:hAnsi="Cambria"/>
          <w:b w:val="0"/>
          <w:sz w:val="22"/>
          <w:szCs w:val="22"/>
        </w:rPr>
        <w:t xml:space="preserve">a zaplatiť zaň dohodnutú cenu </w:t>
      </w:r>
      <w:r w:rsidR="00DA72DD">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7"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E75798" w:rsidRDefault="00E16421"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Miestom </w:t>
      </w:r>
      <w:r w:rsidR="00F40695">
        <w:rPr>
          <w:rFonts w:ascii="Cambria" w:hAnsi="Cambria"/>
          <w:b w:val="0"/>
          <w:bCs/>
          <w:spacing w:val="-1"/>
          <w:sz w:val="22"/>
          <w:szCs w:val="22"/>
        </w:rPr>
        <w:t xml:space="preserve">dodania predmetu zmluvy </w:t>
      </w:r>
      <w:r w:rsidRPr="00E75798">
        <w:rPr>
          <w:rFonts w:ascii="Cambria" w:hAnsi="Cambria"/>
          <w:b w:val="0"/>
          <w:bCs/>
          <w:spacing w:val="-1"/>
          <w:sz w:val="22"/>
          <w:szCs w:val="22"/>
        </w:rPr>
        <w:t>je sídlo objednávateľa nachádzajúce sa na adrese Národná banka Slovenska, Imricha Karvaša 1, 813 25 Bratislava, Slovenská republika.</w:t>
      </w:r>
    </w:p>
    <w:p w14:paraId="623E28FB" w14:textId="06AB659C" w:rsidR="00E16421" w:rsidRPr="00E75798" w:rsidRDefault="00E16421"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Objednávateľ si vyhradzuje právo v prípade potreby zmeniť miesto </w:t>
      </w:r>
      <w:r w:rsidR="00202068">
        <w:rPr>
          <w:rFonts w:ascii="Cambria" w:hAnsi="Cambria"/>
          <w:b w:val="0"/>
          <w:bCs/>
          <w:spacing w:val="-1"/>
          <w:sz w:val="22"/>
          <w:szCs w:val="22"/>
        </w:rPr>
        <w:t xml:space="preserve">dodania predmetu zmluvy </w:t>
      </w:r>
      <w:r w:rsidRPr="00E75798">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Pr>
          <w:rFonts w:ascii="Cambria" w:hAnsi="Cambria"/>
          <w:b w:val="0"/>
          <w:bCs/>
          <w:spacing w:val="-1"/>
          <w:sz w:val="22"/>
          <w:szCs w:val="22"/>
        </w:rPr>
        <w:t>z</w:t>
      </w:r>
      <w:r w:rsidR="006F04C8" w:rsidRPr="00E75798">
        <w:rPr>
          <w:rFonts w:ascii="Cambria" w:hAnsi="Cambria"/>
          <w:b w:val="0"/>
          <w:bCs/>
          <w:spacing w:val="-1"/>
          <w:sz w:val="22"/>
          <w:szCs w:val="22"/>
        </w:rPr>
        <w:t>hotoviteľ</w:t>
      </w:r>
      <w:r w:rsidRPr="00E75798">
        <w:rPr>
          <w:rFonts w:ascii="Cambria" w:hAnsi="Cambria"/>
          <w:b w:val="0"/>
          <w:bCs/>
          <w:spacing w:val="-1"/>
          <w:sz w:val="22"/>
          <w:szCs w:val="22"/>
        </w:rPr>
        <w:t>ovi</w:t>
      </w:r>
      <w:r w:rsidR="00D67043">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36194689" w:rsidR="00F41352" w:rsidRPr="00E75798" w:rsidRDefault="00F4135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804D33">
        <w:rPr>
          <w:rFonts w:ascii="Cambria" w:hAnsi="Cambria"/>
          <w:b w:val="0"/>
          <w:bCs/>
          <w:spacing w:val="-1"/>
          <w:sz w:val="22"/>
          <w:szCs w:val="22"/>
        </w:rPr>
        <w:t xml:space="preserve">vytvoriť </w:t>
      </w:r>
      <w:r w:rsidR="009B1135">
        <w:rPr>
          <w:rFonts w:ascii="Cambria" w:hAnsi="Cambria"/>
          <w:b w:val="0"/>
          <w:bCs/>
          <w:spacing w:val="-1"/>
          <w:sz w:val="22"/>
          <w:szCs w:val="22"/>
        </w:rPr>
        <w:t xml:space="preserve">a dodať </w:t>
      </w:r>
      <w:r w:rsidR="00804D33">
        <w:rPr>
          <w:rFonts w:ascii="Cambria" w:hAnsi="Cambria"/>
          <w:b w:val="0"/>
          <w:bCs/>
          <w:spacing w:val="-1"/>
          <w:sz w:val="22"/>
          <w:szCs w:val="22"/>
        </w:rPr>
        <w:t xml:space="preserve">Dielo do </w:t>
      </w:r>
      <w:r w:rsidRPr="00E75798">
        <w:rPr>
          <w:rFonts w:ascii="Cambria" w:hAnsi="Cambria"/>
          <w:b w:val="0"/>
          <w:bCs/>
          <w:spacing w:val="-1"/>
          <w:sz w:val="22"/>
          <w:szCs w:val="22"/>
        </w:rPr>
        <w:t xml:space="preserve">36 mesiacov odo dňa nadobudnutia účinnosti tejto zmluvy o dielo. </w:t>
      </w:r>
      <w:r w:rsidR="00254642">
        <w:rPr>
          <w:rFonts w:ascii="Cambria" w:hAnsi="Cambria"/>
          <w:b w:val="0"/>
          <w:bCs/>
          <w:spacing w:val="-1"/>
          <w:sz w:val="22"/>
          <w:szCs w:val="22"/>
        </w:rPr>
        <w:t>Deň dodania Diela</w:t>
      </w:r>
      <w:r w:rsidR="00C67B81">
        <w:rPr>
          <w:rFonts w:ascii="Cambria" w:hAnsi="Cambria"/>
          <w:b w:val="0"/>
          <w:bCs/>
          <w:spacing w:val="-1"/>
          <w:sz w:val="22"/>
          <w:szCs w:val="22"/>
        </w:rPr>
        <w:t xml:space="preserve"> sa považuje deň podpisu Záverečného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4540C7E1" w14:textId="2516DB83" w:rsidR="00386322" w:rsidRPr="00E75798" w:rsidRDefault="00414D50"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 xml:space="preserve">Zhotoviteľ sa zaväzuje poskytovať servisné služby podľa zmluvy o dielo </w:t>
      </w:r>
      <w:r w:rsidR="00A650CC">
        <w:rPr>
          <w:rFonts w:ascii="Cambria" w:hAnsi="Cambria"/>
          <w:b w:val="0"/>
          <w:bCs/>
          <w:spacing w:val="-1"/>
          <w:sz w:val="22"/>
          <w:szCs w:val="22"/>
        </w:rPr>
        <w:t xml:space="preserve">odo dňa </w:t>
      </w:r>
      <w:r w:rsidR="00997F68">
        <w:rPr>
          <w:rFonts w:ascii="Cambria" w:hAnsi="Cambria"/>
          <w:b w:val="0"/>
          <w:bCs/>
          <w:spacing w:val="-1"/>
          <w:sz w:val="22"/>
          <w:szCs w:val="22"/>
        </w:rPr>
        <w:t xml:space="preserve">dodania </w:t>
      </w:r>
      <w:r w:rsidR="00844EEA">
        <w:rPr>
          <w:rFonts w:ascii="Cambria" w:hAnsi="Cambria"/>
          <w:b w:val="0"/>
          <w:bCs/>
          <w:spacing w:val="-1"/>
          <w:sz w:val="22"/>
          <w:szCs w:val="22"/>
        </w:rPr>
        <w:t xml:space="preserve">1. </w:t>
      </w:r>
      <w:r w:rsidR="001F3BE5">
        <w:rPr>
          <w:rFonts w:ascii="Cambria" w:hAnsi="Cambria"/>
          <w:b w:val="0"/>
          <w:bCs/>
          <w:spacing w:val="-1"/>
          <w:sz w:val="22"/>
          <w:szCs w:val="22"/>
        </w:rPr>
        <w:t>čiastkového plnenia</w:t>
      </w:r>
      <w:r w:rsidR="00844EEA">
        <w:rPr>
          <w:rFonts w:ascii="Cambria" w:hAnsi="Cambria"/>
          <w:b w:val="0"/>
          <w:bCs/>
          <w:spacing w:val="-1"/>
          <w:sz w:val="22"/>
          <w:szCs w:val="22"/>
        </w:rPr>
        <w:t xml:space="preserve"> </w:t>
      </w:r>
      <w:r>
        <w:rPr>
          <w:rFonts w:ascii="Cambria" w:hAnsi="Cambria"/>
          <w:b w:val="0"/>
          <w:bCs/>
          <w:spacing w:val="-1"/>
          <w:sz w:val="22"/>
          <w:szCs w:val="22"/>
        </w:rPr>
        <w:t xml:space="preserve">do </w:t>
      </w:r>
      <w:r w:rsidR="00BB2D88">
        <w:rPr>
          <w:rFonts w:ascii="Cambria" w:hAnsi="Cambria"/>
          <w:b w:val="0"/>
          <w:bCs/>
          <w:spacing w:val="-1"/>
          <w:sz w:val="22"/>
          <w:szCs w:val="22"/>
        </w:rPr>
        <w:t>dňa</w:t>
      </w:r>
      <w:r>
        <w:rPr>
          <w:rFonts w:ascii="Cambria" w:hAnsi="Cambria"/>
          <w:b w:val="0"/>
          <w:bCs/>
          <w:spacing w:val="-1"/>
          <w:sz w:val="22"/>
          <w:szCs w:val="22"/>
        </w:rPr>
        <w:t xml:space="preserve"> dodania Diela. </w:t>
      </w:r>
    </w:p>
    <w:p w14:paraId="6ACEE38E" w14:textId="37DF22A3" w:rsidR="009D4598" w:rsidRPr="00F45089" w:rsidRDefault="00386322" w:rsidP="009A3D19">
      <w:pPr>
        <w:pStyle w:val="Heading1"/>
        <w:numPr>
          <w:ilvl w:val="1"/>
          <w:numId w:val="6"/>
        </w:numPr>
        <w:spacing w:after="240"/>
        <w:jc w:val="both"/>
        <w:rPr>
          <w:rFonts w:ascii="Cambria" w:hAnsi="Cambria"/>
          <w:b w:val="0"/>
          <w:bCs/>
          <w:spacing w:val="-1"/>
          <w:sz w:val="22"/>
          <w:szCs w:val="22"/>
        </w:rPr>
      </w:pPr>
      <w:bookmarkStart w:id="18"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8"/>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9" w:name="_Ref1133144"/>
      <w:r w:rsidR="005B3096" w:rsidRPr="00F45089">
        <w:rPr>
          <w:rFonts w:ascii="Cambria" w:hAnsi="Cambria"/>
          <w:b w:val="0"/>
          <w:bCs/>
          <w:spacing w:val="-1"/>
          <w:sz w:val="22"/>
          <w:szCs w:val="22"/>
        </w:rPr>
        <w:t xml:space="preserve"> uzatvoreného v súlade s § 18 zákona o verejnom obstarávaní.</w:t>
      </w:r>
    </w:p>
    <w:p w14:paraId="2E68948B" w14:textId="77777777" w:rsidR="00A33B82" w:rsidRDefault="00A33B82" w:rsidP="00855135">
      <w:pPr>
        <w:pStyle w:val="Heading1"/>
        <w:keepNext w:val="0"/>
        <w:jc w:val="center"/>
        <w:rPr>
          <w:rFonts w:ascii="Cambria" w:hAnsi="Cambria"/>
          <w:sz w:val="22"/>
          <w:szCs w:val="22"/>
        </w:rPr>
      </w:pPr>
    </w:p>
    <w:p w14:paraId="07B53CFA" w14:textId="77777777" w:rsidR="00A33B82" w:rsidRDefault="00A33B82" w:rsidP="00855135">
      <w:pPr>
        <w:pStyle w:val="Heading1"/>
        <w:keepNext w:val="0"/>
        <w:jc w:val="center"/>
        <w:rPr>
          <w:rFonts w:ascii="Cambria" w:hAnsi="Cambria"/>
          <w:sz w:val="22"/>
          <w:szCs w:val="22"/>
        </w:rPr>
      </w:pPr>
    </w:p>
    <w:p w14:paraId="5775458A" w14:textId="7D177375" w:rsidR="005D5A8B" w:rsidRPr="00AD4D43" w:rsidRDefault="005D5A8B" w:rsidP="00855135">
      <w:pPr>
        <w:pStyle w:val="Heading1"/>
        <w:keepNext w:val="0"/>
        <w:jc w:val="center"/>
        <w:rPr>
          <w:rFonts w:ascii="Cambria" w:hAnsi="Cambria"/>
          <w:sz w:val="22"/>
          <w:szCs w:val="22"/>
        </w:rPr>
      </w:pPr>
      <w:r w:rsidRPr="00AD4D43">
        <w:rPr>
          <w:rFonts w:ascii="Cambria" w:hAnsi="Cambria"/>
          <w:sz w:val="22"/>
          <w:szCs w:val="22"/>
        </w:rPr>
        <w:lastRenderedPageBreak/>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9D4598">
      <w:pPr>
        <w:pStyle w:val="Heading1"/>
        <w:keepLines/>
        <w:spacing w:before="0" w:after="240"/>
        <w:jc w:val="center"/>
        <w:rPr>
          <w:rFonts w:ascii="Cambria" w:hAnsi="Cambria"/>
          <w:sz w:val="22"/>
          <w:szCs w:val="22"/>
        </w:rPr>
      </w:pPr>
      <w:bookmarkStart w:id="20" w:name="_Toc45811992"/>
      <w:r w:rsidRPr="005D5A8B">
        <w:rPr>
          <w:rFonts w:ascii="Cambria" w:hAnsi="Cambria"/>
          <w:sz w:val="22"/>
          <w:szCs w:val="22"/>
        </w:rPr>
        <w:t>Cena a platobné podmienky</w:t>
      </w:r>
      <w:bookmarkEnd w:id="20"/>
    </w:p>
    <w:p w14:paraId="1069B45C" w14:textId="77777777" w:rsidR="00E562DC" w:rsidRPr="00E562DC" w:rsidRDefault="00E562DC" w:rsidP="009A3D19">
      <w:pPr>
        <w:pStyle w:val="ListParagraph"/>
        <w:keepNext/>
        <w:numPr>
          <w:ilvl w:val="0"/>
          <w:numId w:val="6"/>
        </w:numPr>
        <w:spacing w:after="0"/>
        <w:contextualSpacing w:val="0"/>
        <w:jc w:val="both"/>
        <w:outlineLvl w:val="0"/>
        <w:rPr>
          <w:rFonts w:ascii="Cambria" w:hAnsi="Cambria"/>
          <w:bCs/>
          <w:vanish/>
          <w:spacing w:val="-1"/>
          <w:position w:val="4"/>
        </w:rPr>
      </w:pPr>
      <w:bookmarkStart w:id="21" w:name="_Ref298857550"/>
      <w:bookmarkStart w:id="22" w:name="_Toc45811993"/>
    </w:p>
    <w:p w14:paraId="2D81F6B2" w14:textId="4920F527" w:rsidR="005D5A8B" w:rsidRPr="009119A1" w:rsidRDefault="005D5A8B" w:rsidP="009A3D19">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 xml:space="preserve">Zmluvné strany sa dohodli na určení maximálnej ceny za predmet tejto zmluvy o dielo v celkovej sume: </w:t>
      </w:r>
    </w:p>
    <w:p w14:paraId="18E6D8B1" w14:textId="4B3D905F"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4 </w:t>
      </w:r>
      <w:r w:rsidRPr="009119A1">
        <w:rPr>
          <w:rFonts w:ascii="Cambria" w:hAnsi="Cambria"/>
          <w:bCs/>
          <w:i/>
          <w:color w:val="00B0F0"/>
          <w:sz w:val="22"/>
          <w:szCs w:val="22"/>
        </w:rPr>
        <w:t xml:space="preserve">„Celková cena </w:t>
      </w:r>
      <w:r w:rsidR="00C550AC" w:rsidRPr="009119A1">
        <w:rPr>
          <w:rFonts w:ascii="Cambria" w:hAnsi="Cambria"/>
          <w:bCs/>
          <w:i/>
          <w:color w:val="00B0F0"/>
          <w:sz w:val="22"/>
          <w:szCs w:val="22"/>
        </w:rPr>
        <w:t>predmetu zmluvy</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1DA03539" w14:textId="74245A67" w:rsidR="00CF3361" w:rsidRDefault="00CF3361" w:rsidP="00CF3361">
      <w:pPr>
        <w:ind w:left="907"/>
        <w:rPr>
          <w:rFonts w:ascii="Cambria" w:hAnsi="Cambria"/>
          <w:sz w:val="22"/>
          <w:szCs w:val="22"/>
        </w:rPr>
      </w:pPr>
      <w:r w:rsidRPr="009119A1">
        <w:rPr>
          <w:rFonts w:ascii="Cambria" w:hAnsi="Cambria"/>
          <w:sz w:val="22"/>
          <w:szCs w:val="22"/>
        </w:rPr>
        <w:t>(ďalej ako „</w:t>
      </w:r>
      <w:r>
        <w:rPr>
          <w:rFonts w:ascii="Cambria" w:hAnsi="Cambria"/>
          <w:sz w:val="22"/>
          <w:szCs w:val="22"/>
        </w:rPr>
        <w:t>celková cena predmetu zmluvy</w:t>
      </w:r>
      <w:r w:rsidRPr="009119A1">
        <w:rPr>
          <w:rFonts w:ascii="Cambria" w:hAnsi="Cambria"/>
          <w:sz w:val="22"/>
          <w:szCs w:val="22"/>
        </w:rPr>
        <w:t>“)</w:t>
      </w:r>
      <w:r w:rsidR="0000549E">
        <w:rPr>
          <w:rFonts w:ascii="Cambria" w:hAnsi="Cambria"/>
          <w:sz w:val="22"/>
          <w:szCs w:val="22"/>
        </w:rPr>
        <w:t>,</w:t>
      </w:r>
    </w:p>
    <w:p w14:paraId="46E01220" w14:textId="77777777" w:rsidR="005B28B3" w:rsidRPr="009119A1" w:rsidRDefault="005B28B3" w:rsidP="005B28B3">
      <w:pPr>
        <w:ind w:left="199" w:firstLine="708"/>
        <w:rPr>
          <w:rFonts w:ascii="Cambria" w:hAnsi="Cambria"/>
          <w:sz w:val="22"/>
          <w:szCs w:val="22"/>
        </w:rPr>
      </w:pPr>
    </w:p>
    <w:p w14:paraId="07B3D844" w14:textId="7BF8A5FA" w:rsidR="005B28B3" w:rsidRPr="009119A1" w:rsidRDefault="009119A1" w:rsidP="00443B6D">
      <w:pPr>
        <w:ind w:left="199" w:firstLine="708"/>
        <w:rPr>
          <w:rFonts w:ascii="Cambria" w:hAnsi="Cambria"/>
          <w:sz w:val="22"/>
          <w:szCs w:val="22"/>
        </w:rPr>
      </w:pPr>
      <w:r>
        <w:rPr>
          <w:rFonts w:ascii="Cambria" w:hAnsi="Cambria"/>
          <w:sz w:val="22"/>
          <w:szCs w:val="22"/>
        </w:rPr>
        <w:t>z</w:t>
      </w:r>
      <w:r w:rsidR="00B4436C">
        <w:rPr>
          <w:rFonts w:ascii="Cambria" w:hAnsi="Cambria"/>
          <w:sz w:val="22"/>
          <w:szCs w:val="22"/>
        </w:rPr>
        <w:t> celkovej ceny predmetu zmluvy</w:t>
      </w:r>
      <w:r w:rsidR="005B28B3" w:rsidRPr="009119A1">
        <w:rPr>
          <w:rFonts w:ascii="Cambria" w:hAnsi="Cambria"/>
          <w:sz w:val="22"/>
          <w:szCs w:val="22"/>
        </w:rPr>
        <w:t xml:space="preserve"> je celková cena Diela</w:t>
      </w:r>
      <w:r w:rsidR="006933AC" w:rsidRPr="009119A1">
        <w:rPr>
          <w:rFonts w:ascii="Cambria" w:hAnsi="Cambria"/>
          <w:sz w:val="22"/>
          <w:szCs w:val="22"/>
        </w:rPr>
        <w:t xml:space="preserve"> v celkovej sume:</w:t>
      </w:r>
    </w:p>
    <w:p w14:paraId="6DE1D36B" w14:textId="1FF46CBF" w:rsidR="005D5A8B" w:rsidRPr="009119A1" w:rsidRDefault="005D5A8B" w:rsidP="005D5A8B">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uchádzač vyplní cenu uvedenú v</w:t>
      </w:r>
      <w:r w:rsidR="006933AC" w:rsidRPr="009119A1">
        <w:rPr>
          <w:rFonts w:ascii="Cambria" w:hAnsi="Cambria"/>
          <w:bCs/>
          <w:i/>
          <w:color w:val="00B0F0"/>
          <w:sz w:val="22"/>
          <w:szCs w:val="22"/>
        </w:rPr>
        <w:t> Tabuľke č. 1</w:t>
      </w:r>
      <w:r w:rsidRPr="009119A1">
        <w:rPr>
          <w:rFonts w:ascii="Cambria" w:hAnsi="Cambria"/>
          <w:bCs/>
          <w:i/>
          <w:color w:val="00B0F0"/>
          <w:sz w:val="22"/>
          <w:szCs w:val="22"/>
        </w:rPr>
        <w:t xml:space="preserve">„Celková cena </w:t>
      </w:r>
      <w:r w:rsidR="00A97C8B" w:rsidRPr="009119A1">
        <w:rPr>
          <w:rFonts w:ascii="Cambria" w:hAnsi="Cambria"/>
          <w:bCs/>
          <w:i/>
          <w:color w:val="00B0F0"/>
          <w:sz w:val="22"/>
          <w:szCs w:val="22"/>
        </w:rPr>
        <w:t>Diela</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0B789806" w14:textId="37DA912E" w:rsidR="005D5A8B" w:rsidRPr="009119A1" w:rsidRDefault="005D5A8B" w:rsidP="001A1691">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CB7F03">
        <w:rPr>
          <w:rFonts w:ascii="Cambria" w:hAnsi="Cambria"/>
          <w:b w:val="0"/>
          <w:sz w:val="22"/>
          <w:szCs w:val="22"/>
        </w:rPr>
        <w:t>,</w:t>
      </w:r>
    </w:p>
    <w:p w14:paraId="687CCBA1" w14:textId="31AD2A3D"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00549E">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59D3EB48" w14:textId="1191934E" w:rsidR="009119A1" w:rsidRDefault="00267EE0" w:rsidP="005A6F30">
      <w:pPr>
        <w:ind w:left="907"/>
        <w:rPr>
          <w:rFonts w:ascii="Cambria" w:hAnsi="Cambria"/>
          <w:sz w:val="22"/>
          <w:szCs w:val="22"/>
        </w:rPr>
      </w:pPr>
      <w:r>
        <w:rPr>
          <w:rFonts w:ascii="Cambria" w:hAnsi="Cambria"/>
          <w:sz w:val="22"/>
          <w:szCs w:val="22"/>
        </w:rPr>
        <w:t>z</w:t>
      </w:r>
      <w:r w:rsidR="007F6D7D">
        <w:rPr>
          <w:rFonts w:ascii="Cambria" w:hAnsi="Cambria"/>
          <w:sz w:val="22"/>
          <w:szCs w:val="22"/>
        </w:rPr>
        <w:t xml:space="preserve"> celkovej ceny predmetu zmluvy </w:t>
      </w:r>
      <w:r w:rsidR="009119A1">
        <w:rPr>
          <w:rFonts w:ascii="Cambria" w:hAnsi="Cambria"/>
          <w:sz w:val="22"/>
          <w:szCs w:val="22"/>
        </w:rPr>
        <w:t xml:space="preserve">je </w:t>
      </w:r>
      <w:r w:rsidR="006B2068">
        <w:rPr>
          <w:rFonts w:ascii="Cambria" w:hAnsi="Cambria"/>
          <w:sz w:val="22"/>
          <w:szCs w:val="22"/>
        </w:rPr>
        <w:t xml:space="preserve">celková maximálna cena za </w:t>
      </w:r>
      <w:r w:rsidR="00E95A89">
        <w:rPr>
          <w:rFonts w:ascii="Cambria" w:hAnsi="Cambria"/>
          <w:sz w:val="22"/>
          <w:szCs w:val="22"/>
        </w:rPr>
        <w:t>ďalšie</w:t>
      </w:r>
      <w:r w:rsidR="004C681F">
        <w:rPr>
          <w:rFonts w:ascii="Cambria" w:hAnsi="Cambria"/>
          <w:sz w:val="22"/>
          <w:szCs w:val="22"/>
        </w:rPr>
        <w:t xml:space="preserve"> licencie</w:t>
      </w:r>
      <w:r w:rsidR="006B2068">
        <w:rPr>
          <w:rFonts w:ascii="Cambria" w:hAnsi="Cambria"/>
          <w:sz w:val="22"/>
          <w:szCs w:val="22"/>
        </w:rPr>
        <w:t xml:space="preserve"> </w:t>
      </w:r>
    </w:p>
    <w:p w14:paraId="5AB52028" w14:textId="51B91213" w:rsidR="00267EE0" w:rsidRPr="009119A1" w:rsidRDefault="00267EE0" w:rsidP="00267EE0">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Tabuľke č. </w:t>
      </w:r>
      <w:r w:rsidR="009576A3">
        <w:rPr>
          <w:rFonts w:ascii="Cambria" w:hAnsi="Cambria"/>
          <w:bCs/>
          <w:i/>
          <w:color w:val="00B0F0"/>
          <w:sz w:val="22"/>
          <w:szCs w:val="22"/>
        </w:rPr>
        <w:t xml:space="preserve">2 + Tabuľke č. 3 </w:t>
      </w:r>
      <w:r w:rsidRPr="009119A1">
        <w:rPr>
          <w:rFonts w:ascii="Cambria" w:hAnsi="Cambria"/>
          <w:bCs/>
          <w:i/>
          <w:color w:val="00B0F0"/>
          <w:sz w:val="22"/>
          <w:szCs w:val="22"/>
        </w:rPr>
        <w:t xml:space="preserve">„Celková cena </w:t>
      </w:r>
      <w:r w:rsidR="00E95A89">
        <w:rPr>
          <w:rFonts w:ascii="Cambria" w:hAnsi="Cambria"/>
          <w:bCs/>
          <w:i/>
          <w:color w:val="00B0F0"/>
          <w:sz w:val="22"/>
          <w:szCs w:val="22"/>
        </w:rPr>
        <w:t>ďalších</w:t>
      </w:r>
      <w:r w:rsidR="007B79F4">
        <w:rPr>
          <w:rFonts w:ascii="Cambria" w:hAnsi="Cambria"/>
          <w:bCs/>
          <w:i/>
          <w:color w:val="00B0F0"/>
          <w:sz w:val="22"/>
          <w:szCs w:val="22"/>
        </w:rPr>
        <w:t xml:space="preserve"> licencií</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719F7F30" w14:textId="77777777" w:rsidR="00267EE0" w:rsidRPr="009119A1" w:rsidRDefault="00267EE0" w:rsidP="00267EE0">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p>
    <w:p w14:paraId="169CC6AB" w14:textId="6BCEE7A4"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Maximálna celková ceny 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7CE37E38" w:rsidR="005D5A8B" w:rsidRPr="009715E5" w:rsidRDefault="005D5A8B" w:rsidP="009A3D19">
      <w:pPr>
        <w:pStyle w:val="Heading1"/>
        <w:numPr>
          <w:ilvl w:val="1"/>
          <w:numId w:val="6"/>
        </w:numPr>
        <w:jc w:val="both"/>
        <w:rPr>
          <w:rFonts w:ascii="Cambria" w:hAnsi="Cambria"/>
          <w:b w:val="0"/>
          <w:spacing w:val="-1"/>
          <w:sz w:val="22"/>
          <w:szCs w:val="22"/>
        </w:rPr>
      </w:pPr>
      <w:bookmarkStart w:id="23" w:name="_Ref298857677"/>
      <w:bookmarkStart w:id="24" w:name="_Toc45811996"/>
      <w:bookmarkEnd w:id="21"/>
      <w:bookmarkEnd w:id="22"/>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je tvorená súčtom cien v detailnom rozpočte stanovenom v Prílohe č. 4 tejto zmluvy o dielo pre jednotlivé časti Diela (čiastkové plnenia)</w:t>
      </w:r>
      <w:r w:rsidR="000B6D3B">
        <w:rPr>
          <w:rFonts w:ascii="Cambria" w:hAnsi="Cambria"/>
          <w:b w:val="0"/>
          <w:bCs/>
          <w:spacing w:val="-1"/>
          <w:sz w:val="22"/>
          <w:szCs w:val="22"/>
        </w:rPr>
        <w:t xml:space="preserve"> a</w:t>
      </w:r>
      <w:r w:rsidR="00B43A64">
        <w:rPr>
          <w:rFonts w:ascii="Cambria" w:hAnsi="Cambria"/>
          <w:b w:val="0"/>
          <w:bCs/>
          <w:spacing w:val="-1"/>
          <w:sz w:val="22"/>
          <w:szCs w:val="22"/>
        </w:rPr>
        <w:t> cen</w:t>
      </w:r>
      <w:r w:rsidR="00540E3C">
        <w:rPr>
          <w:rFonts w:ascii="Cambria" w:hAnsi="Cambria"/>
          <w:b w:val="0"/>
          <w:bCs/>
          <w:spacing w:val="-1"/>
          <w:sz w:val="22"/>
          <w:szCs w:val="22"/>
        </w:rPr>
        <w:t>y</w:t>
      </w:r>
      <w:r w:rsidR="00B43A64">
        <w:rPr>
          <w:rFonts w:ascii="Cambria" w:hAnsi="Cambria"/>
          <w:b w:val="0"/>
          <w:bCs/>
          <w:spacing w:val="-1"/>
          <w:sz w:val="22"/>
          <w:szCs w:val="22"/>
        </w:rPr>
        <w:t xml:space="preserve"> za </w:t>
      </w:r>
      <w:r w:rsidR="005373AB">
        <w:rPr>
          <w:rFonts w:ascii="Cambria" w:hAnsi="Cambria"/>
          <w:b w:val="0"/>
          <w:bCs/>
          <w:spacing w:val="-1"/>
          <w:sz w:val="22"/>
          <w:szCs w:val="22"/>
        </w:rPr>
        <w:t>ďalšie licencie</w:t>
      </w:r>
      <w:r w:rsidRPr="00A4040B">
        <w:rPr>
          <w:rFonts w:ascii="Cambria" w:hAnsi="Cambria"/>
          <w:b w:val="0"/>
          <w:bCs/>
          <w:spacing w:val="-1"/>
          <w:sz w:val="22"/>
          <w:szCs w:val="22"/>
        </w:rPr>
        <w:t>. Cena za dodanie čiastkového plnenia (jednotlivé fázy) v sebe zahŕňa poskytovanie servisných služieb pre čiastkové plnenie</w:t>
      </w:r>
      <w:r w:rsidR="0033006A" w:rsidRPr="009715E5">
        <w:rPr>
          <w:rFonts w:ascii="Cambria" w:hAnsi="Cambria"/>
          <w:b w:val="0"/>
          <w:bCs/>
          <w:spacing w:val="-1"/>
          <w:sz w:val="22"/>
          <w:szCs w:val="22"/>
        </w:rPr>
        <w:t>.</w:t>
      </w:r>
    </w:p>
    <w:p w14:paraId="33523E56" w14:textId="14642E25"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(čiastkových plnení) podľa tejto zmluvy o dielo, cenu za udelenie licencie  k Dielu podľa 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 dielo a poskytovanie servisných služieb k čiastkovému plneniu</w:t>
      </w:r>
      <w:r w:rsidR="0081104F">
        <w:rPr>
          <w:rFonts w:ascii="Cambria" w:hAnsi="Cambria"/>
          <w:b w:val="0"/>
          <w:bCs/>
          <w:spacing w:val="-1"/>
          <w:sz w:val="22"/>
          <w:szCs w:val="22"/>
        </w:rPr>
        <w:t>, cenu za licencie 3. strán</w:t>
      </w:r>
      <w:r w:rsidR="00F01C10">
        <w:rPr>
          <w:rFonts w:ascii="Cambria" w:hAnsi="Cambria"/>
          <w:b w:val="0"/>
          <w:bCs/>
          <w:spacing w:val="-1"/>
          <w:sz w:val="22"/>
          <w:szCs w:val="22"/>
        </w:rPr>
        <w:t xml:space="preserve"> </w:t>
      </w:r>
      <w:r w:rsidR="00527C28">
        <w:rPr>
          <w:rFonts w:ascii="Cambria" w:hAnsi="Cambria"/>
          <w:b w:val="0"/>
          <w:bCs/>
          <w:spacing w:val="-1"/>
          <w:sz w:val="22"/>
          <w:szCs w:val="22"/>
        </w:rPr>
        <w:t>a celkovú cenu za ďalšie licencie.</w:t>
      </w:r>
    </w:p>
    <w:p w14:paraId="752E27F4" w14:textId="275C71AA"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Zhotoviteľ je oprávnený fakturovať cenu </w:t>
      </w:r>
      <w:r w:rsidR="004D17B5">
        <w:rPr>
          <w:rFonts w:ascii="Cambria" w:hAnsi="Cambria"/>
          <w:b w:val="0"/>
          <w:bCs/>
          <w:spacing w:val="-1"/>
          <w:sz w:val="22"/>
          <w:szCs w:val="22"/>
        </w:rPr>
        <w:t xml:space="preserve">v </w:t>
      </w:r>
      <w:r w:rsidR="002958B0">
        <w:rPr>
          <w:rFonts w:ascii="Cambria" w:hAnsi="Cambria"/>
          <w:b w:val="0"/>
          <w:bCs/>
          <w:spacing w:val="-1"/>
          <w:sz w:val="22"/>
          <w:szCs w:val="22"/>
        </w:rPr>
        <w:t>podľa</w:t>
      </w:r>
      <w:r w:rsidRPr="00A4040B">
        <w:rPr>
          <w:rFonts w:ascii="Cambria" w:hAnsi="Cambria"/>
          <w:b w:val="0"/>
          <w:bCs/>
          <w:spacing w:val="-1"/>
          <w:sz w:val="22"/>
          <w:szCs w:val="22"/>
        </w:rPr>
        <w:t xml:space="preserve"> bodu </w:t>
      </w:r>
      <w:r w:rsidR="00A4040B">
        <w:rPr>
          <w:rFonts w:ascii="Cambria" w:hAnsi="Cambria"/>
          <w:b w:val="0"/>
          <w:bCs/>
          <w:spacing w:val="-1"/>
          <w:sz w:val="22"/>
          <w:szCs w:val="22"/>
        </w:rPr>
        <w:t>4.1</w:t>
      </w:r>
      <w:r w:rsidRPr="00A4040B">
        <w:rPr>
          <w:rFonts w:ascii="Cambria" w:hAnsi="Cambria"/>
          <w:b w:val="0"/>
          <w:bCs/>
          <w:spacing w:val="-1"/>
          <w:sz w:val="22"/>
          <w:szCs w:val="22"/>
        </w:rPr>
        <w:t xml:space="preserve"> zmluvy o</w:t>
      </w:r>
      <w:r w:rsidR="00C53E85">
        <w:rPr>
          <w:rFonts w:ascii="Cambria" w:hAnsi="Cambria"/>
          <w:b w:val="0"/>
          <w:bCs/>
          <w:spacing w:val="-1"/>
          <w:sz w:val="22"/>
          <w:szCs w:val="22"/>
        </w:rPr>
        <w:t> </w:t>
      </w:r>
      <w:r w:rsidRPr="00A4040B">
        <w:rPr>
          <w:rFonts w:ascii="Cambria" w:hAnsi="Cambria"/>
          <w:b w:val="0"/>
          <w:bCs/>
          <w:spacing w:val="-1"/>
          <w:sz w:val="22"/>
          <w:szCs w:val="22"/>
        </w:rPr>
        <w:t>dielo</w:t>
      </w:r>
      <w:r w:rsidR="00C53E85">
        <w:rPr>
          <w:rFonts w:ascii="Cambria" w:hAnsi="Cambria"/>
          <w:b w:val="0"/>
          <w:bCs/>
          <w:spacing w:val="-1"/>
          <w:sz w:val="22"/>
          <w:szCs w:val="22"/>
        </w:rPr>
        <w:t xml:space="preserve">, okrem ceny za </w:t>
      </w:r>
      <w:r w:rsidR="00E95A89">
        <w:rPr>
          <w:rFonts w:ascii="Cambria" w:hAnsi="Cambria"/>
          <w:b w:val="0"/>
          <w:bCs/>
          <w:spacing w:val="-1"/>
          <w:sz w:val="22"/>
          <w:szCs w:val="22"/>
        </w:rPr>
        <w:t>ďalšie</w:t>
      </w:r>
      <w:r w:rsidR="00C53E85">
        <w:rPr>
          <w:rFonts w:ascii="Cambria" w:hAnsi="Cambria"/>
          <w:b w:val="0"/>
          <w:bCs/>
          <w:spacing w:val="-1"/>
          <w:sz w:val="22"/>
          <w:szCs w:val="22"/>
        </w:rPr>
        <w:t xml:space="preserve"> licencie,</w:t>
      </w:r>
      <w:r w:rsidRPr="00A4040B">
        <w:rPr>
          <w:rFonts w:ascii="Cambria" w:hAnsi="Cambria"/>
          <w:b w:val="0"/>
          <w:bCs/>
          <w:spacing w:val="-1"/>
          <w:sz w:val="22"/>
          <w:szCs w:val="22"/>
        </w:rPr>
        <w:t xml:space="preserve"> zodpovedajúcu prevzatej časti Diela (čiastkovému plneniu) v platobných </w:t>
      </w:r>
      <w:r w:rsidRPr="00A4040B">
        <w:rPr>
          <w:rFonts w:ascii="Cambria" w:hAnsi="Cambria"/>
          <w:b w:val="0"/>
          <w:bCs/>
          <w:spacing w:val="-1"/>
          <w:sz w:val="22"/>
          <w:szCs w:val="22"/>
        </w:rPr>
        <w:lastRenderedPageBreak/>
        <w:t>míľnikoch podľa Prílohy č. 3  tejto zmluvy o dielo. Zmluvné strany sa dohodli, že zhotoviteľ vystaví objednávateľovi faktúru za prevzaté časti Diela (čiastkové plnenia) po:</w:t>
      </w:r>
    </w:p>
    <w:p w14:paraId="06BFBD1F" w14:textId="6A871829"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 xml:space="preserve">ukončení procesu akceptácie odovzdávanej časti Diela (čiastkového plnenia) v zmysle článku </w:t>
      </w:r>
      <w:r w:rsidR="001A1333">
        <w:rPr>
          <w:rFonts w:ascii="Cambria" w:hAnsi="Cambria"/>
          <w:b w:val="0"/>
          <w:sz w:val="22"/>
          <w:szCs w:val="22"/>
        </w:rPr>
        <w:t>V</w:t>
      </w:r>
      <w:r w:rsidRPr="00227953">
        <w:rPr>
          <w:rFonts w:ascii="Cambria" w:hAnsi="Cambria"/>
          <w:b w:val="0"/>
          <w:sz w:val="22"/>
          <w:szCs w:val="22"/>
        </w:rPr>
        <w:t xml:space="preserve"> tejto </w:t>
      </w:r>
      <w:r w:rsidR="00F72735">
        <w:rPr>
          <w:rFonts w:ascii="Cambria" w:hAnsi="Cambria"/>
          <w:b w:val="0"/>
          <w:sz w:val="22"/>
          <w:szCs w:val="22"/>
        </w:rPr>
        <w:t>z</w:t>
      </w:r>
      <w:r w:rsidRPr="00227953">
        <w:rPr>
          <w:rFonts w:ascii="Cambria" w:hAnsi="Cambria"/>
          <w:b w:val="0"/>
          <w:sz w:val="22"/>
          <w:szCs w:val="22"/>
        </w:rPr>
        <w:t>mluvy o dielo,</w:t>
      </w:r>
    </w:p>
    <w:p w14:paraId="04C6FCF2" w14:textId="77777777"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podpísaní príslušného Akceptačného protokolu, a </w:t>
      </w:r>
    </w:p>
    <w:p w14:paraId="60E2899B" w14:textId="076E3868" w:rsidR="005D5A8B" w:rsidRPr="00227953" w:rsidRDefault="005D5A8B" w:rsidP="009A3D19">
      <w:pPr>
        <w:pStyle w:val="Heading1"/>
        <w:numPr>
          <w:ilvl w:val="0"/>
          <w:numId w:val="24"/>
        </w:numPr>
        <w:spacing w:before="0"/>
        <w:jc w:val="both"/>
        <w:rPr>
          <w:rFonts w:ascii="Cambria" w:hAnsi="Cambria"/>
          <w:b w:val="0"/>
          <w:sz w:val="22"/>
          <w:szCs w:val="22"/>
        </w:rPr>
      </w:pPr>
      <w:r w:rsidRPr="00227953">
        <w:rPr>
          <w:rFonts w:ascii="Cambria" w:hAnsi="Cambria"/>
          <w:b w:val="0"/>
          <w:sz w:val="22"/>
          <w:szCs w:val="22"/>
        </w:rPr>
        <w:t xml:space="preserve">schválení výkazov prác k prevzatej časti Diela (čiastkovému plneniu). </w:t>
      </w:r>
    </w:p>
    <w:p w14:paraId="6DC5FA43" w14:textId="77777777" w:rsidR="005D5A8B" w:rsidRPr="00A4040B" w:rsidRDefault="005D5A8B" w:rsidP="009A3D19">
      <w:pPr>
        <w:pStyle w:val="Heading1"/>
        <w:numPr>
          <w:ilvl w:val="1"/>
          <w:numId w:val="6"/>
        </w:numPr>
        <w:spacing w:before="0"/>
        <w:jc w:val="both"/>
        <w:rPr>
          <w:rFonts w:ascii="Cambria" w:hAnsi="Cambria"/>
          <w:b w:val="0"/>
          <w:bCs/>
          <w:spacing w:val="-1"/>
          <w:sz w:val="22"/>
          <w:szCs w:val="22"/>
        </w:rPr>
      </w:pPr>
      <w:r w:rsidRPr="00A4040B">
        <w:rPr>
          <w:rFonts w:ascii="Cambria" w:hAnsi="Cambria"/>
          <w:b w:val="0"/>
          <w:bCs/>
          <w:spacing w:val="-1"/>
          <w:sz w:val="22"/>
          <w:szCs w:val="22"/>
        </w:rPr>
        <w:t>Prílohou k faktúre je:</w:t>
      </w:r>
    </w:p>
    <w:p w14:paraId="5F1EDF50" w14:textId="77777777" w:rsidR="005D5A8B" w:rsidRPr="00227953" w:rsidRDefault="005D5A8B" w:rsidP="009A3D19">
      <w:pPr>
        <w:pStyle w:val="Heading1"/>
        <w:numPr>
          <w:ilvl w:val="0"/>
          <w:numId w:val="25"/>
        </w:numPr>
        <w:spacing w:before="0"/>
        <w:jc w:val="both"/>
        <w:rPr>
          <w:rFonts w:ascii="Cambria" w:hAnsi="Cambria"/>
          <w:b w:val="0"/>
          <w:sz w:val="22"/>
          <w:szCs w:val="22"/>
        </w:rPr>
      </w:pPr>
      <w:r w:rsidRPr="00227953">
        <w:rPr>
          <w:rFonts w:ascii="Cambria" w:hAnsi="Cambria"/>
          <w:b w:val="0"/>
          <w:sz w:val="22"/>
          <w:szCs w:val="22"/>
        </w:rPr>
        <w:t xml:space="preserve">podpísaný Akceptačný protokol, pričom môže ísť aj o Akceptačný protokol s výhradou, vzťahujúci sa k fakturovanej časti Diela (čiastkovému plneniu), a </w:t>
      </w:r>
    </w:p>
    <w:p w14:paraId="3E69ED62" w14:textId="77777777" w:rsidR="005D5A8B" w:rsidRDefault="005D5A8B" w:rsidP="009A3D19">
      <w:pPr>
        <w:pStyle w:val="Heading1"/>
        <w:numPr>
          <w:ilvl w:val="0"/>
          <w:numId w:val="25"/>
        </w:numPr>
        <w:spacing w:before="0"/>
        <w:jc w:val="both"/>
        <w:rPr>
          <w:rFonts w:ascii="Cambria" w:hAnsi="Cambria"/>
          <w:b w:val="0"/>
          <w:sz w:val="22"/>
          <w:szCs w:val="22"/>
        </w:rPr>
      </w:pPr>
      <w:r w:rsidRPr="001E0F73">
        <w:rPr>
          <w:rFonts w:ascii="Cambria" w:hAnsi="Cambria"/>
          <w:b w:val="0"/>
          <w:sz w:val="22"/>
          <w:szCs w:val="22"/>
        </w:rPr>
        <w:t>schválené výkazy práce vzťahujúce sa k fakturovanej časti Diela (čiastkovému plneniu).</w:t>
      </w:r>
    </w:p>
    <w:p w14:paraId="1E1AAD33" w14:textId="0C8BE3F3" w:rsidR="00704A52" w:rsidRPr="00231C74" w:rsidRDefault="00704A52" w:rsidP="009A3D19">
      <w:pPr>
        <w:pStyle w:val="Heading1"/>
        <w:numPr>
          <w:ilvl w:val="1"/>
          <w:numId w:val="6"/>
        </w:numPr>
        <w:jc w:val="both"/>
        <w:rPr>
          <w:rFonts w:ascii="Cambria" w:hAnsi="Cambria"/>
          <w:b w:val="0"/>
          <w:bCs/>
          <w:spacing w:val="-1"/>
          <w:sz w:val="22"/>
          <w:szCs w:val="22"/>
        </w:rPr>
      </w:pPr>
      <w:r w:rsidRPr="00231C74">
        <w:rPr>
          <w:rFonts w:ascii="Cambria" w:hAnsi="Cambria"/>
          <w:b w:val="0"/>
          <w:bCs/>
          <w:spacing w:val="-1"/>
          <w:sz w:val="22"/>
          <w:szCs w:val="22"/>
        </w:rPr>
        <w:t xml:space="preserve">Zhotoviteľ je oprávnený fakturovať cenu </w:t>
      </w:r>
      <w:r w:rsidR="00231C74">
        <w:rPr>
          <w:rFonts w:ascii="Cambria" w:hAnsi="Cambria"/>
          <w:b w:val="0"/>
          <w:bCs/>
          <w:spacing w:val="-1"/>
          <w:sz w:val="22"/>
          <w:szCs w:val="22"/>
        </w:rPr>
        <w:t>za</w:t>
      </w:r>
      <w:r w:rsidR="00F2245B">
        <w:rPr>
          <w:rFonts w:ascii="Cambria" w:hAnsi="Cambria"/>
          <w:b w:val="0"/>
          <w:bCs/>
          <w:spacing w:val="-1"/>
          <w:sz w:val="22"/>
          <w:szCs w:val="22"/>
        </w:rPr>
        <w:t xml:space="preserve"> </w:t>
      </w:r>
      <w:r w:rsidR="00E95A89">
        <w:rPr>
          <w:rFonts w:ascii="Cambria" w:hAnsi="Cambria"/>
          <w:b w:val="0"/>
          <w:bCs/>
          <w:spacing w:val="-1"/>
          <w:sz w:val="22"/>
          <w:szCs w:val="22"/>
        </w:rPr>
        <w:t>ďalšie</w:t>
      </w:r>
      <w:r w:rsidR="00F2245B">
        <w:rPr>
          <w:rFonts w:ascii="Cambria" w:hAnsi="Cambria"/>
          <w:b w:val="0"/>
          <w:bCs/>
          <w:spacing w:val="-1"/>
          <w:sz w:val="22"/>
          <w:szCs w:val="22"/>
        </w:rPr>
        <w:t xml:space="preserve"> licencie </w:t>
      </w:r>
      <w:r w:rsidR="00F2245B" w:rsidRPr="00015277">
        <w:rPr>
          <w:rFonts w:ascii="Cambria" w:hAnsi="Cambria"/>
          <w:b w:val="0"/>
          <w:spacing w:val="-1"/>
          <w:sz w:val="22"/>
          <w:szCs w:val="22"/>
        </w:rPr>
        <w:t xml:space="preserve">po ich </w:t>
      </w:r>
      <w:r w:rsidR="00F2245B">
        <w:rPr>
          <w:rFonts w:ascii="Cambria" w:hAnsi="Cambria"/>
          <w:b w:val="0"/>
          <w:bCs/>
          <w:spacing w:val="-1"/>
          <w:sz w:val="22"/>
          <w:szCs w:val="22"/>
        </w:rPr>
        <w:t>dodaní</w:t>
      </w:r>
      <w:r w:rsidR="00696C5C">
        <w:rPr>
          <w:rFonts w:ascii="Cambria" w:hAnsi="Cambria"/>
          <w:b w:val="0"/>
          <w:bCs/>
          <w:spacing w:val="-1"/>
          <w:sz w:val="22"/>
          <w:szCs w:val="22"/>
        </w:rPr>
        <w:t xml:space="preserve"> a potvrdení ich dodani</w:t>
      </w:r>
      <w:r w:rsidR="00D479F9">
        <w:rPr>
          <w:rFonts w:ascii="Cambria" w:hAnsi="Cambria"/>
          <w:b w:val="0"/>
          <w:bCs/>
          <w:spacing w:val="-1"/>
          <w:sz w:val="22"/>
          <w:szCs w:val="22"/>
        </w:rPr>
        <w:t>a</w:t>
      </w:r>
      <w:r w:rsidR="00696C5C">
        <w:rPr>
          <w:rFonts w:ascii="Cambria" w:hAnsi="Cambria"/>
          <w:b w:val="0"/>
          <w:bCs/>
          <w:spacing w:val="-1"/>
          <w:sz w:val="22"/>
          <w:szCs w:val="22"/>
        </w:rPr>
        <w:t xml:space="preserve"> objednávateľom prostredníctvom písomného protokolu.</w:t>
      </w:r>
      <w:r w:rsidR="00D479F9">
        <w:rPr>
          <w:rFonts w:ascii="Cambria" w:hAnsi="Cambria"/>
          <w:b w:val="0"/>
          <w:bCs/>
          <w:spacing w:val="-1"/>
          <w:sz w:val="22"/>
          <w:szCs w:val="22"/>
        </w:rPr>
        <w:t xml:space="preserve"> Poskytovateľ sa zaväzuje vystaviť </w:t>
      </w:r>
      <w:r w:rsidR="00991B6D">
        <w:rPr>
          <w:rFonts w:ascii="Cambria" w:hAnsi="Cambria"/>
          <w:b w:val="0"/>
          <w:bCs/>
          <w:spacing w:val="-1"/>
          <w:sz w:val="22"/>
          <w:szCs w:val="22"/>
        </w:rPr>
        <w:t xml:space="preserve">príslušné faktúry za dodanie </w:t>
      </w:r>
      <w:r w:rsidR="00E95A89">
        <w:rPr>
          <w:rFonts w:ascii="Cambria" w:hAnsi="Cambria"/>
          <w:b w:val="0"/>
          <w:bCs/>
          <w:spacing w:val="-1"/>
          <w:sz w:val="22"/>
          <w:szCs w:val="22"/>
        </w:rPr>
        <w:t>ďalších</w:t>
      </w:r>
      <w:r w:rsidR="00991B6D">
        <w:rPr>
          <w:rFonts w:ascii="Cambria" w:hAnsi="Cambria"/>
          <w:b w:val="0"/>
          <w:bCs/>
          <w:spacing w:val="-1"/>
          <w:sz w:val="22"/>
          <w:szCs w:val="22"/>
        </w:rPr>
        <w:t xml:space="preserve"> licencií do 14 dní od ich riadneho dodania</w:t>
      </w:r>
      <w:r w:rsidR="000D4C03">
        <w:rPr>
          <w:rFonts w:ascii="Cambria" w:hAnsi="Cambria"/>
          <w:b w:val="0"/>
          <w:bCs/>
          <w:spacing w:val="-1"/>
          <w:sz w:val="22"/>
          <w:szCs w:val="22"/>
        </w:rPr>
        <w:t>.</w:t>
      </w:r>
      <w:r w:rsidR="002600EC">
        <w:rPr>
          <w:rFonts w:ascii="Cambria" w:hAnsi="Cambria"/>
          <w:b w:val="0"/>
          <w:bCs/>
          <w:spacing w:val="-1"/>
          <w:sz w:val="22"/>
          <w:szCs w:val="22"/>
        </w:rPr>
        <w:t xml:space="preserve"> </w:t>
      </w:r>
      <w:r w:rsidR="00253DB0">
        <w:rPr>
          <w:rFonts w:ascii="Cambria" w:hAnsi="Cambria"/>
          <w:b w:val="0"/>
          <w:bCs/>
          <w:spacing w:val="-1"/>
          <w:sz w:val="22"/>
          <w:szCs w:val="22"/>
        </w:rPr>
        <w:t xml:space="preserve">Cena za </w:t>
      </w:r>
      <w:r w:rsidR="00E95A89">
        <w:rPr>
          <w:rFonts w:ascii="Cambria" w:hAnsi="Cambria"/>
          <w:b w:val="0"/>
          <w:bCs/>
          <w:spacing w:val="-1"/>
          <w:sz w:val="22"/>
          <w:szCs w:val="22"/>
        </w:rPr>
        <w:t>ďalšie</w:t>
      </w:r>
      <w:r w:rsidR="00253DB0">
        <w:rPr>
          <w:rFonts w:ascii="Cambria" w:hAnsi="Cambria"/>
          <w:b w:val="0"/>
          <w:bCs/>
          <w:spacing w:val="-1"/>
          <w:sz w:val="22"/>
          <w:szCs w:val="22"/>
        </w:rPr>
        <w:t xml:space="preserve"> licencie </w:t>
      </w:r>
      <w:r w:rsidR="00E95A89">
        <w:rPr>
          <w:rFonts w:ascii="Cambria" w:hAnsi="Cambria"/>
          <w:b w:val="0"/>
          <w:bCs/>
          <w:spacing w:val="-1"/>
          <w:sz w:val="22"/>
          <w:szCs w:val="22"/>
        </w:rPr>
        <w:t>s</w:t>
      </w:r>
      <w:r w:rsidR="00253DB0">
        <w:rPr>
          <w:rFonts w:ascii="Cambria" w:hAnsi="Cambria"/>
          <w:b w:val="0"/>
          <w:bCs/>
          <w:spacing w:val="-1"/>
          <w:sz w:val="22"/>
          <w:szCs w:val="22"/>
        </w:rPr>
        <w:t xml:space="preserve">a stanovuje podľa Tabuľky č. </w:t>
      </w:r>
      <w:r w:rsidR="00416D27">
        <w:rPr>
          <w:rFonts w:ascii="Cambria" w:hAnsi="Cambria"/>
          <w:b w:val="0"/>
          <w:bCs/>
          <w:spacing w:val="-1"/>
          <w:sz w:val="22"/>
          <w:szCs w:val="22"/>
        </w:rPr>
        <w:t>2 a Tabuľky č. 3 Prílohy č. 4 – Špecifikácia ceny zmluvy o dielo.</w:t>
      </w:r>
    </w:p>
    <w:p w14:paraId="00C4A2F8" w14:textId="68DA55BA"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Oprávnená osoba zhotoviteľa predkladá </w:t>
      </w:r>
      <w:r w:rsidR="004E28B5">
        <w:rPr>
          <w:rFonts w:ascii="Cambria" w:hAnsi="Cambria"/>
          <w:b w:val="0"/>
          <w:bCs/>
          <w:spacing w:val="-1"/>
          <w:sz w:val="22"/>
          <w:szCs w:val="22"/>
        </w:rPr>
        <w:t>o</w:t>
      </w:r>
      <w:r w:rsidRPr="00A4040B">
        <w:rPr>
          <w:rFonts w:ascii="Cambria" w:hAnsi="Cambria"/>
          <w:b w:val="0"/>
          <w:bCs/>
          <w:spacing w:val="-1"/>
          <w:sz w:val="22"/>
          <w:szCs w:val="22"/>
        </w:rPr>
        <w:t xml:space="preserve">právnenej osobe objednávateľa pravidelne, na mesačnej báze, najneskôr do 10 (desiateho) kalendárneho dňa v mesiaci výkazy prác. Oprávnená osoba objednávateľa je povinná výkazy prác podľa predchádzajúcej vety následne schváliť alebo neschváliť v lehote do 5 (piatich) pracovných dní od ich predloženia zhotoviteľom. Ak </w:t>
      </w:r>
      <w:r w:rsidR="004E28B5">
        <w:rPr>
          <w:rFonts w:ascii="Cambria" w:hAnsi="Cambria"/>
          <w:b w:val="0"/>
          <w:bCs/>
          <w:spacing w:val="-1"/>
          <w:sz w:val="22"/>
          <w:szCs w:val="22"/>
        </w:rPr>
        <w:t>o</w:t>
      </w:r>
      <w:r w:rsidRPr="00A4040B">
        <w:rPr>
          <w:rFonts w:ascii="Cambria" w:hAnsi="Cambria"/>
          <w:b w:val="0"/>
          <w:bCs/>
          <w:spacing w:val="-1"/>
          <w:sz w:val="22"/>
          <w:szCs w:val="22"/>
        </w:rPr>
        <w:t xml:space="preserve">právnená osoba objednávateľa bez oprávneného dôvodu neschváli výkaz prác podľa tohto bodu zmluvy o dielo alebo nezašle zhotoviteľovi žiadne výhrady k zaslanému výkazu prác do 5 (piatich) pracovných dní od jeho predloženia, považuje sa tento výkaz prác za schválený. Pri uplatnení výhrad </w:t>
      </w:r>
      <w:r w:rsidR="004E28B5">
        <w:rPr>
          <w:rFonts w:ascii="Cambria" w:hAnsi="Cambria"/>
          <w:b w:val="0"/>
          <w:bCs/>
          <w:spacing w:val="-1"/>
          <w:sz w:val="22"/>
          <w:szCs w:val="22"/>
        </w:rPr>
        <w:t>o</w:t>
      </w:r>
      <w:r w:rsidRPr="00A4040B">
        <w:rPr>
          <w:rFonts w:ascii="Cambria" w:hAnsi="Cambria"/>
          <w:b w:val="0"/>
          <w:bCs/>
          <w:spacing w:val="-1"/>
          <w:sz w:val="22"/>
          <w:szCs w:val="22"/>
        </w:rPr>
        <w:t>právnenou osobou objednávateľa začína plynúť nová lehota 5 (piatich) pracovných dní na schválenie alebo neschválenie výkazu prác odo dňa opätovného predloženia opraveného výkazu prác zhotoviteľom.</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Zmluvnými stranami.</w:t>
      </w:r>
    </w:p>
    <w:p w14:paraId="3F25ECBA" w14:textId="628F4669" w:rsidR="005D5A8B" w:rsidRPr="00DC1164" w:rsidRDefault="005D5A8B" w:rsidP="009A3D19">
      <w:pPr>
        <w:pStyle w:val="Heading1"/>
        <w:numPr>
          <w:ilvl w:val="1"/>
          <w:numId w:val="6"/>
        </w:numPr>
        <w:jc w:val="both"/>
        <w:rPr>
          <w:rFonts w:ascii="Cambria" w:hAnsi="Cambria"/>
          <w:b w:val="0"/>
          <w:bCs/>
          <w:spacing w:val="-1"/>
          <w:sz w:val="22"/>
          <w:szCs w:val="22"/>
        </w:rPr>
      </w:pPr>
      <w:r w:rsidRPr="00DC1164">
        <w:rPr>
          <w:rFonts w:ascii="Cambria" w:hAnsi="Cambria"/>
          <w:b w:val="0"/>
          <w:bCs/>
          <w:spacing w:val="-1"/>
          <w:sz w:val="22"/>
          <w:szCs w:val="22"/>
        </w:rPr>
        <w:t xml:space="preserve">Zhotoviteľ je oprávnený fakturovať a  objednávateľ uhradí zhotoviteľovi dohodnutú </w:t>
      </w:r>
      <w:r w:rsidR="0068004B">
        <w:rPr>
          <w:rFonts w:ascii="Cambria" w:hAnsi="Cambria"/>
          <w:b w:val="0"/>
          <w:bCs/>
          <w:spacing w:val="-1"/>
          <w:sz w:val="22"/>
          <w:szCs w:val="22"/>
        </w:rPr>
        <w:t xml:space="preserve">celkovú </w:t>
      </w:r>
      <w:r w:rsidRPr="00DC1164">
        <w:rPr>
          <w:rFonts w:ascii="Cambria" w:hAnsi="Cambria"/>
          <w:b w:val="0"/>
          <w:bCs/>
          <w:spacing w:val="-1"/>
          <w:sz w:val="22"/>
          <w:szCs w:val="22"/>
        </w:rPr>
        <w:t>cenu</w:t>
      </w:r>
      <w:r w:rsidR="00D07471">
        <w:rPr>
          <w:rFonts w:ascii="Cambria" w:hAnsi="Cambria"/>
          <w:b w:val="0"/>
          <w:bCs/>
          <w:spacing w:val="-1"/>
          <w:sz w:val="22"/>
          <w:szCs w:val="22"/>
        </w:rPr>
        <w:t xml:space="preserve"> Diela</w:t>
      </w:r>
      <w:r w:rsidRPr="00DC1164">
        <w:rPr>
          <w:rFonts w:ascii="Cambria" w:hAnsi="Cambria"/>
          <w:b w:val="0"/>
          <w:bCs/>
          <w:spacing w:val="-1"/>
          <w:sz w:val="22"/>
          <w:szCs w:val="22"/>
        </w:rPr>
        <w:t xml:space="preserve"> uvedenú v bode </w:t>
      </w:r>
      <w:r w:rsidR="009A0F6A">
        <w:rPr>
          <w:rFonts w:ascii="Cambria" w:hAnsi="Cambria"/>
          <w:b w:val="0"/>
          <w:bCs/>
          <w:spacing w:val="-1"/>
          <w:sz w:val="22"/>
          <w:szCs w:val="22"/>
        </w:rPr>
        <w:t>4</w:t>
      </w:r>
      <w:r w:rsidRPr="00DC1164">
        <w:rPr>
          <w:rFonts w:ascii="Cambria" w:hAnsi="Cambria"/>
          <w:b w:val="0"/>
          <w:bCs/>
          <w:spacing w:val="-1"/>
          <w:sz w:val="22"/>
          <w:szCs w:val="22"/>
        </w:rPr>
        <w:t>.</w:t>
      </w:r>
      <w:r w:rsidR="009A0F6A">
        <w:rPr>
          <w:rFonts w:ascii="Cambria" w:hAnsi="Cambria"/>
          <w:b w:val="0"/>
          <w:bCs/>
          <w:spacing w:val="-1"/>
          <w:sz w:val="22"/>
          <w:szCs w:val="22"/>
        </w:rPr>
        <w:t>1.</w:t>
      </w:r>
      <w:r w:rsidRPr="00DC1164">
        <w:rPr>
          <w:rFonts w:ascii="Cambria" w:hAnsi="Cambria"/>
          <w:b w:val="0"/>
          <w:bCs/>
          <w:spacing w:val="-1"/>
          <w:sz w:val="22"/>
          <w:szCs w:val="22"/>
        </w:rPr>
        <w:t xml:space="preserve"> </w:t>
      </w:r>
      <w:r w:rsidR="00D655D5">
        <w:rPr>
          <w:rFonts w:ascii="Cambria" w:hAnsi="Cambria"/>
          <w:b w:val="0"/>
          <w:bCs/>
          <w:spacing w:val="-1"/>
          <w:sz w:val="22"/>
          <w:szCs w:val="22"/>
        </w:rPr>
        <w:t xml:space="preserve"> </w:t>
      </w:r>
      <w:r w:rsidRPr="00DC1164">
        <w:rPr>
          <w:rFonts w:ascii="Cambria" w:hAnsi="Cambria"/>
          <w:b w:val="0"/>
          <w:bCs/>
          <w:spacing w:val="-1"/>
          <w:sz w:val="22"/>
          <w:szCs w:val="22"/>
        </w:rPr>
        <w:t>tohto článku zmluvy na základe faktúry nasledovne:</w:t>
      </w:r>
      <w:bookmarkEnd w:id="23"/>
      <w:bookmarkEnd w:id="24"/>
      <w:r w:rsidRPr="00DC1164">
        <w:rPr>
          <w:rFonts w:ascii="Cambria" w:hAnsi="Cambria"/>
          <w:b w:val="0"/>
          <w:bCs/>
          <w:spacing w:val="-1"/>
          <w:sz w:val="22"/>
          <w:szCs w:val="22"/>
        </w:rPr>
        <w:t xml:space="preserve"> </w:t>
      </w:r>
    </w:p>
    <w:p w14:paraId="0CCE1FDF" w14:textId="77777777" w:rsidR="00DC1164" w:rsidRPr="00DC1164" w:rsidRDefault="00DC1164" w:rsidP="009A3D19">
      <w:pPr>
        <w:pStyle w:val="ListParagraph"/>
        <w:numPr>
          <w:ilvl w:val="1"/>
          <w:numId w:val="11"/>
        </w:numPr>
        <w:spacing w:before="120" w:after="0"/>
        <w:contextualSpacing w:val="0"/>
        <w:jc w:val="both"/>
        <w:outlineLvl w:val="0"/>
        <w:rPr>
          <w:rFonts w:ascii="Cambria" w:hAnsi="Cambria"/>
          <w:vanish/>
          <w:position w:val="4"/>
          <w:highlight w:val="yellow"/>
        </w:rPr>
      </w:pPr>
      <w:bookmarkStart w:id="25" w:name="_Toc45811997"/>
    </w:p>
    <w:p w14:paraId="2CF783AF" w14:textId="5966E519" w:rsidR="005D5A8B" w:rsidRPr="00EE7219" w:rsidRDefault="00CA45FF" w:rsidP="009A3D19">
      <w:pPr>
        <w:pStyle w:val="Heading1"/>
        <w:numPr>
          <w:ilvl w:val="2"/>
          <w:numId w:val="6"/>
        </w:numPr>
        <w:jc w:val="both"/>
        <w:rPr>
          <w:rFonts w:ascii="Cambria" w:hAnsi="Cambria"/>
          <w:b w:val="0"/>
          <w:bCs/>
          <w:spacing w:val="-1"/>
          <w:sz w:val="22"/>
          <w:szCs w:val="22"/>
        </w:rPr>
      </w:pPr>
      <w:r w:rsidRPr="00F35E1A">
        <w:rPr>
          <w:rFonts w:ascii="Cambria" w:hAnsi="Cambria"/>
          <w:b w:val="0"/>
          <w:bCs/>
          <w:spacing w:val="-1"/>
          <w:sz w:val="22"/>
          <w:szCs w:val="22"/>
        </w:rPr>
        <w:t>16</w:t>
      </w:r>
      <w:r w:rsidR="0003573A" w:rsidRPr="00F35E1A">
        <w:rPr>
          <w:rFonts w:ascii="Cambria" w:hAnsi="Cambria"/>
          <w:b w:val="0"/>
          <w:bCs/>
          <w:spacing w:val="-1"/>
          <w:sz w:val="22"/>
          <w:szCs w:val="22"/>
        </w:rPr>
        <w:t xml:space="preserve"> %</w:t>
      </w:r>
      <w:r w:rsidR="005D5A8B" w:rsidRPr="00F35E1A">
        <w:rPr>
          <w:rFonts w:ascii="Cambria" w:hAnsi="Cambria"/>
          <w:b w:val="0"/>
          <w:bCs/>
          <w:spacing w:val="-1"/>
          <w:sz w:val="22"/>
          <w:szCs w:val="22"/>
        </w:rPr>
        <w:t xml:space="preserve"> z </w:t>
      </w:r>
      <w:r w:rsidR="00E20DE5" w:rsidRPr="00EE7219">
        <w:rPr>
          <w:rFonts w:ascii="Cambria" w:hAnsi="Cambria"/>
          <w:b w:val="0"/>
          <w:bCs/>
          <w:spacing w:val="-1"/>
          <w:sz w:val="22"/>
          <w:szCs w:val="22"/>
        </w:rPr>
        <w:t xml:space="preserve">celkovej ceny Diela, t.j. </w:t>
      </w:r>
      <w:r w:rsidR="00020A26" w:rsidRPr="00EE7219">
        <w:rPr>
          <w:rFonts w:ascii="Cambria" w:hAnsi="Cambria"/>
          <w:b w:val="0"/>
          <w:bCs/>
          <w:spacing w:val="-1"/>
          <w:sz w:val="22"/>
          <w:szCs w:val="22"/>
        </w:rPr>
        <w:t xml:space="preserve">celkovej </w:t>
      </w:r>
      <w:r w:rsidR="005D5A8B" w:rsidRPr="00EE7219">
        <w:rPr>
          <w:rFonts w:ascii="Cambria" w:hAnsi="Cambria"/>
          <w:b w:val="0"/>
          <w:bCs/>
          <w:spacing w:val="-1"/>
          <w:sz w:val="22"/>
          <w:szCs w:val="22"/>
        </w:rPr>
        <w:t>ceny za jednotlivú</w:t>
      </w:r>
      <w:r w:rsidR="00D80DE7" w:rsidRPr="00EE7219">
        <w:rPr>
          <w:rFonts w:ascii="Cambria" w:hAnsi="Cambria"/>
          <w:b w:val="0"/>
          <w:bCs/>
          <w:spacing w:val="-1"/>
          <w:sz w:val="22"/>
          <w:szCs w:val="22"/>
        </w:rPr>
        <w:t xml:space="preserve"> 1.</w:t>
      </w:r>
      <w:r w:rsidR="005D5A8B" w:rsidRPr="00EE7219">
        <w:rPr>
          <w:rFonts w:ascii="Cambria" w:hAnsi="Cambria"/>
          <w:b w:val="0"/>
          <w:bCs/>
          <w:spacing w:val="-1"/>
          <w:sz w:val="22"/>
          <w:szCs w:val="22"/>
        </w:rPr>
        <w:t xml:space="preserve"> fázu</w:t>
      </w:r>
      <w:r w:rsidRPr="00F35E1A">
        <w:rPr>
          <w:rFonts w:ascii="Cambria" w:hAnsi="Cambria"/>
          <w:b w:val="0"/>
          <w:bCs/>
          <w:spacing w:val="-1"/>
          <w:sz w:val="22"/>
          <w:szCs w:val="22"/>
        </w:rPr>
        <w:t xml:space="preserve"> </w:t>
      </w:r>
      <w:r w:rsidR="002712B2" w:rsidRPr="00F35E1A">
        <w:rPr>
          <w:rFonts w:ascii="Cambria" w:hAnsi="Cambria"/>
          <w:b w:val="0"/>
          <w:bCs/>
          <w:spacing w:val="-1"/>
          <w:sz w:val="22"/>
          <w:szCs w:val="22"/>
        </w:rPr>
        <w:t>– čiastkové plnenie</w:t>
      </w:r>
      <w:r w:rsidR="005D5A8B" w:rsidRPr="00EE7219">
        <w:rPr>
          <w:rFonts w:ascii="Cambria" w:hAnsi="Cambria"/>
          <w:b w:val="0"/>
          <w:bCs/>
          <w:spacing w:val="-1"/>
          <w:sz w:val="22"/>
          <w:szCs w:val="22"/>
        </w:rPr>
        <w:t xml:space="preserve"> predmetu zmluvy uveden</w:t>
      </w:r>
      <w:r w:rsidR="008F47BD" w:rsidRPr="00EE7219">
        <w:rPr>
          <w:rFonts w:ascii="Cambria" w:hAnsi="Cambria"/>
          <w:b w:val="0"/>
          <w:bCs/>
          <w:spacing w:val="-1"/>
          <w:sz w:val="22"/>
          <w:szCs w:val="22"/>
        </w:rPr>
        <w:t>é</w:t>
      </w:r>
      <w:r w:rsidR="005D5A8B" w:rsidRPr="00EE7219">
        <w:rPr>
          <w:rFonts w:ascii="Cambria" w:hAnsi="Cambria"/>
          <w:b w:val="0"/>
          <w:bCs/>
          <w:spacing w:val="-1"/>
          <w:sz w:val="22"/>
          <w:szCs w:val="22"/>
        </w:rPr>
        <w:t xml:space="preserve"> v tabuľke č. 2 Prílohy č. 4 – Špecifikácia ceny po dodaní a po úspešnom ukončení akceptačného testovania v rámci jednotlivej fázy aktualizovaného </w:t>
      </w:r>
      <w:r w:rsidR="00E562DC" w:rsidRPr="00EE7219">
        <w:rPr>
          <w:rFonts w:ascii="Cambria" w:hAnsi="Cambria"/>
          <w:b w:val="0"/>
          <w:bCs/>
          <w:spacing w:val="-1"/>
          <w:sz w:val="22"/>
          <w:szCs w:val="22"/>
        </w:rPr>
        <w:t>dodaného informačného</w:t>
      </w:r>
      <w:r w:rsidR="005D5A8B" w:rsidRPr="00EE7219">
        <w:rPr>
          <w:rFonts w:ascii="Cambria" w:hAnsi="Cambria"/>
          <w:b w:val="0"/>
          <w:bCs/>
          <w:spacing w:val="-1"/>
          <w:sz w:val="22"/>
          <w:szCs w:val="22"/>
        </w:rPr>
        <w:t xml:space="preserve"> systému a po podpísaní </w:t>
      </w:r>
      <w:r w:rsidR="00E562DC" w:rsidRPr="00EE7219">
        <w:rPr>
          <w:rFonts w:ascii="Cambria" w:hAnsi="Cambria"/>
          <w:b w:val="0"/>
          <w:bCs/>
          <w:spacing w:val="-1"/>
          <w:sz w:val="22"/>
          <w:szCs w:val="22"/>
        </w:rPr>
        <w:t>Akceptačného protokolu</w:t>
      </w:r>
      <w:r w:rsidR="005D5A8B" w:rsidRPr="00EE7219">
        <w:rPr>
          <w:rFonts w:ascii="Cambria" w:hAnsi="Cambria"/>
          <w:b w:val="0"/>
          <w:bCs/>
          <w:spacing w:val="-1"/>
          <w:sz w:val="22"/>
          <w:szCs w:val="22"/>
        </w:rPr>
        <w:t>.</w:t>
      </w:r>
      <w:bookmarkEnd w:id="25"/>
    </w:p>
    <w:p w14:paraId="7C68B8C4" w14:textId="1C1FA62B" w:rsidR="00DF3B9B" w:rsidRPr="0009262A" w:rsidRDefault="00DF3B9B" w:rsidP="009A3D19">
      <w:pPr>
        <w:pStyle w:val="Heading1"/>
        <w:numPr>
          <w:ilvl w:val="2"/>
          <w:numId w:val="6"/>
        </w:numPr>
        <w:jc w:val="both"/>
        <w:rPr>
          <w:rFonts w:ascii="Cambria" w:hAnsi="Cambria"/>
          <w:b w:val="0"/>
          <w:bCs/>
          <w:spacing w:val="-1"/>
          <w:sz w:val="22"/>
          <w:szCs w:val="22"/>
        </w:rPr>
      </w:pPr>
      <w:r w:rsidRPr="0009262A">
        <w:rPr>
          <w:rFonts w:ascii="Cambria" w:hAnsi="Cambria"/>
          <w:b w:val="0"/>
          <w:bCs/>
          <w:spacing w:val="-1"/>
          <w:sz w:val="22"/>
          <w:szCs w:val="22"/>
        </w:rPr>
        <w:t xml:space="preserve">24 % z </w:t>
      </w:r>
      <w:r w:rsidR="00F35E1A">
        <w:rPr>
          <w:rFonts w:ascii="Cambria" w:hAnsi="Cambria"/>
          <w:b w:val="0"/>
          <w:bCs/>
          <w:spacing w:val="-1"/>
          <w:sz w:val="22"/>
          <w:szCs w:val="22"/>
        </w:rPr>
        <w:t>celkovej ceny Diela, t.j.</w:t>
      </w:r>
      <w:r w:rsidR="00F35E1A" w:rsidRPr="0009262A">
        <w:rPr>
          <w:rFonts w:ascii="Cambria" w:hAnsi="Cambria"/>
          <w:b w:val="0"/>
          <w:bCs/>
          <w:spacing w:val="-1"/>
          <w:sz w:val="22"/>
          <w:szCs w:val="22"/>
        </w:rPr>
        <w:t xml:space="preserve"> </w:t>
      </w:r>
      <w:r w:rsidR="00020A26" w:rsidRPr="0009262A">
        <w:rPr>
          <w:rFonts w:ascii="Cambria" w:hAnsi="Cambria"/>
          <w:b w:val="0"/>
          <w:bCs/>
          <w:spacing w:val="-1"/>
          <w:sz w:val="22"/>
          <w:szCs w:val="22"/>
        </w:rPr>
        <w:t xml:space="preserve">celkovej </w:t>
      </w:r>
      <w:r w:rsidRPr="0009262A">
        <w:rPr>
          <w:rFonts w:ascii="Cambria" w:hAnsi="Cambria"/>
          <w:b w:val="0"/>
          <w:bCs/>
          <w:spacing w:val="-1"/>
          <w:sz w:val="22"/>
          <w:szCs w:val="22"/>
        </w:rPr>
        <w:t>ceny za jednotlivú</w:t>
      </w:r>
      <w:r w:rsidR="00D80DE7">
        <w:rPr>
          <w:rFonts w:ascii="Cambria" w:hAnsi="Cambria"/>
          <w:b w:val="0"/>
          <w:bCs/>
          <w:spacing w:val="-1"/>
          <w:sz w:val="22"/>
          <w:szCs w:val="22"/>
        </w:rPr>
        <w:t xml:space="preserve"> 2.</w:t>
      </w:r>
      <w:r w:rsidRPr="0009262A">
        <w:rPr>
          <w:rFonts w:ascii="Cambria" w:hAnsi="Cambria"/>
          <w:b w:val="0"/>
          <w:bCs/>
          <w:spacing w:val="-1"/>
          <w:sz w:val="22"/>
          <w:szCs w:val="22"/>
        </w:rPr>
        <w:t xml:space="preserve"> fázu – čiastkové plnenie predmetu zmluvy uvedené v tabuľke č. 2 Prílohy č. 4 – Špecifikácia ceny po dodaní a po úspešnom ukončení akceptačného testovania v rámci jednotlivej fázy aktualizovaného </w:t>
      </w:r>
      <w:r w:rsidR="004517D9" w:rsidRPr="0009262A">
        <w:rPr>
          <w:rFonts w:ascii="Cambria" w:hAnsi="Cambria"/>
          <w:b w:val="0"/>
          <w:bCs/>
          <w:spacing w:val="-1"/>
          <w:sz w:val="22"/>
          <w:szCs w:val="22"/>
        </w:rPr>
        <w:t xml:space="preserve">dodaného informačného systému </w:t>
      </w:r>
      <w:r w:rsidRPr="0009262A">
        <w:rPr>
          <w:rFonts w:ascii="Cambria" w:hAnsi="Cambria"/>
          <w:b w:val="0"/>
          <w:bCs/>
          <w:spacing w:val="-1"/>
          <w:sz w:val="22"/>
          <w:szCs w:val="22"/>
        </w:rPr>
        <w:t xml:space="preserve">a po podpísaní </w:t>
      </w:r>
      <w:r w:rsidR="00E562DC" w:rsidRPr="0009262A">
        <w:rPr>
          <w:rFonts w:ascii="Cambria" w:hAnsi="Cambria"/>
          <w:b w:val="0"/>
          <w:bCs/>
          <w:spacing w:val="-1"/>
          <w:sz w:val="22"/>
          <w:szCs w:val="22"/>
        </w:rPr>
        <w:t>Akceptačného protokolu</w:t>
      </w:r>
      <w:r w:rsidRPr="0009262A">
        <w:rPr>
          <w:rFonts w:ascii="Cambria" w:hAnsi="Cambria"/>
          <w:b w:val="0"/>
          <w:bCs/>
          <w:spacing w:val="-1"/>
          <w:sz w:val="22"/>
          <w:szCs w:val="22"/>
        </w:rPr>
        <w:t>.</w:t>
      </w:r>
    </w:p>
    <w:p w14:paraId="62A2498D" w14:textId="053679FF" w:rsidR="00DF3B9B" w:rsidRPr="0009262A" w:rsidRDefault="00DF3B9B" w:rsidP="009A3D19">
      <w:pPr>
        <w:pStyle w:val="Heading1"/>
        <w:numPr>
          <w:ilvl w:val="2"/>
          <w:numId w:val="6"/>
        </w:numPr>
        <w:jc w:val="both"/>
        <w:rPr>
          <w:rFonts w:ascii="Cambria" w:hAnsi="Cambria"/>
          <w:b w:val="0"/>
          <w:bCs/>
          <w:spacing w:val="-1"/>
          <w:sz w:val="22"/>
          <w:szCs w:val="22"/>
        </w:rPr>
      </w:pPr>
      <w:r w:rsidRPr="0009262A">
        <w:rPr>
          <w:rFonts w:ascii="Cambria" w:hAnsi="Cambria"/>
          <w:b w:val="0"/>
          <w:bCs/>
          <w:spacing w:val="-1"/>
          <w:sz w:val="22"/>
          <w:szCs w:val="22"/>
        </w:rPr>
        <w:t xml:space="preserve">29 % z </w:t>
      </w:r>
      <w:r w:rsidR="00F35E1A">
        <w:rPr>
          <w:rFonts w:ascii="Cambria" w:hAnsi="Cambria"/>
          <w:b w:val="0"/>
          <w:bCs/>
          <w:spacing w:val="-1"/>
          <w:sz w:val="22"/>
          <w:szCs w:val="22"/>
        </w:rPr>
        <w:t>celkovej ceny Diela, t.j.</w:t>
      </w:r>
      <w:r w:rsidR="00F35E1A" w:rsidRPr="0009262A">
        <w:rPr>
          <w:rFonts w:ascii="Cambria" w:hAnsi="Cambria"/>
          <w:b w:val="0"/>
          <w:bCs/>
          <w:spacing w:val="-1"/>
          <w:sz w:val="22"/>
          <w:szCs w:val="22"/>
        </w:rPr>
        <w:t xml:space="preserve"> </w:t>
      </w:r>
      <w:r w:rsidR="00020A26" w:rsidRPr="0009262A">
        <w:rPr>
          <w:rFonts w:ascii="Cambria" w:hAnsi="Cambria"/>
          <w:b w:val="0"/>
          <w:bCs/>
          <w:spacing w:val="-1"/>
          <w:sz w:val="22"/>
          <w:szCs w:val="22"/>
        </w:rPr>
        <w:t xml:space="preserve">celkovej </w:t>
      </w:r>
      <w:r w:rsidRPr="0009262A">
        <w:rPr>
          <w:rFonts w:ascii="Cambria" w:hAnsi="Cambria"/>
          <w:b w:val="0"/>
          <w:bCs/>
          <w:spacing w:val="-1"/>
          <w:sz w:val="22"/>
          <w:szCs w:val="22"/>
        </w:rPr>
        <w:t xml:space="preserve">ceny za jednotlivú </w:t>
      </w:r>
      <w:r w:rsidR="00D80DE7">
        <w:rPr>
          <w:rFonts w:ascii="Cambria" w:hAnsi="Cambria"/>
          <w:b w:val="0"/>
          <w:bCs/>
          <w:spacing w:val="-1"/>
          <w:sz w:val="22"/>
          <w:szCs w:val="22"/>
        </w:rPr>
        <w:t xml:space="preserve">3. </w:t>
      </w:r>
      <w:r w:rsidRPr="0009262A">
        <w:rPr>
          <w:rFonts w:ascii="Cambria" w:hAnsi="Cambria"/>
          <w:b w:val="0"/>
          <w:bCs/>
          <w:spacing w:val="-1"/>
          <w:sz w:val="22"/>
          <w:szCs w:val="22"/>
        </w:rPr>
        <w:t xml:space="preserve">fázu – čiastkové plnenie predmetu zmluvy uvedené v tabuľke č. 2 Prílohy č. 4 – Špecifikácia ceny po dodaní a po úspešnom ukončení akceptačného testovania v rámci jednotlivej fázy </w:t>
      </w:r>
      <w:r w:rsidRPr="0009262A">
        <w:rPr>
          <w:rFonts w:ascii="Cambria" w:hAnsi="Cambria"/>
          <w:b w:val="0"/>
          <w:bCs/>
          <w:spacing w:val="-1"/>
          <w:sz w:val="22"/>
          <w:szCs w:val="22"/>
        </w:rPr>
        <w:lastRenderedPageBreak/>
        <w:t xml:space="preserve">aktualizovaného </w:t>
      </w:r>
      <w:r w:rsidR="00E562DC" w:rsidRPr="0009262A">
        <w:rPr>
          <w:rFonts w:ascii="Cambria" w:hAnsi="Cambria"/>
          <w:b w:val="0"/>
          <w:bCs/>
          <w:spacing w:val="-1"/>
          <w:sz w:val="22"/>
          <w:szCs w:val="22"/>
        </w:rPr>
        <w:t>dodaného informačného systému</w:t>
      </w:r>
      <w:r w:rsidRPr="0009262A">
        <w:rPr>
          <w:rFonts w:ascii="Cambria" w:hAnsi="Cambria"/>
          <w:b w:val="0"/>
          <w:bCs/>
          <w:spacing w:val="-1"/>
          <w:sz w:val="22"/>
          <w:szCs w:val="22"/>
        </w:rPr>
        <w:t xml:space="preserve"> a po podpísaní </w:t>
      </w:r>
      <w:r w:rsidR="00E562DC" w:rsidRPr="0009262A">
        <w:rPr>
          <w:rFonts w:ascii="Cambria" w:hAnsi="Cambria"/>
          <w:b w:val="0"/>
          <w:bCs/>
          <w:spacing w:val="-1"/>
          <w:sz w:val="22"/>
          <w:szCs w:val="22"/>
        </w:rPr>
        <w:t>Akceptačného protokolu</w:t>
      </w:r>
      <w:r w:rsidRPr="0009262A">
        <w:rPr>
          <w:rFonts w:ascii="Cambria" w:hAnsi="Cambria"/>
          <w:b w:val="0"/>
          <w:bCs/>
          <w:spacing w:val="-1"/>
          <w:sz w:val="22"/>
          <w:szCs w:val="22"/>
        </w:rPr>
        <w:t>.</w:t>
      </w:r>
    </w:p>
    <w:p w14:paraId="0ADC5B46" w14:textId="15F2CBDC" w:rsidR="00DF3B9B" w:rsidRPr="0009262A" w:rsidRDefault="00DF3B9B" w:rsidP="009A3D19">
      <w:pPr>
        <w:pStyle w:val="Heading1"/>
        <w:numPr>
          <w:ilvl w:val="2"/>
          <w:numId w:val="6"/>
        </w:numPr>
        <w:jc w:val="both"/>
        <w:rPr>
          <w:rFonts w:ascii="Cambria" w:hAnsi="Cambria"/>
          <w:b w:val="0"/>
          <w:bCs/>
          <w:spacing w:val="-1"/>
          <w:sz w:val="22"/>
          <w:szCs w:val="22"/>
        </w:rPr>
      </w:pPr>
      <w:r w:rsidRPr="0009262A">
        <w:rPr>
          <w:rFonts w:ascii="Cambria" w:hAnsi="Cambria"/>
          <w:b w:val="0"/>
          <w:bCs/>
          <w:spacing w:val="-1"/>
          <w:sz w:val="22"/>
          <w:szCs w:val="22"/>
        </w:rPr>
        <w:t xml:space="preserve">19 % z </w:t>
      </w:r>
      <w:r w:rsidR="00F35E1A">
        <w:rPr>
          <w:rFonts w:ascii="Cambria" w:hAnsi="Cambria"/>
          <w:b w:val="0"/>
          <w:bCs/>
          <w:spacing w:val="-1"/>
          <w:sz w:val="22"/>
          <w:szCs w:val="22"/>
        </w:rPr>
        <w:t>celkovej ceny Diela, t.j.</w:t>
      </w:r>
      <w:r w:rsidR="00F35E1A" w:rsidRPr="0009262A">
        <w:rPr>
          <w:rFonts w:ascii="Cambria" w:hAnsi="Cambria"/>
          <w:b w:val="0"/>
          <w:bCs/>
          <w:spacing w:val="-1"/>
          <w:sz w:val="22"/>
          <w:szCs w:val="22"/>
        </w:rPr>
        <w:t xml:space="preserve"> </w:t>
      </w:r>
      <w:r w:rsidR="00020A26" w:rsidRPr="0009262A">
        <w:rPr>
          <w:rFonts w:ascii="Cambria" w:hAnsi="Cambria"/>
          <w:b w:val="0"/>
          <w:bCs/>
          <w:spacing w:val="-1"/>
          <w:sz w:val="22"/>
          <w:szCs w:val="22"/>
        </w:rPr>
        <w:t xml:space="preserve">celkovej </w:t>
      </w:r>
      <w:r w:rsidRPr="0009262A">
        <w:rPr>
          <w:rFonts w:ascii="Cambria" w:hAnsi="Cambria"/>
          <w:b w:val="0"/>
          <w:bCs/>
          <w:spacing w:val="-1"/>
          <w:sz w:val="22"/>
          <w:szCs w:val="22"/>
        </w:rPr>
        <w:t xml:space="preserve">ceny za jednotlivú </w:t>
      </w:r>
      <w:r w:rsidR="00D80DE7">
        <w:rPr>
          <w:rFonts w:ascii="Cambria" w:hAnsi="Cambria"/>
          <w:b w:val="0"/>
          <w:bCs/>
          <w:spacing w:val="-1"/>
          <w:sz w:val="22"/>
          <w:szCs w:val="22"/>
        </w:rPr>
        <w:t xml:space="preserve">4. </w:t>
      </w:r>
      <w:r w:rsidRPr="0009262A">
        <w:rPr>
          <w:rFonts w:ascii="Cambria" w:hAnsi="Cambria"/>
          <w:b w:val="0"/>
          <w:bCs/>
          <w:spacing w:val="-1"/>
          <w:sz w:val="22"/>
          <w:szCs w:val="22"/>
        </w:rPr>
        <w:t>fázu</w:t>
      </w:r>
      <w:r w:rsidR="00D80DE7">
        <w:rPr>
          <w:rFonts w:ascii="Cambria" w:hAnsi="Cambria"/>
          <w:b w:val="0"/>
          <w:bCs/>
          <w:spacing w:val="-1"/>
          <w:sz w:val="22"/>
          <w:szCs w:val="22"/>
        </w:rPr>
        <w:t xml:space="preserve"> </w:t>
      </w:r>
      <w:r w:rsidRPr="0009262A">
        <w:rPr>
          <w:rFonts w:ascii="Cambria" w:hAnsi="Cambria"/>
          <w:b w:val="0"/>
          <w:bCs/>
          <w:spacing w:val="-1"/>
          <w:sz w:val="22"/>
          <w:szCs w:val="22"/>
        </w:rPr>
        <w:t xml:space="preserve">– čiastkové plnenie predmetu zmluvy uvedené v tabuľke č. 2 Prílohy č. 4 – Špecifikácia ceny po dodaní a po úspešnom ukončení akceptačného testovania v rámci jednotlivej fázy aktualizovaného </w:t>
      </w:r>
      <w:r w:rsidR="004517D9" w:rsidRPr="0009262A">
        <w:rPr>
          <w:rFonts w:ascii="Cambria" w:hAnsi="Cambria"/>
          <w:b w:val="0"/>
          <w:bCs/>
          <w:spacing w:val="-1"/>
          <w:sz w:val="22"/>
          <w:szCs w:val="22"/>
        </w:rPr>
        <w:t xml:space="preserve">dodaného informačného systému </w:t>
      </w:r>
      <w:r w:rsidRPr="0009262A">
        <w:rPr>
          <w:rFonts w:ascii="Cambria" w:hAnsi="Cambria"/>
          <w:b w:val="0"/>
          <w:bCs/>
          <w:spacing w:val="-1"/>
          <w:sz w:val="22"/>
          <w:szCs w:val="22"/>
        </w:rPr>
        <w:t>a </w:t>
      </w:r>
      <w:r w:rsidR="00E562DC" w:rsidRPr="0009262A">
        <w:rPr>
          <w:rFonts w:ascii="Cambria" w:hAnsi="Cambria"/>
          <w:b w:val="0"/>
          <w:bCs/>
          <w:spacing w:val="-1"/>
          <w:sz w:val="22"/>
          <w:szCs w:val="22"/>
        </w:rPr>
        <w:t>Akceptačného protokolu</w:t>
      </w:r>
      <w:r w:rsidRPr="0009262A">
        <w:rPr>
          <w:rFonts w:ascii="Cambria" w:hAnsi="Cambria"/>
          <w:b w:val="0"/>
          <w:bCs/>
          <w:spacing w:val="-1"/>
          <w:sz w:val="22"/>
          <w:szCs w:val="22"/>
        </w:rPr>
        <w:t>.</w:t>
      </w:r>
    </w:p>
    <w:p w14:paraId="0A5CDF34" w14:textId="7384BB0E" w:rsidR="00DF3B9B" w:rsidRPr="0009262A" w:rsidRDefault="00DF3B9B" w:rsidP="009A3D19">
      <w:pPr>
        <w:pStyle w:val="Heading1"/>
        <w:numPr>
          <w:ilvl w:val="2"/>
          <w:numId w:val="6"/>
        </w:numPr>
        <w:jc w:val="both"/>
        <w:rPr>
          <w:rFonts w:ascii="Cambria" w:hAnsi="Cambria"/>
          <w:b w:val="0"/>
          <w:bCs/>
          <w:spacing w:val="-1"/>
          <w:sz w:val="22"/>
          <w:szCs w:val="22"/>
        </w:rPr>
      </w:pPr>
      <w:r w:rsidRPr="0009262A">
        <w:rPr>
          <w:rFonts w:ascii="Cambria" w:hAnsi="Cambria"/>
          <w:b w:val="0"/>
          <w:bCs/>
          <w:spacing w:val="-1"/>
          <w:sz w:val="22"/>
          <w:szCs w:val="22"/>
        </w:rPr>
        <w:t>12 % z</w:t>
      </w:r>
      <w:r w:rsidR="00F35E1A">
        <w:rPr>
          <w:rFonts w:ascii="Cambria" w:hAnsi="Cambria"/>
          <w:b w:val="0"/>
          <w:bCs/>
          <w:spacing w:val="-1"/>
          <w:sz w:val="22"/>
          <w:szCs w:val="22"/>
        </w:rPr>
        <w:t> celkovej ceny Diela</w:t>
      </w:r>
      <w:r w:rsidR="00EE7219">
        <w:rPr>
          <w:rFonts w:ascii="Cambria" w:hAnsi="Cambria"/>
          <w:b w:val="0"/>
          <w:bCs/>
          <w:spacing w:val="-1"/>
          <w:sz w:val="22"/>
          <w:szCs w:val="22"/>
        </w:rPr>
        <w:t xml:space="preserve"> t.j.</w:t>
      </w:r>
      <w:r w:rsidRPr="0009262A">
        <w:rPr>
          <w:rFonts w:ascii="Cambria" w:hAnsi="Cambria"/>
          <w:b w:val="0"/>
          <w:bCs/>
          <w:spacing w:val="-1"/>
          <w:sz w:val="22"/>
          <w:szCs w:val="22"/>
        </w:rPr>
        <w:t xml:space="preserve"> </w:t>
      </w:r>
      <w:r w:rsidR="00020A26" w:rsidRPr="0009262A">
        <w:rPr>
          <w:rFonts w:ascii="Cambria" w:hAnsi="Cambria"/>
          <w:b w:val="0"/>
          <w:bCs/>
          <w:spacing w:val="-1"/>
          <w:sz w:val="22"/>
          <w:szCs w:val="22"/>
        </w:rPr>
        <w:t xml:space="preserve">celkovej </w:t>
      </w:r>
      <w:r w:rsidRPr="0009262A">
        <w:rPr>
          <w:rFonts w:ascii="Cambria" w:hAnsi="Cambria"/>
          <w:b w:val="0"/>
          <w:bCs/>
          <w:spacing w:val="-1"/>
          <w:sz w:val="22"/>
          <w:szCs w:val="22"/>
        </w:rPr>
        <w:t>ceny za jednotlivú</w:t>
      </w:r>
      <w:r w:rsidR="00D80DE7">
        <w:rPr>
          <w:rFonts w:ascii="Cambria" w:hAnsi="Cambria"/>
          <w:b w:val="0"/>
          <w:bCs/>
          <w:spacing w:val="-1"/>
          <w:sz w:val="22"/>
          <w:szCs w:val="22"/>
        </w:rPr>
        <w:t xml:space="preserve"> 5.</w:t>
      </w:r>
      <w:r w:rsidRPr="0009262A">
        <w:rPr>
          <w:rFonts w:ascii="Cambria" w:hAnsi="Cambria"/>
          <w:b w:val="0"/>
          <w:bCs/>
          <w:spacing w:val="-1"/>
          <w:sz w:val="22"/>
          <w:szCs w:val="22"/>
        </w:rPr>
        <w:t xml:space="preserve"> fázu</w:t>
      </w:r>
      <w:r w:rsidR="00D80DE7">
        <w:rPr>
          <w:rFonts w:ascii="Cambria" w:hAnsi="Cambria"/>
          <w:b w:val="0"/>
          <w:bCs/>
          <w:spacing w:val="-1"/>
          <w:sz w:val="22"/>
          <w:szCs w:val="22"/>
        </w:rPr>
        <w:t xml:space="preserve"> </w:t>
      </w:r>
      <w:r w:rsidRPr="0009262A">
        <w:rPr>
          <w:rFonts w:ascii="Cambria" w:hAnsi="Cambria"/>
          <w:b w:val="0"/>
          <w:bCs/>
          <w:spacing w:val="-1"/>
          <w:sz w:val="22"/>
          <w:szCs w:val="22"/>
        </w:rPr>
        <w:t xml:space="preserve">– čiastkové plnenie predmetu zmluvy uvedené v tabuľke č. 2 Prílohy č. 4 – Špecifikácia ceny po dodaní a po úspešnom ukončení akceptačného testovania v rámci jednotlivej fázy aktualizovaného </w:t>
      </w:r>
      <w:r w:rsidR="004517D9" w:rsidRPr="0009262A">
        <w:rPr>
          <w:rFonts w:ascii="Cambria" w:hAnsi="Cambria"/>
          <w:b w:val="0"/>
          <w:bCs/>
          <w:spacing w:val="-1"/>
          <w:sz w:val="22"/>
          <w:szCs w:val="22"/>
        </w:rPr>
        <w:t xml:space="preserve">dodaného informačného systému </w:t>
      </w:r>
      <w:r w:rsidRPr="0009262A">
        <w:rPr>
          <w:rFonts w:ascii="Cambria" w:hAnsi="Cambria"/>
          <w:b w:val="0"/>
          <w:bCs/>
          <w:spacing w:val="-1"/>
          <w:sz w:val="22"/>
          <w:szCs w:val="22"/>
        </w:rPr>
        <w:t xml:space="preserve">a po podpísaní </w:t>
      </w:r>
      <w:r w:rsidR="00E562DC" w:rsidRPr="0009262A">
        <w:rPr>
          <w:rFonts w:ascii="Cambria" w:hAnsi="Cambria"/>
          <w:b w:val="0"/>
          <w:bCs/>
          <w:spacing w:val="-1"/>
          <w:sz w:val="22"/>
          <w:szCs w:val="22"/>
        </w:rPr>
        <w:t>Záverečného akceptačného protokolu</w:t>
      </w:r>
      <w:r w:rsidRPr="0009262A">
        <w:rPr>
          <w:rFonts w:ascii="Cambria" w:hAnsi="Cambria"/>
          <w:b w:val="0"/>
          <w:bCs/>
          <w:spacing w:val="-1"/>
          <w:sz w:val="22"/>
          <w:szCs w:val="22"/>
        </w:rPr>
        <w:t>.</w:t>
      </w:r>
    </w:p>
    <w:p w14:paraId="0BD32135" w14:textId="77777777" w:rsidR="005D5A8B" w:rsidRPr="000D532A" w:rsidRDefault="005D5A8B" w:rsidP="009A3D19">
      <w:pPr>
        <w:pStyle w:val="Heading1"/>
        <w:numPr>
          <w:ilvl w:val="1"/>
          <w:numId w:val="6"/>
        </w:numPr>
        <w:jc w:val="both"/>
        <w:rPr>
          <w:rFonts w:ascii="Cambria" w:hAnsi="Cambria"/>
          <w:b w:val="0"/>
          <w:bCs/>
          <w:spacing w:val="-1"/>
          <w:sz w:val="22"/>
          <w:szCs w:val="22"/>
        </w:rPr>
      </w:pPr>
      <w:bookmarkStart w:id="26" w:name="_Toc45811999"/>
      <w:r w:rsidRPr="000D532A">
        <w:rPr>
          <w:rFonts w:ascii="Cambria" w:hAnsi="Cambria"/>
          <w:b w:val="0"/>
          <w:bCs/>
          <w:spacing w:val="-1"/>
          <w:sz w:val="22"/>
          <w:szCs w:val="22"/>
        </w:rPr>
        <w:t>Ceny za predmet zmluvy sú uvedené bez DPH. Zhotoviteľ k dohodnutým cenám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11"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6"/>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7" w:name="_Toc368490338"/>
      <w:bookmarkStart w:id="28" w:name="_Toc368934361"/>
      <w:bookmarkStart w:id="29"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7"/>
      <w:bookmarkEnd w:id="28"/>
      <w:bookmarkEnd w:id="29"/>
      <w:r w:rsidRPr="000D532A">
        <w:rPr>
          <w:rFonts w:ascii="Cambria" w:hAnsi="Cambria"/>
          <w:b w:val="0"/>
          <w:bCs/>
          <w:spacing w:val="-1"/>
          <w:sz w:val="22"/>
          <w:szCs w:val="22"/>
        </w:rPr>
        <w:t xml:space="preserve">Zhotoviteľ čestne vyhlasuje, </w:t>
      </w:r>
      <w:r w:rsidRPr="000D532A">
        <w:rPr>
          <w:rFonts w:ascii="Cambria" w:hAnsi="Cambria"/>
          <w:b w:val="0"/>
          <w:bCs/>
          <w:spacing w:val="-1"/>
          <w:sz w:val="22"/>
          <w:szCs w:val="22"/>
        </w:rPr>
        <w:lastRenderedPageBreak/>
        <w:t>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9"/>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40627542"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 xml:space="preserve">čiastkového plnenia </w:t>
      </w:r>
      <w:r w:rsidR="00EE60FE">
        <w:rPr>
          <w:rFonts w:ascii="Cambria" w:hAnsi="Cambria"/>
          <w:b w:val="0"/>
          <w:bCs/>
          <w:spacing w:val="-1"/>
          <w:sz w:val="22"/>
          <w:szCs w:val="22"/>
        </w:rPr>
        <w:t>a</w:t>
      </w:r>
      <w:r w:rsidR="003E2516">
        <w:rPr>
          <w:rFonts w:ascii="Cambria" w:hAnsi="Cambria"/>
          <w:b w:val="0"/>
          <w:bCs/>
          <w:spacing w:val="-1"/>
          <w:sz w:val="22"/>
          <w:szCs w:val="22"/>
        </w:rPr>
        <w:t> dodani</w:t>
      </w:r>
      <w:r w:rsidR="00A72DBF">
        <w:rPr>
          <w:rFonts w:ascii="Cambria" w:hAnsi="Cambria"/>
          <w:b w:val="0"/>
          <w:bCs/>
          <w:spacing w:val="-1"/>
          <w:sz w:val="22"/>
          <w:szCs w:val="22"/>
        </w:rPr>
        <w:t>a</w:t>
      </w:r>
      <w:r w:rsidR="003E2516">
        <w:rPr>
          <w:rFonts w:ascii="Cambria" w:hAnsi="Cambria"/>
          <w:b w:val="0"/>
          <w:bCs/>
          <w:spacing w:val="-1"/>
          <w:sz w:val="22"/>
          <w:szCs w:val="22"/>
        </w:rPr>
        <w:t xml:space="preserve"> ďalších licencií </w:t>
      </w:r>
      <w:r w:rsidR="00F13C6A">
        <w:rPr>
          <w:rFonts w:ascii="Cambria" w:hAnsi="Cambria"/>
          <w:b w:val="0"/>
          <w:bCs/>
          <w:spacing w:val="-1"/>
          <w:sz w:val="22"/>
          <w:szCs w:val="22"/>
        </w:rPr>
        <w:t xml:space="preserve">predmetu zmluvy </w:t>
      </w:r>
      <w:r w:rsidR="00484023">
        <w:rPr>
          <w:rFonts w:ascii="Cambria" w:hAnsi="Cambria"/>
          <w:b w:val="0"/>
          <w:bCs/>
          <w:spacing w:val="-1"/>
          <w:sz w:val="22"/>
          <w:szCs w:val="22"/>
        </w:rPr>
        <w:t>(</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zápisnice 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1C394E07"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A/plná akceptácia (odovzdanie predmetu plnenia prebehlo bez výhrad a v plnom súlade 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5BEF07F6" w14:textId="63D534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Vlastnícke právo k Dielu alebo jeho časti prechádza na</w:t>
      </w:r>
      <w:r w:rsidR="00922F88">
        <w:rPr>
          <w:rFonts w:ascii="Cambria" w:hAnsi="Cambria"/>
          <w:b w:val="0"/>
          <w:bCs/>
          <w:spacing w:val="-1"/>
          <w:sz w:val="22"/>
          <w:szCs w:val="22"/>
        </w:rPr>
        <w:t xml:space="preserve"> o</w:t>
      </w:r>
      <w:r w:rsidRPr="00366C7E">
        <w:rPr>
          <w:rFonts w:ascii="Cambria" w:hAnsi="Cambria"/>
          <w:b w:val="0"/>
          <w:bCs/>
          <w:spacing w:val="-1"/>
          <w:sz w:val="22"/>
          <w:szCs w:val="22"/>
        </w:rPr>
        <w:t xml:space="preserve">bjednávateľa odovzdaním a prevzatím Diela alebo jeho časti, tzn. podpísaním Akceptačného protokolu/Záverečného akceptačného protokolu vzťahujúceho sa k odovzdávanej časti Diela oboma </w:t>
      </w:r>
      <w:r w:rsidR="00922F88">
        <w:rPr>
          <w:rFonts w:ascii="Cambria" w:hAnsi="Cambria"/>
          <w:b w:val="0"/>
          <w:bCs/>
          <w:spacing w:val="-1"/>
          <w:sz w:val="22"/>
          <w:szCs w:val="22"/>
        </w:rPr>
        <w:t>z</w:t>
      </w:r>
      <w:r w:rsidRPr="00366C7E">
        <w:rPr>
          <w:rFonts w:ascii="Cambria" w:hAnsi="Cambria"/>
          <w:b w:val="0"/>
          <w:bCs/>
          <w:spacing w:val="-1"/>
          <w:sz w:val="22"/>
          <w:szCs w:val="22"/>
        </w:rPr>
        <w:t xml:space="preserve">mluvnými stranami, pričom platí, že vlastnícke právo k Dielu ako celku prechádza na </w:t>
      </w:r>
      <w:r w:rsidR="00922F88">
        <w:rPr>
          <w:rFonts w:ascii="Cambria" w:hAnsi="Cambria"/>
          <w:b w:val="0"/>
          <w:bCs/>
          <w:spacing w:val="-1"/>
          <w:sz w:val="22"/>
          <w:szCs w:val="22"/>
        </w:rPr>
        <w:t>o</w:t>
      </w:r>
      <w:r w:rsidRPr="00366C7E">
        <w:rPr>
          <w:rFonts w:ascii="Cambria" w:hAnsi="Cambria"/>
          <w:b w:val="0"/>
          <w:bCs/>
          <w:spacing w:val="-1"/>
          <w:sz w:val="22"/>
          <w:szCs w:val="22"/>
        </w:rPr>
        <w:t>bjednávateľa podpísaním Záverečného akceptačného protokolu</w:t>
      </w:r>
      <w:r w:rsidR="008B5708">
        <w:rPr>
          <w:rFonts w:ascii="Cambria" w:hAnsi="Cambria"/>
          <w:b w:val="0"/>
          <w:bCs/>
          <w:spacing w:val="-1"/>
          <w:sz w:val="22"/>
          <w:szCs w:val="22"/>
        </w:rPr>
        <w:t xml:space="preserve"> (fináln</w:t>
      </w:r>
      <w:r w:rsidR="00EF47CE">
        <w:rPr>
          <w:rFonts w:ascii="Cambria" w:hAnsi="Cambria"/>
          <w:b w:val="0"/>
          <w:bCs/>
          <w:spacing w:val="-1"/>
          <w:sz w:val="22"/>
          <w:szCs w:val="22"/>
        </w:rPr>
        <w:t>a akceptácia)</w:t>
      </w:r>
      <w:r w:rsidRPr="00366C7E">
        <w:rPr>
          <w:rFonts w:ascii="Cambria" w:hAnsi="Cambria"/>
          <w:b w:val="0"/>
          <w:bCs/>
          <w:spacing w:val="-1"/>
          <w:sz w:val="22"/>
          <w:szCs w:val="22"/>
        </w:rPr>
        <w:t xml:space="preserve"> oboma </w:t>
      </w:r>
      <w:r w:rsidR="00922F88">
        <w:rPr>
          <w:rFonts w:ascii="Cambria" w:hAnsi="Cambria"/>
          <w:b w:val="0"/>
          <w:bCs/>
          <w:spacing w:val="-1"/>
          <w:sz w:val="22"/>
          <w:szCs w:val="22"/>
        </w:rPr>
        <w:t>z</w:t>
      </w:r>
      <w:r w:rsidRPr="00366C7E">
        <w:rPr>
          <w:rFonts w:ascii="Cambria" w:hAnsi="Cambria"/>
          <w:b w:val="0"/>
          <w:bCs/>
          <w:spacing w:val="-1"/>
          <w:sz w:val="22"/>
          <w:szCs w:val="22"/>
        </w:rPr>
        <w:t>mluvnými stranami</w:t>
      </w:r>
      <w:r w:rsidR="00CA3D78">
        <w:rPr>
          <w:rFonts w:ascii="Cambria" w:hAnsi="Cambria"/>
          <w:b w:val="0"/>
          <w:bCs/>
          <w:spacing w:val="-1"/>
          <w:sz w:val="22"/>
          <w:szCs w:val="22"/>
        </w:rPr>
        <w:t>.</w:t>
      </w:r>
    </w:p>
    <w:p w14:paraId="7C11450D" w14:textId="0E0821D2"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9A3D19">
      <w:pPr>
        <w:pStyle w:val="Heading1"/>
        <w:numPr>
          <w:ilvl w:val="1"/>
          <w:numId w:val="6"/>
        </w:numPr>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F31D58F"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zoznam autorov diel a zoznam autorských diel vytvorených v rámci plnenia tejto </w:t>
      </w:r>
      <w:r w:rsidR="00A3526B" w:rsidRPr="00BE23E5">
        <w:rPr>
          <w:rFonts w:ascii="Cambria" w:hAnsi="Cambria" w:cs="Arial"/>
          <w:bCs/>
        </w:rPr>
        <w:t>z</w:t>
      </w:r>
      <w:r w:rsidRPr="00BE23E5">
        <w:rPr>
          <w:rFonts w:ascii="Cambria" w:hAnsi="Cambria" w:cs="Arial"/>
          <w:bCs/>
        </w:rPr>
        <w:t>mluvy o dielo, ak sú súčasťou odovzdávaného Diela alebo jeho časti,</w:t>
      </w:r>
    </w:p>
    <w:p w14:paraId="1A291A85" w14:textId="77777777" w:rsidR="00276BCD" w:rsidRPr="00BE23E5" w:rsidRDefault="00276BCD" w:rsidP="009A3D19">
      <w:pPr>
        <w:pStyle w:val="MLOdsek"/>
        <w:numPr>
          <w:ilvl w:val="2"/>
          <w:numId w:val="6"/>
        </w:numPr>
        <w:spacing w:before="120" w:line="290" w:lineRule="auto"/>
        <w:rPr>
          <w:rFonts w:ascii="Cambria" w:hAnsi="Cambria" w:cs="Arial"/>
          <w:bCs/>
          <w:strike/>
        </w:rPr>
      </w:pPr>
      <w:r w:rsidRPr="00BE23E5">
        <w:rPr>
          <w:rFonts w:ascii="Cambria" w:hAnsi="Cambria" w:cs="Arial"/>
          <w:bCs/>
        </w:rPr>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65AB302D"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lastRenderedPageBreak/>
        <w:t xml:space="preserve">Akceptačný protokol sa vyhotovuje v 4 (štyroch) vyhotoveniach, z ktorých 2 (dve) vyhotovenia sa 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717842E5"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vopred výslovne nedohodnú inak. Pre úspešné vykonanie akceptačných 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alebo nimi preukázateľne splnomocnených osoba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30"/>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19F2EA29" w14:textId="2116D2FB" w:rsidR="00276BCD" w:rsidRPr="005571C1" w:rsidRDefault="003A4773"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Ak dodaný i</w:t>
      </w:r>
      <w:r w:rsidR="00276BCD" w:rsidRPr="00366C7E">
        <w:rPr>
          <w:rFonts w:ascii="Cambria" w:hAnsi="Cambria"/>
          <w:b w:val="0"/>
          <w:bCs/>
          <w:spacing w:val="-1"/>
          <w:sz w:val="22"/>
          <w:szCs w:val="22"/>
        </w:rPr>
        <w:t xml:space="preserve">nformačný systém </w:t>
      </w:r>
      <w:r w:rsidR="00276BCD" w:rsidRPr="00ED61AC">
        <w:rPr>
          <w:rFonts w:ascii="Cambria" w:hAnsi="Cambria"/>
          <w:b w:val="0"/>
          <w:bCs/>
          <w:spacing w:val="-1"/>
          <w:sz w:val="22"/>
          <w:szCs w:val="22"/>
        </w:rPr>
        <w:t xml:space="preserve">alebo jeho časť nespĺňa akceptačné kritériá podľa tohto článku </w:t>
      </w:r>
      <w:r w:rsidR="00722F83" w:rsidRPr="00ED61AC">
        <w:rPr>
          <w:rFonts w:ascii="Cambria" w:hAnsi="Cambria"/>
          <w:b w:val="0"/>
          <w:bCs/>
          <w:spacing w:val="-1"/>
          <w:sz w:val="22"/>
          <w:szCs w:val="22"/>
        </w:rPr>
        <w:t>z</w:t>
      </w:r>
      <w:r w:rsidR="00276BCD" w:rsidRPr="00ED61AC">
        <w:rPr>
          <w:rFonts w:ascii="Cambria" w:hAnsi="Cambria"/>
          <w:b w:val="0"/>
          <w:bCs/>
          <w:spacing w:val="-1"/>
          <w:sz w:val="22"/>
          <w:szCs w:val="22"/>
        </w:rPr>
        <w:t xml:space="preserve">mluvy o dielo, </w:t>
      </w:r>
      <w:r w:rsidR="00722F83" w:rsidRPr="00ED61AC">
        <w:rPr>
          <w:rFonts w:ascii="Cambria" w:hAnsi="Cambria"/>
          <w:b w:val="0"/>
          <w:bCs/>
          <w:spacing w:val="-1"/>
          <w:sz w:val="22"/>
          <w:szCs w:val="22"/>
        </w:rPr>
        <w:t>o</w:t>
      </w:r>
      <w:r w:rsidR="00276BCD" w:rsidRPr="00ED61AC">
        <w:rPr>
          <w:rFonts w:ascii="Cambria" w:hAnsi="Cambria"/>
          <w:b w:val="0"/>
          <w:bCs/>
          <w:spacing w:val="-1"/>
          <w:sz w:val="22"/>
          <w:szCs w:val="22"/>
        </w:rPr>
        <w:t xml:space="preserve">bjednávateľ uvedie a popíše všetky identifikované právne a/alebo faktické vady </w:t>
      </w:r>
      <w:r w:rsidR="00722F83" w:rsidRPr="00ED61AC">
        <w:rPr>
          <w:rFonts w:ascii="Cambria" w:hAnsi="Cambria"/>
          <w:b w:val="0"/>
          <w:bCs/>
          <w:spacing w:val="-1"/>
          <w:sz w:val="22"/>
          <w:szCs w:val="22"/>
        </w:rPr>
        <w:t>dodaného i</w:t>
      </w:r>
      <w:r w:rsidR="00276BCD" w:rsidRPr="00ED61AC">
        <w:rPr>
          <w:rFonts w:ascii="Cambria" w:hAnsi="Cambria"/>
          <w:b w:val="0"/>
          <w:bCs/>
          <w:spacing w:val="-1"/>
          <w:sz w:val="22"/>
          <w:szCs w:val="22"/>
        </w:rPr>
        <w:t xml:space="preserve">nformačného systému (ďalej len „vady </w:t>
      </w:r>
      <w:r w:rsidR="00A438A8" w:rsidRPr="00ED61AC">
        <w:rPr>
          <w:rFonts w:ascii="Cambria" w:hAnsi="Cambria"/>
          <w:b w:val="0"/>
          <w:bCs/>
          <w:spacing w:val="-1"/>
          <w:sz w:val="22"/>
          <w:szCs w:val="22"/>
        </w:rPr>
        <w:t>dodaného i</w:t>
      </w:r>
      <w:r w:rsidR="00276BCD" w:rsidRPr="00ED61AC">
        <w:rPr>
          <w:rFonts w:ascii="Cambria" w:hAnsi="Cambria"/>
          <w:b w:val="0"/>
          <w:bCs/>
          <w:spacing w:val="-1"/>
          <w:sz w:val="22"/>
          <w:szCs w:val="22"/>
        </w:rPr>
        <w:t xml:space="preserve">nformačného systému“) v zápisnici o akceptačných testoch a navrhne nový termín pre vykonanie akceptačných testov. Zhotoviteľ sa zaväzuje odstrániť vady </w:t>
      </w:r>
      <w:r w:rsidR="00A438A8" w:rsidRPr="00ED61AC">
        <w:rPr>
          <w:rFonts w:ascii="Cambria" w:hAnsi="Cambria"/>
          <w:b w:val="0"/>
          <w:bCs/>
          <w:spacing w:val="-1"/>
          <w:sz w:val="22"/>
          <w:szCs w:val="22"/>
        </w:rPr>
        <w:t>dodaného i</w:t>
      </w:r>
      <w:r w:rsidR="00276BCD" w:rsidRPr="00ED61AC">
        <w:rPr>
          <w:rFonts w:ascii="Cambria" w:hAnsi="Cambria"/>
          <w:b w:val="0"/>
          <w:bCs/>
          <w:spacing w:val="-1"/>
          <w:sz w:val="22"/>
          <w:szCs w:val="22"/>
        </w:rPr>
        <w:t>nformačného systému uvedené v zápisnici o akceptačných testoch v zmysle tohto článku</w:t>
      </w:r>
      <w:r w:rsidR="00276BCD" w:rsidRPr="00EB24F0">
        <w:rPr>
          <w:rFonts w:ascii="Cambria" w:hAnsi="Cambria"/>
          <w:b w:val="0"/>
          <w:bCs/>
          <w:spacing w:val="-1"/>
          <w:sz w:val="22"/>
          <w:szCs w:val="22"/>
        </w:rPr>
        <w:t xml:space="preserve"> </w:t>
      </w:r>
      <w:r w:rsidR="00A438A8" w:rsidRPr="00EB24F0">
        <w:rPr>
          <w:rFonts w:ascii="Cambria" w:hAnsi="Cambria"/>
          <w:b w:val="0"/>
          <w:bCs/>
          <w:spacing w:val="-1"/>
          <w:sz w:val="22"/>
          <w:szCs w:val="22"/>
        </w:rPr>
        <w:t>z</w:t>
      </w:r>
      <w:r w:rsidR="00276BCD" w:rsidRPr="00EB24F0">
        <w:rPr>
          <w:rFonts w:ascii="Cambria" w:hAnsi="Cambria"/>
          <w:b w:val="0"/>
          <w:bCs/>
          <w:spacing w:val="-1"/>
          <w:sz w:val="22"/>
          <w:szCs w:val="22"/>
        </w:rPr>
        <w:t xml:space="preserve">mluvy o dielo a opätovne uskutočniť nevyhnutné akceptačné testy, a to aj opakovane maximálne však 5 (päť) krát vo vzťahu ku každej odovzdávanej časti </w:t>
      </w:r>
      <w:r w:rsidR="00A438A8" w:rsidRPr="00EB24F0">
        <w:rPr>
          <w:rFonts w:ascii="Cambria" w:hAnsi="Cambria"/>
          <w:b w:val="0"/>
          <w:bCs/>
          <w:spacing w:val="-1"/>
          <w:sz w:val="22"/>
          <w:szCs w:val="22"/>
        </w:rPr>
        <w:t>dodaného i</w:t>
      </w:r>
      <w:r w:rsidR="00276BCD" w:rsidRPr="00EB24F0">
        <w:rPr>
          <w:rFonts w:ascii="Cambria" w:hAnsi="Cambria"/>
          <w:b w:val="0"/>
          <w:bCs/>
          <w:spacing w:val="-1"/>
          <w:sz w:val="22"/>
          <w:szCs w:val="22"/>
        </w:rPr>
        <w:t xml:space="preserve">nformačného systému. Ak </w:t>
      </w:r>
      <w:r w:rsidR="00276BCD" w:rsidRPr="005571C1">
        <w:rPr>
          <w:rFonts w:ascii="Cambria" w:hAnsi="Cambria"/>
          <w:b w:val="0"/>
          <w:bCs/>
          <w:spacing w:val="-1"/>
          <w:sz w:val="22"/>
          <w:szCs w:val="22"/>
        </w:rPr>
        <w:t xml:space="preserve">napriek opakovaným akceptačným testom nebude </w:t>
      </w:r>
      <w:r w:rsidR="002520D6" w:rsidRPr="005571C1">
        <w:rPr>
          <w:rFonts w:ascii="Cambria" w:hAnsi="Cambria"/>
          <w:b w:val="0"/>
          <w:bCs/>
          <w:spacing w:val="-1"/>
          <w:sz w:val="22"/>
          <w:szCs w:val="22"/>
        </w:rPr>
        <w:t>dodaný i</w:t>
      </w:r>
      <w:r w:rsidR="00276BCD" w:rsidRPr="005571C1">
        <w:rPr>
          <w:rFonts w:ascii="Cambria" w:hAnsi="Cambria"/>
          <w:b w:val="0"/>
          <w:bCs/>
          <w:spacing w:val="-1"/>
          <w:sz w:val="22"/>
          <w:szCs w:val="22"/>
        </w:rPr>
        <w:t xml:space="preserve">nformačný systém alebo jeho časť bez vád, t. j. nebudú splnené všetky kritériá akceptácie podľa bodu </w:t>
      </w:r>
      <w:r w:rsidR="00744FD4" w:rsidRPr="005571C1">
        <w:rPr>
          <w:rFonts w:ascii="Cambria" w:hAnsi="Cambria"/>
          <w:b w:val="0"/>
          <w:bCs/>
          <w:spacing w:val="-1"/>
          <w:sz w:val="22"/>
          <w:szCs w:val="22"/>
        </w:rPr>
        <w:t xml:space="preserve">5.11. </w:t>
      </w:r>
      <w:r w:rsidR="00276BCD" w:rsidRPr="005571C1">
        <w:rPr>
          <w:rFonts w:ascii="Cambria" w:hAnsi="Cambria"/>
          <w:b w:val="0"/>
          <w:bCs/>
          <w:spacing w:val="-1"/>
          <w:sz w:val="22"/>
          <w:szCs w:val="22"/>
        </w:rPr>
        <w:t xml:space="preserve">tohto článku </w:t>
      </w:r>
      <w:r w:rsidR="0086507A" w:rsidRPr="005571C1">
        <w:rPr>
          <w:rFonts w:ascii="Cambria" w:hAnsi="Cambria"/>
          <w:b w:val="0"/>
          <w:bCs/>
          <w:spacing w:val="-1"/>
          <w:sz w:val="22"/>
          <w:szCs w:val="22"/>
        </w:rPr>
        <w:t>z</w:t>
      </w:r>
      <w:r w:rsidR="00276BCD" w:rsidRPr="005571C1">
        <w:rPr>
          <w:rFonts w:ascii="Cambria" w:hAnsi="Cambria"/>
          <w:b w:val="0"/>
          <w:bCs/>
          <w:spacing w:val="-1"/>
          <w:sz w:val="22"/>
          <w:szCs w:val="22"/>
        </w:rPr>
        <w:t>mluvy o</w:t>
      </w:r>
      <w:r w:rsidR="005571C1" w:rsidRPr="005571C1">
        <w:rPr>
          <w:rFonts w:ascii="Cambria" w:hAnsi="Cambria"/>
          <w:b w:val="0"/>
          <w:bCs/>
          <w:spacing w:val="-1"/>
          <w:sz w:val="22"/>
          <w:szCs w:val="22"/>
        </w:rPr>
        <w:t> </w:t>
      </w:r>
      <w:r w:rsidR="00276BCD" w:rsidRPr="005571C1">
        <w:rPr>
          <w:rFonts w:ascii="Cambria" w:hAnsi="Cambria"/>
          <w:b w:val="0"/>
          <w:bCs/>
          <w:spacing w:val="-1"/>
          <w:sz w:val="22"/>
          <w:szCs w:val="22"/>
        </w:rPr>
        <w:t>dielo</w:t>
      </w:r>
      <w:r w:rsidR="005571C1" w:rsidRPr="005571C1">
        <w:rPr>
          <w:rFonts w:ascii="Cambria" w:hAnsi="Cambria"/>
          <w:b w:val="0"/>
          <w:bCs/>
          <w:spacing w:val="-1"/>
          <w:sz w:val="22"/>
          <w:szCs w:val="22"/>
        </w:rPr>
        <w:t xml:space="preserve"> uvedené sa považuje za podstatné porušenie povinnosti podľa tejto zmluvy o dielo.</w:t>
      </w:r>
      <w:r w:rsidR="00276BCD" w:rsidRPr="005571C1">
        <w:rPr>
          <w:rFonts w:ascii="Cambria" w:hAnsi="Cambria"/>
          <w:b w:val="0"/>
          <w:bCs/>
          <w:spacing w:val="-1"/>
          <w:sz w:val="22"/>
          <w:szCs w:val="22"/>
        </w:rPr>
        <w:t>.</w:t>
      </w:r>
    </w:p>
    <w:p w14:paraId="170DF486" w14:textId="7B638020" w:rsidR="00276BCD" w:rsidRPr="00366C7E" w:rsidRDefault="00276BCD" w:rsidP="009A3D19">
      <w:pPr>
        <w:pStyle w:val="Heading1"/>
        <w:numPr>
          <w:ilvl w:val="1"/>
          <w:numId w:val="6"/>
        </w:numPr>
        <w:jc w:val="both"/>
        <w:rPr>
          <w:rFonts w:ascii="Cambria" w:hAnsi="Cambria"/>
          <w:b w:val="0"/>
          <w:bCs/>
          <w:spacing w:val="-1"/>
          <w:sz w:val="22"/>
          <w:szCs w:val="22"/>
        </w:rPr>
      </w:pPr>
      <w:bookmarkStart w:id="31"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8</w:t>
      </w:r>
      <w:r w:rsidRPr="00744FD4">
        <w:rPr>
          <w:rFonts w:ascii="Cambria" w:hAnsi="Cambria"/>
          <w:b w:val="0"/>
          <w:bCs/>
          <w:spacing w:val="-1"/>
          <w:sz w:val="22"/>
          <w:szCs w:val="22"/>
        </w:rPr>
        <w:t xml:space="preserve"> 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31"/>
      <w:r w:rsidR="00663E93" w:rsidRPr="00744FD4">
        <w:rPr>
          <w:rFonts w:ascii="Cambria" w:hAnsi="Cambria"/>
          <w:b w:val="0"/>
          <w:bCs/>
          <w:spacing w:val="-1"/>
          <w:sz w:val="22"/>
          <w:szCs w:val="22"/>
        </w:rPr>
        <w:t>8</w:t>
      </w:r>
      <w:r w:rsidRPr="00744FD4">
        <w:rPr>
          <w:rFonts w:ascii="Cambria" w:hAnsi="Cambria"/>
          <w:b w:val="0"/>
          <w:bCs/>
          <w:spacing w:val="-1"/>
          <w:sz w:val="22"/>
          <w:szCs w:val="22"/>
        </w:rPr>
        <w:t xml:space="preserve"> 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1313E192" w:rsidR="00276BCD" w:rsidRPr="00366C7E" w:rsidRDefault="00276BCD" w:rsidP="009A3D19">
      <w:pPr>
        <w:pStyle w:val="Heading1"/>
        <w:numPr>
          <w:ilvl w:val="1"/>
          <w:numId w:val="6"/>
        </w:numPr>
        <w:jc w:val="both"/>
        <w:rPr>
          <w:rFonts w:ascii="Cambria" w:hAnsi="Cambria"/>
          <w:b w:val="0"/>
          <w:bCs/>
          <w:spacing w:val="-1"/>
          <w:sz w:val="22"/>
          <w:szCs w:val="22"/>
        </w:rPr>
      </w:pPr>
      <w:bookmarkStart w:id="32"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xml:space="preserve">  opakovanie akceptačných testov </w:t>
      </w:r>
      <w:r w:rsidRPr="00366C7E">
        <w:rPr>
          <w:rFonts w:ascii="Cambria" w:hAnsi="Cambria"/>
          <w:b w:val="0"/>
          <w:bCs/>
          <w:spacing w:val="-1"/>
          <w:sz w:val="22"/>
          <w:szCs w:val="22"/>
        </w:rPr>
        <w:lastRenderedPageBreak/>
        <w:t xml:space="preserve">nie je potrebné, </w:t>
      </w:r>
      <w:r w:rsidR="00F3706D">
        <w:rPr>
          <w:rFonts w:ascii="Cambria" w:hAnsi="Cambria"/>
          <w:b w:val="0"/>
          <w:bCs/>
          <w:spacing w:val="-1"/>
          <w:sz w:val="22"/>
          <w:szCs w:val="22"/>
        </w:rPr>
        <w:t>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2"/>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3"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hotoviteľ je povinný odstrániť vady úrovne B do 5 (piatich) pracovných dní od podpísania zápisnice o akceptačnom teste a vady úrovne C do 10 (desiatich) pracovných dní od podpísania zápisnice o akceptačnom teste.</w:t>
      </w:r>
      <w:bookmarkEnd w:id="33"/>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4"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4"/>
    </w:p>
    <w:p w14:paraId="5A5CDAC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technickú dokumentáciu v slovenskom jazyku, ktorá bude obsahovať: postup skompilovania aplikácie, dátový model Informačného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0D1A9AC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p>
    <w:p w14:paraId="2088194E" w14:textId="21D3DDD2"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5.13.</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p>
    <w:p w14:paraId="203F8181" w14:textId="56C2034F"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 xml:space="preserve">bodu 5.14. </w:t>
      </w:r>
      <w:r w:rsidRPr="00A279B6">
        <w:rPr>
          <w:rFonts w:ascii="Cambria" w:hAnsi="Cambria"/>
          <w:b w:val="0"/>
          <w:bCs/>
          <w:spacing w:val="-1"/>
          <w:sz w:val="22"/>
          <w:szCs w:val="22"/>
        </w:rPr>
        <w:t xml:space="preserve">preveriť spôsob zapracovania pripomienok a v prípade 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068927A1"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Márne uplynutie ktorejkoľvek z lehôt v zmysle bodu </w:t>
      </w:r>
      <w:r w:rsidR="00E61BF0">
        <w:rPr>
          <w:rFonts w:ascii="Cambria" w:hAnsi="Cambria"/>
          <w:b w:val="0"/>
          <w:bCs/>
          <w:spacing w:val="-1"/>
          <w:sz w:val="22"/>
          <w:szCs w:val="22"/>
        </w:rPr>
        <w:t>5.1</w:t>
      </w:r>
      <w:r w:rsidR="004E6959">
        <w:rPr>
          <w:rFonts w:ascii="Cambria" w:hAnsi="Cambria"/>
          <w:b w:val="0"/>
          <w:bCs/>
          <w:spacing w:val="-1"/>
          <w:sz w:val="22"/>
          <w:szCs w:val="22"/>
        </w:rPr>
        <w:t>3</w:t>
      </w:r>
      <w:r w:rsidR="0055465A">
        <w:rPr>
          <w:rFonts w:ascii="Cambria" w:hAnsi="Cambria"/>
          <w:b w:val="0"/>
          <w:bCs/>
          <w:spacing w:val="-1"/>
          <w:sz w:val="22"/>
          <w:szCs w:val="22"/>
        </w:rPr>
        <w:t>.</w:t>
      </w:r>
      <w:r w:rsidR="00477086">
        <w:rPr>
          <w:rFonts w:ascii="Cambria" w:hAnsi="Cambria"/>
          <w:b w:val="0"/>
          <w:bCs/>
          <w:spacing w:val="-1"/>
          <w:sz w:val="22"/>
          <w:szCs w:val="22"/>
        </w:rPr>
        <w:t xml:space="preserve"> a 5.1</w:t>
      </w:r>
      <w:r w:rsidR="004E6959">
        <w:rPr>
          <w:rFonts w:ascii="Cambria" w:hAnsi="Cambria"/>
          <w:b w:val="0"/>
          <w:bCs/>
          <w:spacing w:val="-1"/>
          <w:sz w:val="22"/>
          <w:szCs w:val="22"/>
        </w:rPr>
        <w:t>4</w:t>
      </w:r>
      <w:r w:rsidR="0055465A">
        <w:rPr>
          <w:rFonts w:ascii="Cambria" w:hAnsi="Cambria"/>
          <w:b w:val="0"/>
          <w:bCs/>
          <w:spacing w:val="-1"/>
          <w:sz w:val="22"/>
          <w:szCs w:val="22"/>
        </w:rPr>
        <w:t>.</w:t>
      </w:r>
      <w:r w:rsidR="00477086">
        <w:rPr>
          <w:rFonts w:ascii="Cambria" w:hAnsi="Cambria"/>
          <w:b w:val="0"/>
          <w:bCs/>
          <w:spacing w:val="-1"/>
          <w:sz w:val="22"/>
          <w:szCs w:val="22"/>
        </w:rPr>
        <w:t xml:space="preserve"> tejto </w:t>
      </w:r>
      <w:r w:rsidR="000F22B6">
        <w:rPr>
          <w:rFonts w:ascii="Cambria" w:hAnsi="Cambria"/>
          <w:b w:val="0"/>
          <w:bCs/>
          <w:spacing w:val="-1"/>
          <w:sz w:val="22"/>
          <w:szCs w:val="22"/>
        </w:rPr>
        <w:t>z</w:t>
      </w:r>
      <w:r w:rsidRPr="00A279B6">
        <w:rPr>
          <w:rFonts w:ascii="Cambria" w:hAnsi="Cambria"/>
          <w:b w:val="0"/>
          <w:bCs/>
          <w:spacing w:val="-1"/>
          <w:sz w:val="22"/>
          <w:szCs w:val="22"/>
        </w:rPr>
        <w:t xml:space="preserve">mluvy o dielo spôsobené nekonaním </w:t>
      </w:r>
      <w:r w:rsidR="00477086">
        <w:rPr>
          <w:rFonts w:ascii="Cambria" w:hAnsi="Cambria"/>
          <w:b w:val="0"/>
          <w:bCs/>
          <w:spacing w:val="-1"/>
          <w:sz w:val="22"/>
          <w:szCs w:val="22"/>
        </w:rPr>
        <w:t>z</w:t>
      </w:r>
      <w:r w:rsidRPr="00A279B6">
        <w:rPr>
          <w:rFonts w:ascii="Cambria" w:hAnsi="Cambria"/>
          <w:b w:val="0"/>
          <w:bCs/>
          <w:spacing w:val="-1"/>
          <w:sz w:val="22"/>
          <w:szCs w:val="22"/>
        </w:rPr>
        <w:t xml:space="preserve">mluvnej strany je omeškaním druhej </w:t>
      </w:r>
      <w:r w:rsidR="00E61BF0">
        <w:rPr>
          <w:rFonts w:ascii="Cambria" w:hAnsi="Cambria"/>
          <w:b w:val="0"/>
          <w:bCs/>
          <w:spacing w:val="-1"/>
          <w:sz w:val="22"/>
          <w:szCs w:val="22"/>
        </w:rPr>
        <w:t>z</w:t>
      </w:r>
      <w:r w:rsidRPr="00A279B6">
        <w:rPr>
          <w:rFonts w:ascii="Cambria" w:hAnsi="Cambria"/>
          <w:b w:val="0"/>
          <w:bCs/>
          <w:spacing w:val="-1"/>
          <w:sz w:val="22"/>
          <w:szCs w:val="22"/>
        </w:rPr>
        <w:t xml:space="preserve">mluvnej strany. </w:t>
      </w:r>
    </w:p>
    <w:p w14:paraId="5FD16F2F" w14:textId="22207A99"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Vytvorené zdrojové kódy spôsobom  ako je dohodnuté v</w:t>
      </w:r>
      <w:r w:rsidR="00E61BF0">
        <w:rPr>
          <w:rFonts w:ascii="Cambria" w:hAnsi="Cambria"/>
          <w:b w:val="0"/>
          <w:bCs/>
          <w:spacing w:val="-1"/>
          <w:sz w:val="22"/>
          <w:szCs w:val="22"/>
        </w:rPr>
        <w:t> </w:t>
      </w:r>
      <w:r w:rsidRPr="00A279B6">
        <w:rPr>
          <w:rFonts w:ascii="Cambria" w:hAnsi="Cambria"/>
          <w:b w:val="0"/>
          <w:bCs/>
          <w:spacing w:val="-1"/>
          <w:sz w:val="22"/>
          <w:szCs w:val="22"/>
        </w:rPr>
        <w:t>čl</w:t>
      </w:r>
      <w:r w:rsidR="00E61BF0">
        <w:rPr>
          <w:rFonts w:ascii="Cambria" w:hAnsi="Cambria"/>
          <w:b w:val="0"/>
          <w:bCs/>
          <w:spacing w:val="-1"/>
          <w:sz w:val="22"/>
          <w:szCs w:val="22"/>
        </w:rPr>
        <w:t xml:space="preserve">ánku IX </w:t>
      </w:r>
      <w:r w:rsidRPr="00A279B6">
        <w:rPr>
          <w:rFonts w:ascii="Cambria" w:hAnsi="Cambria"/>
          <w:b w:val="0"/>
          <w:bCs/>
          <w:spacing w:val="-1"/>
          <w:sz w:val="22"/>
          <w:szCs w:val="22"/>
        </w:rPr>
        <w:t xml:space="preserve">tejto </w:t>
      </w:r>
      <w:r w:rsidR="00E61BF0">
        <w:rPr>
          <w:rFonts w:ascii="Cambria" w:hAnsi="Cambria"/>
          <w:b w:val="0"/>
          <w:bCs/>
          <w:spacing w:val="-1"/>
          <w:sz w:val="22"/>
          <w:szCs w:val="22"/>
        </w:rPr>
        <w:t>z</w:t>
      </w:r>
      <w:r w:rsidRPr="00A279B6">
        <w:rPr>
          <w:rFonts w:ascii="Cambria" w:hAnsi="Cambria"/>
          <w:b w:val="0"/>
          <w:bCs/>
          <w:spacing w:val="-1"/>
          <w:sz w:val="22"/>
          <w:szCs w:val="22"/>
        </w:rPr>
        <w:t>mluvy o dielo,</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5"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w:t>
      </w:r>
      <w:r w:rsidRPr="00144F06">
        <w:rPr>
          <w:rFonts w:ascii="Cambria" w:hAnsi="Cambria"/>
          <w:b w:val="0"/>
          <w:bCs/>
          <w:spacing w:val="-1"/>
          <w:sz w:val="22"/>
          <w:szCs w:val="22"/>
        </w:rPr>
        <w:lastRenderedPageBreak/>
        <w:t xml:space="preserve">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5"/>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6"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6"/>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lastRenderedPageBreak/>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7" w:name="_Ref165109477"/>
      <w:bookmarkStart w:id="38" w:name="_Ref519621508"/>
    </w:p>
    <w:p w14:paraId="46721163" w14:textId="6DFB7462"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9" w:name="_Ref95809457"/>
      <w:bookmarkStart w:id="40"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 xml:space="preserve">nformačného systému až do uplynutia </w:t>
      </w:r>
      <w:r w:rsidR="001B3AEE">
        <w:rPr>
          <w:rFonts w:ascii="Cambria" w:hAnsi="Cambria" w:cs="Arial"/>
        </w:rPr>
        <w:t>24</w:t>
      </w:r>
      <w:r w:rsidR="00276BCD" w:rsidRPr="00EE0174">
        <w:rPr>
          <w:rFonts w:ascii="Cambria" w:hAnsi="Cambria" w:cs="Arial"/>
        </w:rPr>
        <w:t xml:space="preserve"> </w:t>
      </w:r>
      <w:r w:rsidR="00276BCD" w:rsidRPr="00451D82">
        <w:rPr>
          <w:rFonts w:ascii="Cambria" w:hAnsi="Cambria" w:cs="Arial"/>
        </w:rPr>
        <w:t>(slovom</w:t>
      </w:r>
      <w:r w:rsidR="00E12452">
        <w:rPr>
          <w:rFonts w:ascii="Cambria" w:hAnsi="Cambria" w:cs="Arial"/>
        </w:rPr>
        <w:t>:</w:t>
      </w:r>
      <w:r w:rsidR="00276BCD" w:rsidRPr="00451D82">
        <w:rPr>
          <w:rFonts w:ascii="Cambria" w:hAnsi="Cambria" w:cs="Arial"/>
        </w:rPr>
        <w:t xml:space="preserve"> </w:t>
      </w:r>
      <w:r w:rsidR="001B3AEE">
        <w:rPr>
          <w:rFonts w:ascii="Cambria" w:hAnsi="Cambria" w:cs="Arial"/>
        </w:rPr>
        <w:t>dvadsiatich štyroch</w:t>
      </w:r>
      <w:r w:rsidR="00276BCD" w:rsidRPr="00451D82">
        <w:rPr>
          <w:rFonts w:ascii="Cambria" w:hAnsi="Cambria" w:cs="Arial"/>
        </w:rPr>
        <w:t>) mesiacov</w:t>
      </w:r>
      <w:r w:rsidR="00276BCD" w:rsidRPr="00EE0174">
        <w:rPr>
          <w:rFonts w:ascii="Cambria" w:hAnsi="Cambria" w:cs="Arial"/>
        </w:rPr>
        <w:t xml:space="preserve"> </w:t>
      </w:r>
      <w:r w:rsidR="00276BCD" w:rsidRPr="00451D82">
        <w:rPr>
          <w:rFonts w:ascii="Cambria" w:hAnsi="Cambria" w:cs="Arial"/>
        </w:rPr>
        <w:t>(</w:t>
      </w:r>
      <w:r w:rsidR="00E24A3A">
        <w:rPr>
          <w:rFonts w:ascii="Cambria" w:hAnsi="Cambria" w:cs="Arial"/>
        </w:rPr>
        <w:t xml:space="preserve">vrátane </w:t>
      </w:r>
      <w:r w:rsidR="00276BCD" w:rsidRPr="00451D82">
        <w:rPr>
          <w:rFonts w:ascii="Cambria" w:hAnsi="Cambria" w:cs="Arial"/>
        </w:rPr>
        <w:t>skúšobnej prevádzky</w:t>
      </w:r>
      <w:r w:rsidR="00386F1C">
        <w:rPr>
          <w:rFonts w:ascii="Cambria" w:hAnsi="Cambria" w:cs="Arial"/>
        </w:rPr>
        <w:t xml:space="preserve">, ktorá trvá </w:t>
      </w:r>
      <w:r w:rsidR="00BB16D2">
        <w:rPr>
          <w:rFonts w:ascii="Cambria" w:hAnsi="Cambria" w:cs="Arial"/>
        </w:rPr>
        <w:t>2</w:t>
      </w:r>
      <w:r w:rsidR="00386F1C">
        <w:rPr>
          <w:rFonts w:ascii="Cambria" w:hAnsi="Cambria" w:cs="Arial"/>
        </w:rPr>
        <w:t xml:space="preserve"> mesiac</w:t>
      </w:r>
      <w:r w:rsidR="00BB16D2">
        <w:rPr>
          <w:rFonts w:ascii="Cambria" w:hAnsi="Cambria" w:cs="Arial"/>
        </w:rPr>
        <w:t>e</w:t>
      </w:r>
      <w:r w:rsidR="00276BCD" w:rsidRPr="00451D82">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7"/>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9"/>
      <w:r w:rsidR="00276BCD" w:rsidRPr="00EE0174">
        <w:rPr>
          <w:rFonts w:ascii="Cambria" w:hAnsi="Cambria" w:cs="Arial"/>
        </w:rPr>
        <w:t xml:space="preserve"> </w:t>
      </w:r>
      <w:bookmarkEnd w:id="38"/>
      <w:bookmarkEnd w:id="40"/>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41"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41"/>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2"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2"/>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3"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3"/>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59BEF5E2"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t xml:space="preserve">Nahlásenie vady zo strany objednávateľa sa vykoná prioritne prostredníctvom objednávateľovho IS Service desk. </w:t>
      </w:r>
      <w:r w:rsidRPr="00A33450">
        <w:rPr>
          <w:rFonts w:ascii="Cambria" w:hAnsi="Cambria" w:cs="Arial"/>
        </w:rPr>
        <w:t xml:space="preserve">V rámci nahlásenia vady </w:t>
      </w:r>
      <w:r>
        <w:rPr>
          <w:rFonts w:ascii="Cambria" w:hAnsi="Cambria" w:cs="Arial"/>
        </w:rPr>
        <w:t>o</w:t>
      </w:r>
      <w:r w:rsidRPr="00A33450">
        <w:rPr>
          <w:rFonts w:ascii="Cambria" w:hAnsi="Cambria" w:cs="Arial"/>
        </w:rPr>
        <w:t xml:space="preserve">bjednávateľ najmä opíše, ako </w:t>
      </w:r>
      <w:r w:rsidRPr="00A33450">
        <w:rPr>
          <w:rFonts w:ascii="Cambria" w:hAnsi="Cambria" w:cs="Arial"/>
        </w:rPr>
        <w:lastRenderedPageBreak/>
        <w:t>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IS Service desk</w:t>
      </w:r>
      <w:r w:rsidRPr="00A33450">
        <w:rPr>
          <w:rFonts w:ascii="Cambria" w:hAnsi="Cambria" w:cs="Arial"/>
        </w:rPr>
        <w:t xml:space="preserve"> a 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4" w:name="_Toc45812004"/>
      <w:bookmarkStart w:id="45" w:name="_Toc11721337"/>
      <w:bookmarkStart w:id="46" w:name="_Toc11721937"/>
      <w:bookmarkEnd w:id="17"/>
      <w:r w:rsidRPr="00F51895">
        <w:rPr>
          <w:rFonts w:ascii="Cambria" w:hAnsi="Cambria"/>
          <w:sz w:val="22"/>
          <w:szCs w:val="22"/>
        </w:rPr>
        <w:t xml:space="preserve">Článok </w:t>
      </w:r>
      <w:r w:rsidR="00936C7E">
        <w:rPr>
          <w:rFonts w:ascii="Cambria" w:hAnsi="Cambria"/>
          <w:sz w:val="22"/>
          <w:szCs w:val="22"/>
        </w:rPr>
        <w:t>VIII</w:t>
      </w:r>
      <w:bookmarkEnd w:id="44"/>
    </w:p>
    <w:bookmarkEnd w:id="45"/>
    <w:bookmarkEnd w:id="46"/>
    <w:p w14:paraId="13405189" w14:textId="4B30E956" w:rsidR="00B30410" w:rsidRPr="00F51895" w:rsidRDefault="00D60B74" w:rsidP="00D60B74">
      <w:pPr>
        <w:pStyle w:val="Heading1"/>
        <w:keepLines/>
        <w:spacing w:before="0" w:after="240"/>
        <w:jc w:val="center"/>
        <w:rPr>
          <w:rFonts w:ascii="Cambria" w:hAnsi="Cambria"/>
          <w:sz w:val="22"/>
          <w:szCs w:val="22"/>
        </w:rPr>
      </w:pPr>
      <w:r w:rsidRPr="00F51895">
        <w:rPr>
          <w:rFonts w:ascii="Cambria" w:hAnsi="Cambria"/>
          <w:sz w:val="22"/>
          <w:szCs w:val="22"/>
        </w:rPr>
        <w:t>Kľúčový 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7"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7"/>
      <w:r w:rsidR="00773575" w:rsidRPr="00556B9F">
        <w:rPr>
          <w:rFonts w:ascii="Cambria" w:hAnsi="Cambria" w:cs="Arial"/>
        </w:rPr>
        <w:t>.</w:t>
      </w:r>
    </w:p>
    <w:p w14:paraId="3BAE0AEE" w14:textId="78A4A261"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Pr="00556B9F">
        <w:rPr>
          <w:rFonts w:ascii="Cambria" w:hAnsi="Cambria" w:cs="Arial"/>
        </w:rPr>
        <w:t xml:space="preserve"> </w:t>
      </w:r>
      <w:r w:rsidR="009F10A4" w:rsidRPr="00556B9F">
        <w:rPr>
          <w:rFonts w:ascii="Cambria" w:hAnsi="Cambria" w:cs="Arial"/>
        </w:rPr>
        <w:t xml:space="preserve"> </w:t>
      </w:r>
      <w:r w:rsidR="00B754A8" w:rsidRPr="00556B9F">
        <w:rPr>
          <w:rFonts w:ascii="Cambria" w:hAnsi="Cambria" w:cs="Arial"/>
        </w:rPr>
        <w:t xml:space="preserve">v rozsahu počtu </w:t>
      </w:r>
      <w:r w:rsidR="00451504">
        <w:rPr>
          <w:rFonts w:ascii="Cambria" w:hAnsi="Cambria" w:cs="Arial"/>
        </w:rPr>
        <w:t>osobodní</w:t>
      </w:r>
      <w:r w:rsidR="00451504" w:rsidRPr="00556B9F">
        <w:rPr>
          <w:rFonts w:ascii="Cambria" w:hAnsi="Cambria" w:cs="Arial"/>
        </w:rPr>
        <w:t xml:space="preserve"> </w:t>
      </w:r>
      <w:r w:rsidR="009F10A4" w:rsidRPr="00556B9F">
        <w:rPr>
          <w:rFonts w:ascii="Cambria" w:hAnsi="Cambria" w:cs="Arial"/>
        </w:rPr>
        <w:t>podľa</w:t>
      </w:r>
      <w:r w:rsidR="00B754A8" w:rsidRPr="00556B9F">
        <w:rPr>
          <w:rFonts w:ascii="Cambria" w:hAnsi="Cambria" w:cs="Arial"/>
        </w:rPr>
        <w:t> príloh</w:t>
      </w:r>
      <w:r w:rsidR="009F10A4" w:rsidRPr="00556B9F">
        <w:rPr>
          <w:rFonts w:ascii="Cambria" w:hAnsi="Cambria" w:cs="Arial"/>
        </w:rPr>
        <w:t>y</w:t>
      </w:r>
      <w:r w:rsidR="00B754A8" w:rsidRPr="00556B9F">
        <w:rPr>
          <w:rFonts w:ascii="Cambria" w:hAnsi="Cambria" w:cs="Arial"/>
        </w:rPr>
        <w:t xml:space="preserve"> č. 5 tejto zmluvy</w:t>
      </w:r>
      <w:r w:rsidR="00D60B74" w:rsidRPr="00556B9F">
        <w:rPr>
          <w:rFonts w:ascii="Cambria" w:hAnsi="Cambria" w:cs="Arial"/>
        </w:rPr>
        <w:t xml:space="preserve"> o dielo</w:t>
      </w:r>
      <w:r w:rsidR="002535F4" w:rsidRPr="00556B9F">
        <w:rPr>
          <w:rFonts w:ascii="Cambria" w:hAnsi="Cambria" w:cs="Arial"/>
        </w:rPr>
        <w:t>, čo bude dokladovať mesačnými výkazmi odpracovaných hodín</w:t>
      </w:r>
      <w:r w:rsidR="007C6BBE">
        <w:rPr>
          <w:rFonts w:ascii="Cambria" w:hAnsi="Cambria" w:cs="Arial"/>
        </w:rPr>
        <w:t xml:space="preserve"> (výkazmi práce)</w:t>
      </w:r>
      <w:r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8" w:name="_Ref31966983"/>
      <w:bookmarkStart w:id="49" w:name="_Ref95813144"/>
      <w:bookmarkStart w:id="50" w:name="_Ref531066414"/>
      <w:bookmarkStart w:id="51" w:name="_Toc45812007"/>
      <w:bookmarkStart w:id="52" w:name="_Toc11721339"/>
      <w:bookmarkStart w:id="53" w:name="_Toc11721939"/>
      <w:bookmarkStart w:id="54"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397418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8"/>
      <w:r w:rsidRPr="008B028C">
        <w:rPr>
          <w:rFonts w:ascii="Cambria" w:hAnsi="Cambria" w:cs="Arial"/>
        </w:rPr>
        <w:t xml:space="preserve">, ktoré je súčasťou </w:t>
      </w:r>
      <w:r w:rsidR="00ED4409">
        <w:rPr>
          <w:rFonts w:ascii="Cambria" w:hAnsi="Cambria" w:cs="Arial"/>
        </w:rPr>
        <w:t>dodaného i</w:t>
      </w:r>
      <w:r w:rsidRPr="008B028C">
        <w:rPr>
          <w:rFonts w:ascii="Cambria" w:hAnsi="Cambria" w:cs="Arial"/>
        </w:rPr>
        <w:t>nformačného systému.</w:t>
      </w:r>
      <w:bookmarkEnd w:id="49"/>
    </w:p>
    <w:p w14:paraId="41FA5267" w14:textId="2C398831" w:rsidR="00CF1D70" w:rsidRPr="008B028C" w:rsidRDefault="00CF1D70" w:rsidP="009A3D19">
      <w:pPr>
        <w:pStyle w:val="MLOdsek"/>
        <w:numPr>
          <w:ilvl w:val="1"/>
          <w:numId w:val="6"/>
        </w:numPr>
        <w:tabs>
          <w:tab w:val="num" w:pos="1305"/>
        </w:tabs>
        <w:spacing w:before="120" w:line="240" w:lineRule="auto"/>
        <w:rPr>
          <w:rFonts w:ascii="Cambria" w:hAnsi="Cambria" w:cs="Arial"/>
        </w:rPr>
      </w:pPr>
      <w:bookmarkStart w:id="55" w:name="_Ref31967001"/>
      <w:r w:rsidRPr="008B028C">
        <w:rPr>
          <w:rFonts w:ascii="Cambria" w:hAnsi="Cambria" w:cs="Arial"/>
        </w:rPr>
        <w:t xml:space="preserve">Zhotoviteľ je povinný pri akceptácii </w:t>
      </w:r>
      <w:r w:rsidR="001D205B">
        <w:rPr>
          <w:rFonts w:ascii="Cambria" w:hAnsi="Cambria" w:cs="Arial"/>
        </w:rPr>
        <w:t>dodávaného i</w:t>
      </w:r>
      <w:r w:rsidRPr="008B028C">
        <w:rPr>
          <w:rFonts w:ascii="Cambria" w:hAnsi="Cambria" w:cs="Arial"/>
        </w:rPr>
        <w:t xml:space="preserve">nformačného systému alebo jeho časti odovzdať </w:t>
      </w:r>
      <w:r w:rsidR="00DA2E0A">
        <w:rPr>
          <w:rFonts w:ascii="Cambria" w:hAnsi="Cambria" w:cs="Arial"/>
        </w:rPr>
        <w:t>o</w:t>
      </w:r>
      <w:r w:rsidRPr="008B028C">
        <w:rPr>
          <w:rFonts w:ascii="Cambria" w:hAnsi="Cambria" w:cs="Arial"/>
        </w:rPr>
        <w:t xml:space="preserve">bjednávateľovi Vytvorený zdrojový kód v jeho úplnej aktuálnej podobe, zapečatený, na neprepisovateľnom technickom nosiči dát s označením časti a verzie </w:t>
      </w:r>
      <w:r w:rsidR="00DA2E0A">
        <w:rPr>
          <w:rFonts w:ascii="Cambria" w:hAnsi="Cambria" w:cs="Arial"/>
        </w:rPr>
        <w:t>dodaného i</w:t>
      </w:r>
      <w:r w:rsidRPr="008B028C">
        <w:rPr>
          <w:rFonts w:ascii="Cambria" w:hAnsi="Cambria" w:cs="Arial"/>
        </w:rPr>
        <w:t xml:space="preserve">nformačného systému, ktorej sa týka. Za odovzdanie Vytvoreného zdrojového kódu </w:t>
      </w:r>
      <w:r w:rsidR="0075743C">
        <w:rPr>
          <w:rFonts w:ascii="Cambria" w:hAnsi="Cambria" w:cs="Arial"/>
        </w:rPr>
        <w:t>o</w:t>
      </w:r>
      <w:r w:rsidRPr="008B028C">
        <w:rPr>
          <w:rFonts w:ascii="Cambria" w:hAnsi="Cambria" w:cs="Arial"/>
        </w:rPr>
        <w:t xml:space="preserve">bjednávateľovi sa na účely tejto </w:t>
      </w:r>
      <w:r w:rsidR="009E6EF5">
        <w:rPr>
          <w:rFonts w:ascii="Cambria" w:hAnsi="Cambria" w:cs="Arial"/>
        </w:rPr>
        <w:t>z</w:t>
      </w:r>
      <w:r w:rsidRPr="008B028C">
        <w:rPr>
          <w:rFonts w:ascii="Cambria" w:hAnsi="Cambria" w:cs="Arial"/>
        </w:rPr>
        <w:t xml:space="preserve">mluvy o dielo rozumie odovzdanie technického nosiča dát </w:t>
      </w:r>
      <w:r w:rsidR="009E6EF5">
        <w:rPr>
          <w:rFonts w:ascii="Cambria" w:hAnsi="Cambria" w:cs="Arial"/>
        </w:rPr>
        <w:t>o</w:t>
      </w:r>
      <w:r w:rsidRPr="008B028C">
        <w:rPr>
          <w:rFonts w:ascii="Cambria" w:hAnsi="Cambria" w:cs="Arial"/>
        </w:rPr>
        <w:t xml:space="preserve">právnenej osobe </w:t>
      </w:r>
      <w:r w:rsidR="00440E03">
        <w:rPr>
          <w:rFonts w:ascii="Cambria" w:hAnsi="Cambria" w:cs="Arial"/>
        </w:rPr>
        <w:t>o</w:t>
      </w:r>
      <w:r w:rsidRPr="008B028C">
        <w:rPr>
          <w:rFonts w:ascii="Cambria" w:hAnsi="Cambria" w:cs="Arial"/>
        </w:rPr>
        <w:t xml:space="preserve">bjednávateľa. O odovzdaní a prevzatí technického nosiča dát bude oboma </w:t>
      </w:r>
      <w:r w:rsidR="00440E03">
        <w:rPr>
          <w:rFonts w:ascii="Cambria" w:hAnsi="Cambria" w:cs="Arial"/>
        </w:rPr>
        <w:t>z</w:t>
      </w:r>
      <w:r w:rsidRPr="008B028C">
        <w:rPr>
          <w:rFonts w:ascii="Cambria" w:hAnsi="Cambria" w:cs="Arial"/>
        </w:rPr>
        <w:t>mluvnými stranami spísaný a podpísaný preberací protokol.</w:t>
      </w:r>
      <w:bookmarkEnd w:id="55"/>
      <w:r w:rsidRPr="008B028C">
        <w:rPr>
          <w:rFonts w:ascii="Cambria" w:hAnsi="Cambria" w:cs="Arial"/>
        </w:rPr>
        <w:t xml:space="preserve"> </w:t>
      </w:r>
    </w:p>
    <w:p w14:paraId="3B38210B" w14:textId="643F775E" w:rsidR="00CF1D70" w:rsidRPr="008B028C" w:rsidRDefault="0066065C" w:rsidP="009A3D19">
      <w:pPr>
        <w:pStyle w:val="MLOdsek"/>
        <w:numPr>
          <w:ilvl w:val="1"/>
          <w:numId w:val="6"/>
        </w:numPr>
        <w:tabs>
          <w:tab w:val="num" w:pos="1305"/>
        </w:tabs>
        <w:spacing w:before="120" w:line="240" w:lineRule="auto"/>
        <w:rPr>
          <w:rFonts w:ascii="Cambria" w:hAnsi="Cambria" w:cs="Arial"/>
        </w:rPr>
      </w:pPr>
      <w:bookmarkStart w:id="56" w:name="_Ref95810057"/>
      <w:r>
        <w:rPr>
          <w:rFonts w:ascii="Cambria" w:hAnsi="Cambria" w:cs="Arial"/>
        </w:rPr>
        <w:t>Dodávaný i</w:t>
      </w:r>
      <w:r w:rsidR="00CF1D70" w:rsidRPr="008B028C">
        <w:rPr>
          <w:rFonts w:ascii="Cambria" w:hAnsi="Cambria" w:cs="Arial"/>
        </w:rPr>
        <w:t>nformačný systém (Dielo) v súlade s</w:t>
      </w:r>
      <w:r w:rsidR="00362179">
        <w:rPr>
          <w:rFonts w:ascii="Cambria" w:hAnsi="Cambria" w:cs="Arial"/>
        </w:rPr>
        <w:t xml:space="preserve">o </w:t>
      </w:r>
      <w:r w:rsidR="004D21B5">
        <w:rPr>
          <w:rFonts w:ascii="Cambria" w:hAnsi="Cambria" w:cs="Arial"/>
        </w:rPr>
        <w:t>p</w:t>
      </w:r>
      <w:r w:rsidR="002943DA">
        <w:rPr>
          <w:rFonts w:ascii="Cambria" w:hAnsi="Cambria" w:cs="Arial"/>
        </w:rPr>
        <w:t>ožiadavkami na predmet zmluvy špecifikovaný v Prílohe č. 2 zmluvy o</w:t>
      </w:r>
      <w:r w:rsidR="00EE41CB">
        <w:rPr>
          <w:rFonts w:ascii="Cambria" w:hAnsi="Cambria" w:cs="Arial"/>
        </w:rPr>
        <w:t> </w:t>
      </w:r>
      <w:r w:rsidR="002943DA">
        <w:rPr>
          <w:rFonts w:ascii="Cambria" w:hAnsi="Cambria" w:cs="Arial"/>
        </w:rPr>
        <w:t>dielo</w:t>
      </w:r>
      <w:bookmarkEnd w:id="56"/>
      <w:r w:rsidR="00EE41CB">
        <w:rPr>
          <w:rFonts w:ascii="Cambria" w:hAnsi="Cambria" w:cs="Arial"/>
        </w:rPr>
        <w:t xml:space="preserve"> neobsahuje Modul.</w:t>
      </w:r>
    </w:p>
    <w:p w14:paraId="3060410B" w14:textId="4FAC13B0" w:rsidR="00CF1D70" w:rsidRPr="008B028C" w:rsidRDefault="00DE2CF4" w:rsidP="009A3D19">
      <w:pPr>
        <w:pStyle w:val="MLOdsek"/>
        <w:numPr>
          <w:ilvl w:val="1"/>
          <w:numId w:val="6"/>
        </w:numPr>
        <w:tabs>
          <w:tab w:val="num" w:pos="1305"/>
        </w:tabs>
        <w:spacing w:before="120" w:line="240" w:lineRule="auto"/>
        <w:rPr>
          <w:rFonts w:ascii="Cambria" w:hAnsi="Cambria" w:cs="Arial"/>
        </w:rPr>
      </w:pPr>
      <w:r>
        <w:rPr>
          <w:rFonts w:ascii="Cambria" w:hAnsi="Cambria" w:cs="Arial"/>
        </w:rPr>
        <w:lastRenderedPageBreak/>
        <w:t xml:space="preserve">Dňom </w:t>
      </w:r>
      <w:r w:rsidR="00CF1D70" w:rsidRPr="008B028C">
        <w:rPr>
          <w:rFonts w:ascii="Cambria" w:hAnsi="Cambria" w:cs="Arial"/>
        </w:rPr>
        <w:t>prevzatia</w:t>
      </w:r>
      <w:r>
        <w:rPr>
          <w:rFonts w:ascii="Cambria" w:hAnsi="Cambria" w:cs="Arial"/>
        </w:rPr>
        <w:t xml:space="preserve"> dodaného i</w:t>
      </w:r>
      <w:r w:rsidR="00CF1D70" w:rsidRPr="008B028C">
        <w:rPr>
          <w:rFonts w:ascii="Cambria" w:hAnsi="Cambria" w:cs="Arial"/>
        </w:rPr>
        <w:t xml:space="preserve">nformačného systému sa prístup k vytvorenému zdrojovému kódu vo vývojovom a produkčnom prostredí, vrátane nakladania s týmto zdrojovým kódom, začne riadiť podmienkami dohodnutými v </w:t>
      </w:r>
      <w:r>
        <w:rPr>
          <w:rFonts w:ascii="Cambria" w:hAnsi="Cambria" w:cs="Arial"/>
        </w:rPr>
        <w:t>Servisnej</w:t>
      </w:r>
      <w:r w:rsidR="00CF1D70" w:rsidRPr="008B028C">
        <w:rPr>
          <w:rFonts w:ascii="Cambria" w:hAnsi="Cambria" w:cs="Arial"/>
        </w:rPr>
        <w:t xml:space="preserve"> zmluve. </w:t>
      </w:r>
    </w:p>
    <w:p w14:paraId="77ABFEA3" w14:textId="77777777"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Vytvorený zdrojový kód musí byť v podobe, ktorá zaručuje možnosť overenia, že je kompletný a v správnej verzii, t. j. v takej, ktorá umožňuje kompiláciu, inštaláciu, spustenie a overenie funkcionality, a to vrátane kompletnej dokumentácie zdrojového kódu (napr. interfejsov a pod.) takejto Informačného systému alebo jeho časti. Zároveň odovzdaný Vytvorený zdrojový kód musí byť pokrytý testami (aspoň na 90%) a dosahovať rating kvality (statická analýza kódu) podľa CodeClimate/CodeQL a pod. (minimálne stupňa B). </w:t>
      </w:r>
      <w:bookmarkEnd w:id="50"/>
    </w:p>
    <w:p w14:paraId="1C54A389" w14:textId="4C6428D9"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Pre zamedzenie pochybností, povinnosti </w:t>
      </w:r>
      <w:r w:rsidR="00770BCB">
        <w:rPr>
          <w:rFonts w:ascii="Cambria" w:hAnsi="Cambria" w:cs="Arial"/>
        </w:rPr>
        <w:t>z</w:t>
      </w:r>
      <w:r w:rsidRPr="008B028C">
        <w:rPr>
          <w:rFonts w:ascii="Cambria" w:hAnsi="Cambria" w:cs="Arial"/>
        </w:rPr>
        <w:t xml:space="preserve">hotoviteľa týkajúce sa Vytvoreného zdrojového kódu platí i na akékoľvek opravy, zmeny, doplnenia, upgrade alebo update Vytvoreného zdrojového kódu a/alebo vyššie uvedenej dokumentácie, ku ktorým dôjde pri plnení tejto </w:t>
      </w:r>
      <w:r w:rsidR="00770BCB">
        <w:rPr>
          <w:rFonts w:ascii="Cambria" w:hAnsi="Cambria" w:cs="Arial"/>
        </w:rPr>
        <w:t>z</w:t>
      </w:r>
      <w:r w:rsidRPr="008B028C">
        <w:rPr>
          <w:rFonts w:ascii="Cambria" w:hAnsi="Cambria" w:cs="Arial"/>
        </w:rPr>
        <w:t xml:space="preserve">mluvy o dielo alebo v rámci záručných opráv. Vytvorené zdrojové kódy budú vytvorené vyexportovaním z produkčného prostredia a budú odovzdané </w:t>
      </w:r>
      <w:r w:rsidR="00770BCB">
        <w:rPr>
          <w:rFonts w:ascii="Cambria" w:hAnsi="Cambria" w:cs="Arial"/>
        </w:rPr>
        <w:t>o</w:t>
      </w:r>
      <w:r w:rsidRPr="008B028C">
        <w:rPr>
          <w:rFonts w:ascii="Cambria" w:hAnsi="Cambria" w:cs="Arial"/>
        </w:rPr>
        <w:t xml:space="preserve">bjednávateľovi na elektronickom médiu v zapečatenom obale. 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45C47217"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Momentom platnosti </w:t>
      </w:r>
      <w:r w:rsidR="00446F97">
        <w:rPr>
          <w:rFonts w:ascii="Cambria" w:hAnsi="Cambria" w:cs="Arial"/>
        </w:rPr>
        <w:t>Servisnej</w:t>
      </w:r>
      <w:r w:rsidRPr="008B028C">
        <w:rPr>
          <w:rFonts w:ascii="Cambria" w:hAnsi="Cambria" w:cs="Arial"/>
        </w:rPr>
        <w:t xml:space="preserve"> zmluvy umožní </w:t>
      </w:r>
      <w:r w:rsidR="00446F97">
        <w:rPr>
          <w:rFonts w:ascii="Cambria" w:hAnsi="Cambria" w:cs="Arial"/>
        </w:rPr>
        <w:t>o</w:t>
      </w:r>
      <w:r w:rsidRPr="008B028C">
        <w:rPr>
          <w:rFonts w:ascii="Cambria" w:hAnsi="Cambria" w:cs="Arial"/>
        </w:rPr>
        <w:t xml:space="preserve">bjednávateľ poskytovateľovi, za predpokladu, že to je nevyhnutné, prístup k Vytvorenému zdrojovému kódu výlučne na účely plnenia povinností z  uzatvorenej </w:t>
      </w:r>
      <w:r w:rsidR="00446F97">
        <w:rPr>
          <w:rFonts w:ascii="Cambria" w:hAnsi="Cambria" w:cs="Arial"/>
        </w:rPr>
        <w:t>Servisnej</w:t>
      </w:r>
      <w:r w:rsidRPr="008B028C">
        <w:rPr>
          <w:rFonts w:ascii="Cambria" w:hAnsi="Cambria" w:cs="Arial"/>
        </w:rPr>
        <w:t xml:space="preserve"> zmluvy.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741C55" w:rsidRDefault="00E52023" w:rsidP="008D7E55">
      <w:pPr>
        <w:pStyle w:val="Heading1"/>
        <w:spacing w:before="0"/>
        <w:jc w:val="center"/>
        <w:rPr>
          <w:rFonts w:ascii="Cambria" w:hAnsi="Cambria"/>
          <w:sz w:val="22"/>
          <w:szCs w:val="22"/>
        </w:rPr>
      </w:pPr>
      <w:r w:rsidRPr="00244C0D">
        <w:rPr>
          <w:rFonts w:ascii="Cambria" w:hAnsi="Cambria"/>
          <w:sz w:val="22"/>
          <w:szCs w:val="22"/>
        </w:rPr>
        <w:t>Práva duševného vlastníctva</w:t>
      </w:r>
    </w:p>
    <w:p w14:paraId="21FFA365" w14:textId="77777777" w:rsidR="00813E5D" w:rsidRPr="00813E5D" w:rsidRDefault="00813E5D" w:rsidP="009A3D19">
      <w:pPr>
        <w:pStyle w:val="ListParagraph"/>
        <w:numPr>
          <w:ilvl w:val="0"/>
          <w:numId w:val="6"/>
        </w:numPr>
        <w:spacing w:before="120"/>
        <w:contextualSpacing w:val="0"/>
        <w:jc w:val="both"/>
        <w:rPr>
          <w:rFonts w:ascii="Cambria" w:hAnsi="Cambria" w:cs="Arial"/>
          <w:vanish/>
          <w:lang w:eastAsia="cs-CZ"/>
        </w:rPr>
      </w:pPr>
      <w:bookmarkStart w:id="57" w:name="_Ref95810088"/>
    </w:p>
    <w:p w14:paraId="61297A90" w14:textId="5E90E887" w:rsidR="00E30194" w:rsidRPr="00AF7F78" w:rsidRDefault="007F5078" w:rsidP="009A3D19">
      <w:pPr>
        <w:pStyle w:val="MLOdsek"/>
        <w:numPr>
          <w:ilvl w:val="1"/>
          <w:numId w:val="6"/>
        </w:numPr>
        <w:spacing w:before="120" w:line="240" w:lineRule="auto"/>
        <w:ind w:hanging="907"/>
        <w:rPr>
          <w:rFonts w:ascii="Cambria" w:hAnsi="Cambria" w:cs="Arial"/>
        </w:rPr>
      </w:pPr>
      <w:r w:rsidRPr="000247B5">
        <w:rPr>
          <w:rFonts w:ascii="Cambria" w:hAnsi="Cambria"/>
        </w:rPr>
        <w:t>Zh</w:t>
      </w:r>
      <w:r w:rsidRPr="00AF7F78">
        <w:rPr>
          <w:rFonts w:ascii="Cambria" w:hAnsi="Cambria"/>
        </w:rPr>
        <w:t>otoviteľom v rámci plnenia predmetu tejto zmluvy o dielo poskytnuté plnenie, alebo jeho časť, ktoré môže mať povahu,</w:t>
      </w:r>
      <w:r w:rsidRPr="00AF7F78">
        <w:rPr>
          <w:rFonts w:ascii="Cambria" w:hAnsi="Cambria" w:cs="Times New Roman"/>
          <w:lang w:eastAsia="en-US"/>
        </w:rPr>
        <w:t xml:space="preserve"> prípadne môže zahŕňať jedno alebo viac autorských diel podľa </w:t>
      </w:r>
      <w:r w:rsidR="00A4350B" w:rsidRPr="00AF7F78">
        <w:rPr>
          <w:rFonts w:ascii="Cambria" w:hAnsi="Cambria" w:cs="Times New Roman"/>
          <w:lang w:eastAsia="en-US"/>
        </w:rPr>
        <w:t>Autorského zákona.</w:t>
      </w:r>
      <w:r w:rsidRPr="00AF7F78">
        <w:rPr>
          <w:rFonts w:ascii="Cambria" w:hAnsi="Cambria" w:cs="Times New Roman"/>
          <w:lang w:eastAsia="en-US"/>
        </w:rPr>
        <w:t xml:space="preserve"> Autorské dielo na účely tejto zmluvy </w:t>
      </w:r>
      <w:r w:rsidR="00AC7A17" w:rsidRPr="00AF7F78">
        <w:rPr>
          <w:rFonts w:ascii="Cambria" w:hAnsi="Cambria" w:cs="Times New Roman"/>
          <w:lang w:eastAsia="en-US"/>
        </w:rPr>
        <w:t xml:space="preserve">o dielo </w:t>
      </w:r>
      <w:r w:rsidRPr="00AF7F78">
        <w:rPr>
          <w:rFonts w:ascii="Cambria" w:hAnsi="Cambria" w:cs="Times New Roman"/>
          <w:lang w:eastAsia="en-US"/>
        </w:rPr>
        <w:t>je najmä</w:t>
      </w:r>
      <w:r w:rsidR="00AC7A17" w:rsidRPr="00AF7F78">
        <w:rPr>
          <w:rFonts w:ascii="Cambria" w:hAnsi="Cambria" w:cs="Times New Roman"/>
          <w:lang w:eastAsia="en-US"/>
        </w:rPr>
        <w:t>,</w:t>
      </w:r>
      <w:r w:rsidRPr="00AF7F78">
        <w:rPr>
          <w:rFonts w:ascii="Cambria" w:hAnsi="Cambria" w:cs="Times New Roman"/>
          <w:lang w:eastAsia="en-US"/>
        </w:rPr>
        <w:t xml:space="preserve"> ale nie len počítačový program</w:t>
      </w:r>
      <w:r w:rsidR="00D346AD">
        <w:rPr>
          <w:rFonts w:ascii="Cambria" w:hAnsi="Cambria" w:cs="Times New Roman"/>
          <w:lang w:eastAsia="en-US"/>
        </w:rPr>
        <w:t xml:space="preserve"> (dodaný informačný systém)</w:t>
      </w:r>
      <w:r w:rsidRPr="00AF7F78">
        <w:rPr>
          <w:rFonts w:ascii="Cambria" w:hAnsi="Cambria" w:cs="Times New Roman"/>
          <w:lang w:eastAsia="en-US"/>
        </w:rPr>
        <w:t xml:space="preserve"> vrátane všetkých jeho súčastí, všetky druhy dokumentácie, zdrojový, strojový kód, databázy, a to ako celok alebo jednotlivé časti, ktoré boli vytvorené alebo ktorých vytvorenie bolo zhotoviteľom zabezpečené špecificky na účely predmetu plnenia podľa tejto zmluvy o dielo bez ohľadu na ich verziu  (ďalej ktorékoľvek z nich len „Autorské dielo“).</w:t>
      </w:r>
      <w:r w:rsidRPr="00AF7F78">
        <w:rPr>
          <w:rFonts w:ascii="Cambria" w:hAnsi="Cambria"/>
        </w:rPr>
        <w:t xml:space="preserve"> Dodaný informačný systém, ktorý bol vyvinutý na základe špecifických požiadaviek objednávateľa.</w:t>
      </w:r>
      <w:r w:rsidR="00AF7F78">
        <w:rPr>
          <w:rFonts w:ascii="Cambria" w:hAnsi="Cambria"/>
        </w:rPr>
        <w:t xml:space="preserve"> </w:t>
      </w:r>
      <w:r w:rsidRPr="00AF7F78">
        <w:rPr>
          <w:rFonts w:ascii="Cambria" w:hAnsi="Cambria"/>
        </w:rPr>
        <w:t>Účelom úpravy autorských práv je vylúčiť akúkoľvek závislosť objednávateľa od zhotoviteľa pri použití s dodaným informačným systémom v autorskoprávnom rozsahu</w:t>
      </w:r>
      <w:r w:rsidR="00B77990" w:rsidRPr="00AF7F78">
        <w:rPr>
          <w:rFonts w:ascii="Cambria" w:hAnsi="Cambria"/>
        </w:rPr>
        <w:t xml:space="preserve">. </w:t>
      </w:r>
    </w:p>
    <w:p w14:paraId="38633DAC" w14:textId="312F0401" w:rsidR="00136315" w:rsidRPr="00136315" w:rsidRDefault="00BE08C3" w:rsidP="009A3D19">
      <w:pPr>
        <w:pStyle w:val="MLOdsek"/>
        <w:numPr>
          <w:ilvl w:val="1"/>
          <w:numId w:val="6"/>
        </w:numPr>
        <w:spacing w:before="120" w:line="240" w:lineRule="auto"/>
        <w:ind w:hanging="907"/>
        <w:rPr>
          <w:rFonts w:ascii="Cambria" w:hAnsi="Cambria" w:cs="Arial"/>
        </w:rPr>
      </w:pPr>
      <w:bookmarkStart w:id="58" w:name="_Hlk109235918"/>
      <w:bookmarkEnd w:id="57"/>
      <w:r w:rsidRPr="00150020">
        <w:rPr>
          <w:rFonts w:ascii="Cambria" w:hAnsi="Cambria" w:cs="Arial"/>
        </w:rPr>
        <w:t xml:space="preserve">Zmluvné strany sa dohodli, že pokiaľ zhotoviteľ vytvorí v rámci plnenia tejto zmluvy o dielo pre objednávateľa </w:t>
      </w:r>
      <w:r w:rsidRPr="00724EF2">
        <w:rPr>
          <w:rFonts w:ascii="Cambria" w:hAnsi="Cambria" w:cs="Arial"/>
        </w:rPr>
        <w:t>Autorské dielo</w:t>
      </w:r>
      <w:r w:rsidR="00011D1F">
        <w:rPr>
          <w:rFonts w:ascii="Cambria" w:hAnsi="Cambria" w:cs="Arial"/>
        </w:rPr>
        <w:t>, tak</w:t>
      </w:r>
      <w:r w:rsidRPr="00724EF2">
        <w:rPr>
          <w:rFonts w:ascii="Cambria" w:hAnsi="Cambria" w:cs="Arial"/>
        </w:rPr>
        <w:t xml:space="preserve"> zhotoviteľ na akékoľvek takéto Autorské dielo udeľuje objednávateľovi výhradnú, </w:t>
      </w:r>
      <w:r w:rsidRPr="00724EF2">
        <w:rPr>
          <w:rFonts w:ascii="Cambria" w:hAnsi="Cambria"/>
        </w:rPr>
        <w:t>počas celej doby trvania majetkových práv, územne</w:t>
      </w:r>
      <w:r>
        <w:rPr>
          <w:rFonts w:ascii="Cambria" w:hAnsi="Cambria"/>
        </w:rPr>
        <w:t>, vecne</w:t>
      </w:r>
      <w:r w:rsidRPr="00724EF2">
        <w:rPr>
          <w:rFonts w:ascii="Cambria" w:hAnsi="Cambria"/>
        </w:rPr>
        <w:t xml:space="preserve"> neobmedzenú a v cene za dielo splatnú licenciu. </w:t>
      </w:r>
      <w:r w:rsidRPr="00724EF2">
        <w:rPr>
          <w:rFonts w:ascii="Cambria" w:hAnsi="Cambria" w:cs="Arial"/>
        </w:rPr>
        <w:t xml:space="preserve"> Licencia zahŕňa všetky spôsoby použitia Autorského diela podľa  § 19 ods. 4 Autorského zákona. Pre vylúčenie pochybností licencia zahŕňa právo Autorské dielo  </w:t>
      </w:r>
      <w:r w:rsidRPr="00724EF2">
        <w:rPr>
          <w:rFonts w:ascii="Cambria" w:hAnsi="Cambria"/>
        </w:rPr>
        <w:t>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w:t>
      </w:r>
      <w:r w:rsidR="009702E2">
        <w:rPr>
          <w:rFonts w:ascii="Cambria" w:hAnsi="Cambria"/>
        </w:rPr>
        <w:t>,</w:t>
      </w:r>
      <w:r>
        <w:rPr>
          <w:rFonts w:ascii="Cambria" w:hAnsi="Cambria"/>
        </w:rPr>
        <w:t xml:space="preserve"> a to prostredníctvom objednávateľa alebo tretej osoby. </w:t>
      </w:r>
      <w:r>
        <w:rPr>
          <w:rFonts w:ascii="Cambria" w:hAnsi="Cambria" w:cs="Arial"/>
        </w:rPr>
        <w:t xml:space="preserve">Zhotoviteľ </w:t>
      </w:r>
      <w:r>
        <w:rPr>
          <w:rFonts w:ascii="Cambria" w:hAnsi="Cambria"/>
        </w:rPr>
        <w:t xml:space="preserve">nie je oprávnený využívať Autorské dielo alebo ktorúkoľvek jeho časť diela pre vlastné produkty a služby, ak sa </w:t>
      </w:r>
      <w:r>
        <w:rPr>
          <w:rFonts w:ascii="Cambria" w:hAnsi="Cambria"/>
        </w:rPr>
        <w:lastRenderedPageBreak/>
        <w:t>zmluvné strany písomne nedohodnú inak.</w:t>
      </w:r>
      <w:r w:rsidR="00452F0F">
        <w:rPr>
          <w:rFonts w:ascii="Cambria" w:hAnsi="Cambria"/>
        </w:rPr>
        <w:t xml:space="preserve"> Objednávateľ je oprávnený udeliť sublicenciu tretím osobám.</w:t>
      </w:r>
      <w:r w:rsidR="00136315">
        <w:rPr>
          <w:rFonts w:ascii="Cambria" w:hAnsi="Cambria"/>
        </w:rPr>
        <w:t xml:space="preserve"> </w:t>
      </w:r>
      <w:r w:rsidR="00136315">
        <w:rPr>
          <w:rFonts w:ascii="Cambria" w:hAnsi="Cambria" w:cs="Arial"/>
        </w:rPr>
        <w:t>Vlastnícke p</w:t>
      </w:r>
      <w:r w:rsidR="006E5AAF">
        <w:rPr>
          <w:rFonts w:ascii="Cambria" w:hAnsi="Cambria" w:cs="Arial"/>
        </w:rPr>
        <w:t>rávo k</w:t>
      </w:r>
      <w:r w:rsidR="00F17293">
        <w:rPr>
          <w:rFonts w:ascii="Cambria" w:hAnsi="Cambria" w:cs="Arial"/>
        </w:rPr>
        <w:t> </w:t>
      </w:r>
      <w:r w:rsidR="006E5AAF">
        <w:rPr>
          <w:rFonts w:ascii="Cambria" w:hAnsi="Cambria" w:cs="Arial"/>
        </w:rPr>
        <w:t>veciam</w:t>
      </w:r>
      <w:r w:rsidR="00F17293">
        <w:rPr>
          <w:rFonts w:ascii="Cambria" w:hAnsi="Cambria" w:cs="Arial"/>
        </w:rPr>
        <w:t>,</w:t>
      </w:r>
      <w:r w:rsidR="006E5AAF">
        <w:rPr>
          <w:rFonts w:ascii="Cambria" w:hAnsi="Cambria" w:cs="Arial"/>
        </w:rPr>
        <w:t xml:space="preserve"> prostredníctvom ktorých je Autorské dielo vyjadrené</w:t>
      </w:r>
      <w:r w:rsidR="00F17293">
        <w:rPr>
          <w:rFonts w:ascii="Cambria" w:hAnsi="Cambria" w:cs="Arial"/>
        </w:rPr>
        <w:t>,</w:t>
      </w:r>
      <w:r w:rsidR="006E5AAF">
        <w:rPr>
          <w:rFonts w:ascii="Cambria" w:hAnsi="Cambria" w:cs="Arial"/>
        </w:rPr>
        <w:t xml:space="preserve"> nadobúda objednávateľ</w:t>
      </w:r>
      <w:r w:rsidR="00F17293">
        <w:rPr>
          <w:rFonts w:ascii="Cambria" w:hAnsi="Cambria" w:cs="Arial"/>
        </w:rPr>
        <w:t xml:space="preserve"> ich prevzatím</w:t>
      </w:r>
      <w:r w:rsidR="006E209C">
        <w:rPr>
          <w:rFonts w:ascii="Cambria" w:hAnsi="Cambria" w:cs="Arial"/>
        </w:rPr>
        <w:t>.</w:t>
      </w:r>
    </w:p>
    <w:bookmarkEnd w:id="58"/>
    <w:p w14:paraId="3FB11449" w14:textId="78356EA3" w:rsidR="00E75798" w:rsidRPr="00DC6118" w:rsidRDefault="00E75798" w:rsidP="009A3D19">
      <w:pPr>
        <w:pStyle w:val="MLOdsek"/>
        <w:numPr>
          <w:ilvl w:val="1"/>
          <w:numId w:val="6"/>
        </w:numPr>
        <w:spacing w:before="120" w:line="240" w:lineRule="auto"/>
        <w:ind w:hanging="907"/>
        <w:rPr>
          <w:rFonts w:ascii="Cambria" w:hAnsi="Cambria" w:cs="Arial"/>
        </w:rPr>
      </w:pPr>
      <w:r w:rsidRPr="00DC6118">
        <w:rPr>
          <w:rFonts w:ascii="Cambria" w:hAnsi="Cambria" w:cs="Arial"/>
        </w:rPr>
        <w:t>Zmluvné strany sa dohodli, že účinnosť licencie podľa bod</w:t>
      </w:r>
      <w:r w:rsidR="004424CE">
        <w:rPr>
          <w:rFonts w:ascii="Cambria" w:hAnsi="Cambria" w:cs="Arial"/>
        </w:rPr>
        <w:t>u</w:t>
      </w:r>
      <w:r w:rsidRPr="00DC6118">
        <w:rPr>
          <w:rFonts w:ascii="Cambria" w:hAnsi="Cambria" w:cs="Arial"/>
        </w:rPr>
        <w:t xml:space="preserve"> </w:t>
      </w:r>
      <w:r w:rsidR="006F193F" w:rsidRPr="00DC6118">
        <w:rPr>
          <w:rFonts w:ascii="Cambria" w:hAnsi="Cambria" w:cs="Arial"/>
        </w:rPr>
        <w:t>10</w:t>
      </w:r>
      <w:r w:rsidR="009F6E9F" w:rsidRPr="00DC6118">
        <w:rPr>
          <w:rFonts w:ascii="Cambria" w:hAnsi="Cambria" w:cs="Arial"/>
        </w:rPr>
        <w:t>.</w:t>
      </w:r>
      <w:r w:rsidR="00DC6118" w:rsidRPr="00DC6118">
        <w:rPr>
          <w:rFonts w:ascii="Cambria" w:hAnsi="Cambria" w:cs="Arial"/>
        </w:rPr>
        <w:t>2</w:t>
      </w:r>
      <w:r w:rsidR="009F6E9F" w:rsidRPr="00DC6118">
        <w:rPr>
          <w:rFonts w:ascii="Cambria" w:hAnsi="Cambria" w:cs="Arial"/>
        </w:rPr>
        <w:t>.</w:t>
      </w:r>
      <w:r w:rsidRPr="00DC6118">
        <w:rPr>
          <w:rFonts w:ascii="Cambria" w:hAnsi="Cambria" w:cs="Arial"/>
        </w:rPr>
        <w:t xml:space="preserve"> tohto článku </w:t>
      </w:r>
      <w:r w:rsidR="004A6FDB" w:rsidRPr="00DC6118">
        <w:rPr>
          <w:rFonts w:ascii="Cambria" w:hAnsi="Cambria" w:cs="Arial"/>
        </w:rPr>
        <w:t>z</w:t>
      </w:r>
      <w:r w:rsidRPr="00DC6118">
        <w:rPr>
          <w:rFonts w:ascii="Cambria" w:hAnsi="Cambria" w:cs="Arial"/>
        </w:rPr>
        <w:t>mluvy o dielo nastáva prevzatím Diela alebo jeho časti</w:t>
      </w:r>
      <w:r w:rsidR="005F2709" w:rsidRPr="00DC6118">
        <w:rPr>
          <w:rFonts w:ascii="Cambria" w:hAnsi="Cambria" w:cs="Arial"/>
        </w:rPr>
        <w:t xml:space="preserve"> (čiastkové plnenie)</w:t>
      </w:r>
      <w:r w:rsidR="00C96F87">
        <w:rPr>
          <w:rFonts w:ascii="Cambria" w:hAnsi="Cambria" w:cs="Arial"/>
        </w:rPr>
        <w:t>.</w:t>
      </w:r>
      <w:r w:rsidR="004424CE">
        <w:rPr>
          <w:rFonts w:ascii="Cambria" w:hAnsi="Cambria" w:cs="Arial"/>
        </w:rPr>
        <w:t xml:space="preserve"> V prípade predčasného ukončenia tejto zmluvy o dielo bez odovzdania diela alebo jeho časti je licencia udelená v súlade s touto zmluvou dňom ukončenia zmluvy. </w:t>
      </w:r>
      <w:r w:rsidR="00C96F87">
        <w:rPr>
          <w:rFonts w:ascii="Cambria" w:hAnsi="Cambria" w:cs="Arial"/>
        </w:rPr>
        <w:t xml:space="preserve"> Zhotoviteľ je oprávnený Autorské dielo používať v rozsahu vymedzenom touto zmluvou o dielo počas jej trvania.</w:t>
      </w:r>
    </w:p>
    <w:p w14:paraId="07640DD6" w14:textId="6B1B5C7B" w:rsidR="00E75798" w:rsidRPr="00813E5D" w:rsidRDefault="00E75798" w:rsidP="009A3D19">
      <w:pPr>
        <w:pStyle w:val="MLOdsek"/>
        <w:numPr>
          <w:ilvl w:val="1"/>
          <w:numId w:val="6"/>
        </w:numPr>
        <w:spacing w:before="120" w:line="240" w:lineRule="auto"/>
        <w:ind w:hanging="907"/>
        <w:rPr>
          <w:rFonts w:ascii="Cambria" w:hAnsi="Cambria" w:cs="Arial"/>
        </w:rPr>
      </w:pPr>
      <w:r w:rsidRPr="00741C55">
        <w:rPr>
          <w:rFonts w:ascii="Cambria" w:hAnsi="Cambria" w:cs="Arial"/>
        </w:rPr>
        <w:t>Odmena za udelenie licencie k</w:t>
      </w:r>
      <w:r w:rsidR="00D346AD">
        <w:rPr>
          <w:rFonts w:ascii="Cambria" w:hAnsi="Cambria" w:cs="Arial"/>
        </w:rPr>
        <w:t> Autorskému d</w:t>
      </w:r>
      <w:r w:rsidRPr="00741C55">
        <w:rPr>
          <w:rFonts w:ascii="Cambria" w:hAnsi="Cambria" w:cs="Arial"/>
        </w:rPr>
        <w:t>ielu</w:t>
      </w:r>
      <w:r w:rsidR="00D346AD">
        <w:rPr>
          <w:rFonts w:ascii="Cambria" w:hAnsi="Cambria" w:cs="Arial"/>
        </w:rPr>
        <w:t xml:space="preserve"> (dodanému informačnému systému)</w:t>
      </w:r>
      <w:r w:rsidRPr="00741C55">
        <w:rPr>
          <w:rFonts w:ascii="Cambria" w:hAnsi="Cambria" w:cs="Arial"/>
        </w:rPr>
        <w:t xml:space="preserve"> alebo jeho časti spôsobom, v rozsahu a na čas uvedený v tomto článku </w:t>
      </w:r>
      <w:r w:rsidR="004A6FDB">
        <w:rPr>
          <w:rFonts w:ascii="Cambria" w:hAnsi="Cambria" w:cs="Arial"/>
        </w:rPr>
        <w:t>z</w:t>
      </w:r>
      <w:r w:rsidRPr="00741C55">
        <w:rPr>
          <w:rFonts w:ascii="Cambria" w:hAnsi="Cambria" w:cs="Arial"/>
        </w:rPr>
        <w:t>mluvy o dielo je súčasťou ceny za dodanie Diela</w:t>
      </w:r>
      <w:r w:rsidR="00136220">
        <w:rPr>
          <w:rFonts w:ascii="Cambria" w:hAnsi="Cambria" w:cs="Arial"/>
        </w:rPr>
        <w:t>,</w:t>
      </w:r>
      <w:r w:rsidRPr="00741C55">
        <w:rPr>
          <w:rFonts w:ascii="Cambria" w:hAnsi="Cambria" w:cs="Arial"/>
        </w:rPr>
        <w:t xml:space="preserve"> v  súlade s</w:t>
      </w:r>
      <w:r w:rsidR="00D411EA">
        <w:rPr>
          <w:rFonts w:ascii="Cambria" w:hAnsi="Cambria" w:cs="Arial"/>
        </w:rPr>
        <w:t> </w:t>
      </w:r>
      <w:r w:rsidRPr="00741C55">
        <w:rPr>
          <w:rFonts w:ascii="Cambria" w:hAnsi="Cambria" w:cs="Arial"/>
        </w:rPr>
        <w:t>čl</w:t>
      </w:r>
      <w:r w:rsidR="00D411EA">
        <w:rPr>
          <w:rFonts w:ascii="Cambria" w:hAnsi="Cambria" w:cs="Arial"/>
        </w:rPr>
        <w:t>ánkom IV</w:t>
      </w:r>
      <w:r w:rsidR="00271697">
        <w:rPr>
          <w:rFonts w:ascii="Cambria" w:hAnsi="Cambria" w:cs="Arial"/>
        </w:rPr>
        <w:t xml:space="preserve"> </w:t>
      </w:r>
      <w:r w:rsidRPr="00741C55">
        <w:rPr>
          <w:rFonts w:ascii="Cambria" w:hAnsi="Cambria" w:cs="Arial"/>
        </w:rPr>
        <w:t xml:space="preserve">tejto </w:t>
      </w:r>
      <w:r w:rsidR="004A6FDB">
        <w:rPr>
          <w:rFonts w:ascii="Cambria" w:hAnsi="Cambria" w:cs="Arial"/>
        </w:rPr>
        <w:t>z</w:t>
      </w:r>
      <w:r w:rsidRPr="00741C55">
        <w:rPr>
          <w:rFonts w:ascii="Cambria" w:hAnsi="Cambria" w:cs="Arial"/>
        </w:rPr>
        <w:t xml:space="preserve">mluvy o dielo. V prípade pochybností o sume zodpovedajúcej cene licencie bude cena licencie výlučne na účely tejto </w:t>
      </w:r>
      <w:r w:rsidR="00D411EA">
        <w:rPr>
          <w:rFonts w:ascii="Cambria" w:hAnsi="Cambria" w:cs="Arial"/>
        </w:rPr>
        <w:t>z</w:t>
      </w:r>
      <w:r w:rsidRPr="00741C55">
        <w:rPr>
          <w:rFonts w:ascii="Cambria" w:hAnsi="Cambria" w:cs="Arial"/>
        </w:rPr>
        <w:t xml:space="preserve">mluvy o dielo zodpovedať </w:t>
      </w:r>
      <w:r w:rsidRPr="00813E5D">
        <w:rPr>
          <w:rFonts w:ascii="Cambria" w:hAnsi="Cambria" w:cs="Arial"/>
        </w:rPr>
        <w:t>10 %</w:t>
      </w:r>
      <w:r w:rsidRPr="00741C55">
        <w:rPr>
          <w:rFonts w:ascii="Cambria" w:hAnsi="Cambria" w:cs="Arial"/>
        </w:rPr>
        <w:t xml:space="preserve"> </w:t>
      </w:r>
      <w:r w:rsidR="00AD7277">
        <w:rPr>
          <w:rFonts w:ascii="Cambria" w:hAnsi="Cambria" w:cs="Arial"/>
        </w:rPr>
        <w:t>celkovej c</w:t>
      </w:r>
      <w:r w:rsidRPr="00741C55">
        <w:rPr>
          <w:rFonts w:ascii="Cambria" w:hAnsi="Cambria" w:cs="Arial"/>
        </w:rPr>
        <w:t xml:space="preserve">eny </w:t>
      </w:r>
      <w:r w:rsidR="00B4548E">
        <w:rPr>
          <w:rFonts w:ascii="Cambria" w:hAnsi="Cambria" w:cs="Arial"/>
        </w:rPr>
        <w:t>Diela</w:t>
      </w:r>
      <w:r w:rsidRPr="00741C55">
        <w:rPr>
          <w:rFonts w:ascii="Cambria" w:hAnsi="Cambria" w:cs="Arial"/>
        </w:rPr>
        <w:t>.</w:t>
      </w:r>
    </w:p>
    <w:p w14:paraId="3A9E0E7B" w14:textId="77777777" w:rsidR="00147E43" w:rsidRDefault="00147E43" w:rsidP="009A3D19">
      <w:pPr>
        <w:pStyle w:val="MLOdsek"/>
        <w:numPr>
          <w:ilvl w:val="1"/>
          <w:numId w:val="6"/>
        </w:numPr>
        <w:spacing w:before="120" w:line="240" w:lineRule="auto"/>
        <w:ind w:hanging="907"/>
        <w:rPr>
          <w:rFonts w:ascii="Cambria" w:hAnsi="Cambria" w:cs="Arial"/>
        </w:rPr>
      </w:pPr>
      <w:r w:rsidRPr="00741C55">
        <w:rPr>
          <w:rFonts w:ascii="Cambria" w:hAnsi="Cambria" w:cs="Arial"/>
        </w:rPr>
        <w:t xml:space="preserve">Zmluvné strany výslovne deklarujú, že ak pri poskytovaní plnenia podľa tejto </w:t>
      </w:r>
      <w:r>
        <w:rPr>
          <w:rFonts w:ascii="Cambria" w:hAnsi="Cambria" w:cs="Arial"/>
        </w:rPr>
        <w:t>z</w:t>
      </w:r>
      <w:r w:rsidRPr="00741C55">
        <w:rPr>
          <w:rFonts w:ascii="Cambria" w:hAnsi="Cambria" w:cs="Arial"/>
        </w:rPr>
        <w:t xml:space="preserve">mluvy o dielo vznikne </w:t>
      </w:r>
      <w:r w:rsidRPr="00271697">
        <w:rPr>
          <w:rFonts w:ascii="Cambria" w:hAnsi="Cambria" w:cs="Arial"/>
        </w:rPr>
        <w:t xml:space="preserve">činnosťou zhotoviteľa a objednávateľa dielo spoluautorov a ak sa nedohodnú zmluvné strany výslovne inak, bude sa mať za to, že objednávateľ </w:t>
      </w:r>
      <w:r>
        <w:rPr>
          <w:rFonts w:ascii="Cambria" w:hAnsi="Cambria" w:cs="Arial"/>
        </w:rPr>
        <w:t xml:space="preserve"> vykonáva </w:t>
      </w:r>
      <w:r w:rsidRPr="00271697">
        <w:rPr>
          <w:rFonts w:ascii="Cambria" w:hAnsi="Cambria" w:cs="Arial"/>
        </w:rPr>
        <w:t>majetkov</w:t>
      </w:r>
      <w:r>
        <w:rPr>
          <w:rFonts w:ascii="Cambria" w:hAnsi="Cambria" w:cs="Arial"/>
        </w:rPr>
        <w:t>é práva autora</w:t>
      </w:r>
      <w:r w:rsidRPr="00271697">
        <w:rPr>
          <w:rFonts w:ascii="Cambria" w:hAnsi="Cambria" w:cs="Arial"/>
        </w:rPr>
        <w:t xml:space="preserve">  k dielu spoluautorov</w:t>
      </w:r>
      <w:r>
        <w:rPr>
          <w:rFonts w:ascii="Cambria" w:hAnsi="Cambria" w:cs="Arial"/>
        </w:rPr>
        <w:t>.</w:t>
      </w:r>
      <w:r w:rsidRPr="00271697">
        <w:rPr>
          <w:rFonts w:ascii="Cambria" w:hAnsi="Cambria" w:cs="Arial"/>
        </w:rPr>
        <w:t xml:space="preserve"> Celková cena Diela podľa článku IV tejto zmluvy o dielo je stanovená so zohľadnením tohto ustanovenia a zhotoviteľovi nevzniknú v prípade vytvorenia diela spoluautorov žiadne nové nároky na odmenu.</w:t>
      </w:r>
    </w:p>
    <w:p w14:paraId="3F54E190" w14:textId="3CE662E1" w:rsidR="008E0E26" w:rsidRPr="008E0E26" w:rsidRDefault="008E0E26" w:rsidP="009A3D19">
      <w:pPr>
        <w:pStyle w:val="MLOdsek"/>
        <w:numPr>
          <w:ilvl w:val="1"/>
          <w:numId w:val="6"/>
        </w:numPr>
        <w:spacing w:before="120" w:line="240" w:lineRule="auto"/>
        <w:ind w:hanging="907"/>
        <w:rPr>
          <w:rFonts w:ascii="Cambria" w:hAnsi="Cambria" w:cs="Arial"/>
        </w:rPr>
      </w:pPr>
      <w:r w:rsidRPr="008E0E26">
        <w:rPr>
          <w:rFonts w:ascii="Cambria" w:hAnsi="Cambria" w:cs="Arial"/>
        </w:rPr>
        <w:t>Zhotoviteľ vyhlasuje, že vykonáva majetkové práva autora k</w:t>
      </w:r>
      <w:r w:rsidR="00D346AD">
        <w:rPr>
          <w:rFonts w:ascii="Cambria" w:hAnsi="Cambria" w:cs="Arial"/>
        </w:rPr>
        <w:t>u každému Autorskému</w:t>
      </w:r>
      <w:r w:rsidR="008B462E">
        <w:rPr>
          <w:rFonts w:ascii="Cambria" w:hAnsi="Cambria" w:cs="Arial"/>
        </w:rPr>
        <w:t xml:space="preserve"> </w:t>
      </w:r>
      <w:r w:rsidRPr="008E0E26">
        <w:rPr>
          <w:rFonts w:ascii="Cambria" w:hAnsi="Cambria" w:cs="Arial"/>
        </w:rPr>
        <w:t>dielu vytvorenému a dodanému na základe tejto zmluvy o dielo a žiadna tretia osoba nie je oprávnená vykonávať majetkové práva autora k</w:t>
      </w:r>
      <w:r w:rsidR="00D346AD">
        <w:rPr>
          <w:rFonts w:ascii="Cambria" w:hAnsi="Cambria" w:cs="Arial"/>
        </w:rPr>
        <w:t xml:space="preserve"> Autorskému </w:t>
      </w:r>
      <w:r w:rsidRPr="008E0E26">
        <w:rPr>
          <w:rFonts w:ascii="Cambria" w:hAnsi="Cambria" w:cs="Arial"/>
        </w:rPr>
        <w:t>dielu alebo s</w:t>
      </w:r>
      <w:r w:rsidR="00D346AD">
        <w:rPr>
          <w:rFonts w:ascii="Cambria" w:hAnsi="Cambria" w:cs="Arial"/>
        </w:rPr>
        <w:t xml:space="preserve"> Autorským </w:t>
      </w:r>
      <w:r w:rsidRPr="008E0E26">
        <w:rPr>
          <w:rFonts w:ascii="Cambria" w:hAnsi="Cambria" w:cs="Arial"/>
        </w:rPr>
        <w:t>dielom v zmysle Autorského zákona.  Zhotoviteľ vyhlasuje, že je oprávnený udeliť objednávateľovi licenciu v rozsahu a v súlade s touto zmluvou</w:t>
      </w:r>
      <w:r w:rsidR="00D346AD">
        <w:rPr>
          <w:rFonts w:ascii="Cambria" w:hAnsi="Cambria" w:cs="Arial"/>
        </w:rPr>
        <w:t xml:space="preserve">  o dielo</w:t>
      </w:r>
      <w:r w:rsidRPr="008E0E26">
        <w:rPr>
          <w:rFonts w:ascii="Cambria" w:hAnsi="Cambria" w:cs="Arial"/>
        </w:rPr>
        <w:t>. V prípade, ak tretia strana sa bude voči objednávateľovi domáhať porušenia svojich autorských práv je  zhotoviteľ povinný bezodkladne vysporiadať s takouto treťou stranou autorské práva, aby zodpovedali jeho vyhláseniam</w:t>
      </w:r>
      <w:r w:rsidR="00D346AD">
        <w:rPr>
          <w:rFonts w:ascii="Cambria" w:hAnsi="Cambria" w:cs="Arial"/>
        </w:rPr>
        <w:t xml:space="preserve"> a udelenej licencií</w:t>
      </w:r>
      <w:r w:rsidRPr="008E0E26">
        <w:rPr>
          <w:rFonts w:ascii="Cambria" w:hAnsi="Cambria" w:cs="Arial"/>
        </w:rPr>
        <w:t xml:space="preserve"> v tejto zmluve o dielo a zároveň zodpovedá za všetku škodu, ktorá objednávateľovi tým vznikla.</w:t>
      </w:r>
    </w:p>
    <w:p w14:paraId="00B4D9E1" w14:textId="25AA00A7" w:rsidR="00E75798" w:rsidRPr="00741C55" w:rsidRDefault="00E75798" w:rsidP="009A3D19">
      <w:pPr>
        <w:pStyle w:val="MLOdsek"/>
        <w:numPr>
          <w:ilvl w:val="1"/>
          <w:numId w:val="6"/>
        </w:numPr>
        <w:spacing w:before="120" w:line="240" w:lineRule="auto"/>
        <w:ind w:hanging="907"/>
        <w:rPr>
          <w:rFonts w:ascii="Cambria" w:hAnsi="Cambria" w:cs="Arial"/>
        </w:rPr>
      </w:pPr>
      <w:r w:rsidRPr="00741C55">
        <w:rPr>
          <w:rFonts w:ascii="Cambria" w:hAnsi="Cambria" w:cs="Arial"/>
        </w:rPr>
        <w:t xml:space="preserve">Ak sa </w:t>
      </w:r>
      <w:r w:rsidR="004A6FDB">
        <w:rPr>
          <w:rFonts w:ascii="Cambria" w:hAnsi="Cambria" w:cs="Arial"/>
        </w:rPr>
        <w:t>z</w:t>
      </w:r>
      <w:r w:rsidRPr="00741C55">
        <w:rPr>
          <w:rFonts w:ascii="Cambria" w:hAnsi="Cambria" w:cs="Arial"/>
        </w:rPr>
        <w:t xml:space="preserve">mluvné strany nedohodnú inak, </w:t>
      </w:r>
      <w:r w:rsidR="004A6FDB">
        <w:rPr>
          <w:rFonts w:ascii="Cambria" w:hAnsi="Cambria" w:cs="Arial"/>
        </w:rPr>
        <w:t>z</w:t>
      </w:r>
      <w:r w:rsidRPr="00741C55">
        <w:rPr>
          <w:rFonts w:ascii="Cambria" w:hAnsi="Cambria" w:cs="Arial"/>
        </w:rPr>
        <w:t xml:space="preserve">hotoviteľ touto </w:t>
      </w:r>
      <w:r w:rsidR="004A6FDB">
        <w:rPr>
          <w:rFonts w:ascii="Cambria" w:hAnsi="Cambria" w:cs="Arial"/>
        </w:rPr>
        <w:t>z</w:t>
      </w:r>
      <w:r w:rsidRPr="00741C55">
        <w:rPr>
          <w:rFonts w:ascii="Cambria" w:hAnsi="Cambria" w:cs="Arial"/>
        </w:rPr>
        <w:t xml:space="preserve">mluvou o dielo prevádza na </w:t>
      </w:r>
      <w:r w:rsidR="004A6FDB">
        <w:rPr>
          <w:rFonts w:ascii="Cambria" w:hAnsi="Cambria" w:cs="Arial"/>
        </w:rPr>
        <w:t>o</w:t>
      </w:r>
      <w:r w:rsidRPr="00741C55">
        <w:rPr>
          <w:rFonts w:ascii="Cambria" w:hAnsi="Cambria" w:cs="Arial"/>
        </w:rPr>
        <w:t xml:space="preserve">bjednávateľa všetky osobitné práva zhotoviteľa databázy podľa § 135 ods. 1 Autorského zákona, ktoré má </w:t>
      </w:r>
      <w:r w:rsidR="004A6FDB">
        <w:rPr>
          <w:rFonts w:ascii="Cambria" w:hAnsi="Cambria" w:cs="Arial"/>
        </w:rPr>
        <w:t>z</w:t>
      </w:r>
      <w:r w:rsidRPr="00741C55">
        <w:rPr>
          <w:rFonts w:ascii="Cambria" w:hAnsi="Cambria" w:cs="Arial"/>
        </w:rPr>
        <w:t xml:space="preserve">hotoviteľ, ako zhotoviteľ databázy, k súčastiam plnenia predmetu tejto </w:t>
      </w:r>
      <w:r w:rsidR="004A6FDB">
        <w:rPr>
          <w:rFonts w:ascii="Cambria" w:hAnsi="Cambria" w:cs="Arial"/>
        </w:rPr>
        <w:t>z</w:t>
      </w:r>
      <w:r w:rsidRPr="00741C55">
        <w:rPr>
          <w:rFonts w:ascii="Cambria" w:hAnsi="Cambria" w:cs="Arial"/>
        </w:rPr>
        <w:t xml:space="preserve">mluvy dielo, ktoré sú databázou, a to v rozsahu uvedenom v tomto článku </w:t>
      </w:r>
      <w:r w:rsidR="004A6FDB">
        <w:rPr>
          <w:rFonts w:ascii="Cambria" w:hAnsi="Cambria" w:cs="Arial"/>
        </w:rPr>
        <w:t>z</w:t>
      </w:r>
      <w:r w:rsidRPr="00741C55">
        <w:rPr>
          <w:rFonts w:ascii="Cambria" w:hAnsi="Cambria" w:cs="Arial"/>
        </w:rPr>
        <w:t>mluvy o dielo.</w:t>
      </w:r>
    </w:p>
    <w:p w14:paraId="04B5343C" w14:textId="662A1398" w:rsidR="005B60E8" w:rsidRPr="00023832" w:rsidRDefault="00E75798" w:rsidP="009A3D19">
      <w:pPr>
        <w:pStyle w:val="MLOdsek"/>
        <w:numPr>
          <w:ilvl w:val="1"/>
          <w:numId w:val="6"/>
        </w:numPr>
        <w:spacing w:before="120" w:line="240" w:lineRule="auto"/>
        <w:ind w:hanging="907"/>
        <w:rPr>
          <w:rFonts w:ascii="Cambria" w:hAnsi="Cambria" w:cs="Arial"/>
        </w:rPr>
      </w:pPr>
      <w:bookmarkStart w:id="59" w:name="_Ref95810170"/>
      <w:r w:rsidRPr="00741C55">
        <w:rPr>
          <w:rFonts w:ascii="Cambria" w:hAnsi="Cambria" w:cs="Arial"/>
        </w:rPr>
        <w:t xml:space="preserve">Zmluvné strany sa dohodli, že pokiaľ </w:t>
      </w:r>
      <w:r w:rsidR="004A6FDB">
        <w:rPr>
          <w:rFonts w:ascii="Cambria" w:hAnsi="Cambria" w:cs="Arial"/>
        </w:rPr>
        <w:t>z</w:t>
      </w:r>
      <w:r w:rsidRPr="00741C55">
        <w:rPr>
          <w:rFonts w:ascii="Cambria" w:hAnsi="Cambria" w:cs="Arial"/>
        </w:rPr>
        <w:t xml:space="preserve">hotoviteľ pri plnení </w:t>
      </w:r>
      <w:r w:rsidR="004A6FDB">
        <w:rPr>
          <w:rFonts w:ascii="Cambria" w:hAnsi="Cambria" w:cs="Arial"/>
        </w:rPr>
        <w:t>z</w:t>
      </w:r>
      <w:r w:rsidRPr="00741C55">
        <w:rPr>
          <w:rFonts w:ascii="Cambria" w:hAnsi="Cambria" w:cs="Arial"/>
        </w:rPr>
        <w:t>mluvy o dielo, ako súčasť Diela použije (spravidla ich spracovaním)  SW 3. strany (vrátane prípadu</w:t>
      </w:r>
      <w:r w:rsidR="00D346AD">
        <w:rPr>
          <w:rFonts w:ascii="Cambria" w:hAnsi="Cambria" w:cs="Arial"/>
        </w:rPr>
        <w:t>,</w:t>
      </w:r>
      <w:r w:rsidRPr="00741C55">
        <w:rPr>
          <w:rFonts w:ascii="Cambria" w:hAnsi="Cambria" w:cs="Arial"/>
        </w:rPr>
        <w:t xml:space="preserve"> ak </w:t>
      </w:r>
      <w:r w:rsidR="00810A80">
        <w:rPr>
          <w:rFonts w:ascii="Cambria" w:hAnsi="Cambria" w:cs="Arial"/>
        </w:rPr>
        <w:t xml:space="preserve">autorizovaným </w:t>
      </w:r>
      <w:r w:rsidRPr="00741C55">
        <w:rPr>
          <w:rFonts w:ascii="Cambria" w:hAnsi="Cambria" w:cs="Arial"/>
        </w:rPr>
        <w:t xml:space="preserve">poskytovateľom licencie k SW 3. strany je </w:t>
      </w:r>
      <w:r w:rsidR="00B565EE">
        <w:rPr>
          <w:rFonts w:ascii="Cambria" w:hAnsi="Cambria" w:cs="Arial"/>
        </w:rPr>
        <w:t>z</w:t>
      </w:r>
      <w:r w:rsidRPr="00741C55">
        <w:rPr>
          <w:rFonts w:ascii="Cambria" w:hAnsi="Cambria" w:cs="Arial"/>
        </w:rPr>
        <w:t xml:space="preserve">hotoviteľ), v takomto prípade </w:t>
      </w:r>
      <w:r w:rsidR="000B666B">
        <w:rPr>
          <w:rFonts w:ascii="Cambria" w:hAnsi="Cambria" w:cs="Arial"/>
        </w:rPr>
        <w:t>zabezpečí</w:t>
      </w:r>
      <w:r w:rsidRPr="00741C55">
        <w:rPr>
          <w:rFonts w:ascii="Cambria" w:hAnsi="Cambria" w:cs="Arial"/>
        </w:rPr>
        <w:t xml:space="preserve"> </w:t>
      </w:r>
      <w:r w:rsidR="00B565EE">
        <w:rPr>
          <w:rFonts w:ascii="Cambria" w:hAnsi="Cambria" w:cs="Arial"/>
        </w:rPr>
        <w:t>o</w:t>
      </w:r>
      <w:r w:rsidRPr="00741C55">
        <w:rPr>
          <w:rFonts w:ascii="Cambria" w:hAnsi="Cambria" w:cs="Arial"/>
        </w:rPr>
        <w:t>bjednávateľovi oprávnenie používať takýto SW 3. strany v súlade s osobitnými licenčnými podmienkami</w:t>
      </w:r>
      <w:r w:rsidR="000B666B">
        <w:rPr>
          <w:rFonts w:ascii="Cambria" w:hAnsi="Cambria" w:cs="Arial"/>
        </w:rPr>
        <w:t xml:space="preserve"> (ďalej </w:t>
      </w:r>
      <w:r w:rsidR="000B666B" w:rsidRPr="00023832">
        <w:rPr>
          <w:rFonts w:ascii="Cambria" w:hAnsi="Cambria" w:cs="Arial"/>
        </w:rPr>
        <w:t>len „</w:t>
      </w:r>
      <w:r w:rsidR="00023832" w:rsidRPr="0041557A">
        <w:rPr>
          <w:rFonts w:ascii="Cambria" w:hAnsi="Cambria" w:cs="Arial"/>
        </w:rPr>
        <w:t xml:space="preserve">proprietárny </w:t>
      </w:r>
      <w:r w:rsidR="000B666B" w:rsidRPr="00023832">
        <w:rPr>
          <w:rFonts w:ascii="Cambria" w:hAnsi="Cambria" w:cs="Arial"/>
        </w:rPr>
        <w:t xml:space="preserve">SW“). </w:t>
      </w:r>
      <w:bookmarkEnd w:id="59"/>
    </w:p>
    <w:p w14:paraId="472422C5" w14:textId="028323DC" w:rsidR="00F00DDA" w:rsidRPr="00F56AB8" w:rsidRDefault="00F00DDA" w:rsidP="009A3D19">
      <w:pPr>
        <w:pStyle w:val="MLOdsek"/>
        <w:numPr>
          <w:ilvl w:val="1"/>
          <w:numId w:val="6"/>
        </w:numPr>
        <w:spacing w:before="120" w:line="240" w:lineRule="auto"/>
        <w:ind w:hanging="907"/>
        <w:rPr>
          <w:rFonts w:ascii="Cambria" w:hAnsi="Cambria" w:cs="Arial"/>
        </w:rPr>
      </w:pPr>
      <w:r w:rsidRPr="00F56AB8">
        <w:rPr>
          <w:rFonts w:ascii="Cambria" w:hAnsi="Cambria" w:cs="Arial"/>
        </w:rPr>
        <w:t xml:space="preserve">Špecifikácia </w:t>
      </w:r>
      <w:r w:rsidR="00023832" w:rsidRPr="0041557A">
        <w:rPr>
          <w:rFonts w:ascii="Cambria" w:hAnsi="Cambria" w:cs="Arial"/>
        </w:rPr>
        <w:t>proprietárn</w:t>
      </w:r>
      <w:r w:rsidR="00023832">
        <w:rPr>
          <w:rFonts w:ascii="Cambria" w:hAnsi="Cambria" w:cs="Arial"/>
        </w:rPr>
        <w:t>eho</w:t>
      </w:r>
      <w:r w:rsidR="00023832" w:rsidRPr="0041557A">
        <w:rPr>
          <w:rFonts w:ascii="Cambria" w:hAnsi="Cambria" w:cs="Arial"/>
        </w:rPr>
        <w:t xml:space="preserve"> </w:t>
      </w:r>
      <w:r w:rsidRPr="00F56AB8">
        <w:rPr>
          <w:rFonts w:ascii="Cambria" w:hAnsi="Cambria" w:cs="Arial"/>
        </w:rPr>
        <w:t>SW tvor</w:t>
      </w:r>
      <w:r w:rsidR="00D346AD">
        <w:rPr>
          <w:rFonts w:ascii="Cambria" w:hAnsi="Cambria" w:cs="Arial"/>
        </w:rPr>
        <w:t>í</w:t>
      </w:r>
      <w:r w:rsidRPr="00F56AB8">
        <w:rPr>
          <w:rFonts w:ascii="Cambria" w:hAnsi="Cambria" w:cs="Arial"/>
        </w:rPr>
        <w:t xml:space="preserve"> prílohu č. 7 tejto zmluvy o dielo. </w:t>
      </w:r>
      <w:r>
        <w:rPr>
          <w:rFonts w:ascii="Cambria" w:hAnsi="Cambria" w:cs="Arial"/>
        </w:rPr>
        <w:t xml:space="preserve">Na použitie </w:t>
      </w:r>
      <w:r w:rsidR="00023832" w:rsidRPr="0041557A">
        <w:rPr>
          <w:rFonts w:ascii="Cambria" w:hAnsi="Cambria" w:cs="Arial"/>
        </w:rPr>
        <w:t>proprietárn</w:t>
      </w:r>
      <w:r w:rsidR="00023832">
        <w:rPr>
          <w:rFonts w:ascii="Cambria" w:hAnsi="Cambria" w:cs="Arial"/>
        </w:rPr>
        <w:t>eho</w:t>
      </w:r>
      <w:r w:rsidR="00023832" w:rsidRPr="0041557A">
        <w:rPr>
          <w:rFonts w:ascii="Cambria" w:hAnsi="Cambria" w:cs="Arial"/>
        </w:rPr>
        <w:t xml:space="preserve"> </w:t>
      </w:r>
      <w:r>
        <w:rPr>
          <w:rFonts w:ascii="Cambria" w:hAnsi="Cambria" w:cs="Arial"/>
        </w:rPr>
        <w:t xml:space="preserve">SW musí platiť, že zabezpečia </w:t>
      </w:r>
      <w:bookmarkStart w:id="60" w:name="_Hlk109236363"/>
      <w:r>
        <w:rPr>
          <w:rFonts w:ascii="Cambria" w:hAnsi="Cambria" w:cs="Arial"/>
        </w:rPr>
        <w:t xml:space="preserve">úplnú a neobmedzenú realizáciu predmetu zmluvy a licencie budú časovo trvať minimálne do </w:t>
      </w:r>
      <w:bookmarkEnd w:id="60"/>
      <w:r>
        <w:rPr>
          <w:rFonts w:ascii="Cambria" w:hAnsi="Cambria" w:cs="Arial"/>
        </w:rPr>
        <w:t xml:space="preserve">uplynutia </w:t>
      </w:r>
      <w:r w:rsidRPr="00F56AB8">
        <w:rPr>
          <w:rFonts w:ascii="Cambria" w:hAnsi="Cambria" w:cs="Arial"/>
        </w:rPr>
        <w:t>obdobi</w:t>
      </w:r>
      <w:r>
        <w:rPr>
          <w:rFonts w:ascii="Cambria" w:hAnsi="Cambria" w:cs="Arial"/>
        </w:rPr>
        <w:t>a</w:t>
      </w:r>
      <w:r w:rsidRPr="00F56AB8">
        <w:rPr>
          <w:rFonts w:ascii="Cambria" w:hAnsi="Cambria" w:cs="Arial"/>
        </w:rPr>
        <w:t xml:space="preserve"> trvania záručnej doby podľa bodu </w:t>
      </w:r>
      <w:r>
        <w:rPr>
          <w:rFonts w:ascii="Cambria" w:hAnsi="Cambria" w:cs="Arial"/>
        </w:rPr>
        <w:t>7.2.</w:t>
      </w:r>
      <w:r w:rsidRPr="00F56AB8">
        <w:rPr>
          <w:rFonts w:ascii="Cambria" w:hAnsi="Cambria" w:cs="Arial"/>
        </w:rPr>
        <w:t xml:space="preserve"> tejto </w:t>
      </w:r>
      <w:r>
        <w:rPr>
          <w:rFonts w:ascii="Cambria" w:hAnsi="Cambria" w:cs="Arial"/>
        </w:rPr>
        <w:t>z</w:t>
      </w:r>
      <w:r w:rsidRPr="00F56AB8">
        <w:rPr>
          <w:rFonts w:ascii="Cambria" w:hAnsi="Cambria" w:cs="Arial"/>
        </w:rPr>
        <w:t>mluvy o</w:t>
      </w:r>
      <w:r w:rsidR="00023832">
        <w:rPr>
          <w:rFonts w:ascii="Cambria" w:hAnsi="Cambria" w:cs="Arial"/>
        </w:rPr>
        <w:t> </w:t>
      </w:r>
      <w:r w:rsidRPr="00F56AB8">
        <w:rPr>
          <w:rFonts w:ascii="Cambria" w:hAnsi="Cambria" w:cs="Arial"/>
        </w:rPr>
        <w:t>dielo</w:t>
      </w:r>
      <w:bookmarkStart w:id="61" w:name="_Hlk109236415"/>
      <w:r w:rsidR="00023832">
        <w:rPr>
          <w:rFonts w:ascii="Cambria" w:hAnsi="Cambria" w:cs="Arial"/>
        </w:rPr>
        <w:t>.</w:t>
      </w:r>
      <w:r>
        <w:rPr>
          <w:rFonts w:ascii="Cambria" w:hAnsi="Cambria" w:cs="Arial"/>
        </w:rPr>
        <w:t xml:space="preserve"> Pre použitie zhotoviteľom modifikovaného open source softvéru platí, že zhotoviteľ nemôže k open source softvéru pridať doplňujúce podmienky v rozpore s licenciou udelenou podľa tejto zmluvy. </w:t>
      </w:r>
      <w:bookmarkEnd w:id="61"/>
    </w:p>
    <w:p w14:paraId="5188AB83" w14:textId="158A8452" w:rsidR="00E75798" w:rsidRPr="00741C55" w:rsidRDefault="00E75798" w:rsidP="009A3D19">
      <w:pPr>
        <w:pStyle w:val="MLOdsek"/>
        <w:numPr>
          <w:ilvl w:val="1"/>
          <w:numId w:val="6"/>
        </w:numPr>
        <w:spacing w:before="120" w:line="240" w:lineRule="auto"/>
        <w:ind w:hanging="907"/>
        <w:rPr>
          <w:rFonts w:ascii="Cambria" w:hAnsi="Cambria" w:cs="Arial"/>
        </w:rPr>
      </w:pPr>
      <w:r w:rsidRPr="00741C55">
        <w:rPr>
          <w:rFonts w:ascii="Cambria" w:hAnsi="Cambria" w:cs="Arial"/>
        </w:rPr>
        <w:t xml:space="preserve">Prípadná zmena v osobe </w:t>
      </w:r>
      <w:r w:rsidR="00D2738E">
        <w:rPr>
          <w:rFonts w:ascii="Cambria" w:hAnsi="Cambria" w:cs="Arial"/>
        </w:rPr>
        <w:t>z</w:t>
      </w:r>
      <w:r w:rsidRPr="00741C55">
        <w:rPr>
          <w:rFonts w:ascii="Cambria" w:hAnsi="Cambria" w:cs="Arial"/>
        </w:rPr>
        <w:t xml:space="preserve">hotoviteľa (napr. právne nástupníctvo) nebude mať vplyv na oprávnenia udelené v rámci tejto </w:t>
      </w:r>
      <w:r w:rsidR="00D2738E">
        <w:rPr>
          <w:rFonts w:ascii="Cambria" w:hAnsi="Cambria" w:cs="Arial"/>
        </w:rPr>
        <w:t>z</w:t>
      </w:r>
      <w:r w:rsidRPr="00741C55">
        <w:rPr>
          <w:rFonts w:ascii="Cambria" w:hAnsi="Cambria" w:cs="Arial"/>
        </w:rPr>
        <w:t xml:space="preserve">mluvy o dielo </w:t>
      </w:r>
      <w:r w:rsidR="00D2738E">
        <w:rPr>
          <w:rFonts w:ascii="Cambria" w:hAnsi="Cambria" w:cs="Arial"/>
        </w:rPr>
        <w:t>z</w:t>
      </w:r>
      <w:r w:rsidRPr="00741C55">
        <w:rPr>
          <w:rFonts w:ascii="Cambria" w:hAnsi="Cambria" w:cs="Arial"/>
        </w:rPr>
        <w:t xml:space="preserve">hotoviteľom </w:t>
      </w:r>
      <w:r w:rsidR="00D2738E">
        <w:rPr>
          <w:rFonts w:ascii="Cambria" w:hAnsi="Cambria" w:cs="Arial"/>
        </w:rPr>
        <w:t>o</w:t>
      </w:r>
      <w:r w:rsidRPr="00741C55">
        <w:rPr>
          <w:rFonts w:ascii="Cambria" w:hAnsi="Cambria" w:cs="Arial"/>
        </w:rPr>
        <w:t>bjednávateľovi.</w:t>
      </w:r>
    </w:p>
    <w:p w14:paraId="04B01863" w14:textId="12E4CF2D" w:rsidR="00054F36" w:rsidRPr="00741C55" w:rsidRDefault="00054F36" w:rsidP="009A3D19">
      <w:pPr>
        <w:pStyle w:val="MLOdsek"/>
        <w:numPr>
          <w:ilvl w:val="1"/>
          <w:numId w:val="6"/>
        </w:numPr>
        <w:spacing w:before="120" w:line="240" w:lineRule="auto"/>
        <w:ind w:hanging="907"/>
        <w:rPr>
          <w:rFonts w:ascii="Cambria" w:hAnsi="Cambria" w:cs="Arial"/>
        </w:rPr>
      </w:pPr>
      <w:r w:rsidRPr="00741C55">
        <w:rPr>
          <w:rFonts w:ascii="Cambria" w:hAnsi="Cambria" w:cs="Arial"/>
        </w:rPr>
        <w:t xml:space="preserve">Zhotoviteľ sa zaväzuje samostatne zdokumentovať všetky využitia </w:t>
      </w:r>
      <w:r w:rsidR="00023832" w:rsidRPr="0041557A">
        <w:rPr>
          <w:rFonts w:ascii="Cambria" w:hAnsi="Cambria" w:cs="Arial"/>
        </w:rPr>
        <w:t>proprietárn</w:t>
      </w:r>
      <w:r w:rsidR="00023832">
        <w:rPr>
          <w:rFonts w:ascii="Cambria" w:hAnsi="Cambria" w:cs="Arial"/>
        </w:rPr>
        <w:t>eho</w:t>
      </w:r>
      <w:r w:rsidR="00023832" w:rsidRPr="0041557A">
        <w:rPr>
          <w:rFonts w:ascii="Cambria" w:hAnsi="Cambria" w:cs="Arial"/>
        </w:rPr>
        <w:t xml:space="preserve"> </w:t>
      </w:r>
      <w:r>
        <w:rPr>
          <w:rFonts w:ascii="Cambria" w:hAnsi="Cambria" w:cs="Arial"/>
        </w:rPr>
        <w:t>SW</w:t>
      </w:r>
      <w:r w:rsidRPr="00741C55">
        <w:rPr>
          <w:rFonts w:ascii="Cambria" w:hAnsi="Cambria" w:cs="Arial"/>
        </w:rPr>
        <w:t xml:space="preserve"> </w:t>
      </w:r>
      <w:r w:rsidR="007E6453">
        <w:rPr>
          <w:rFonts w:ascii="Cambria" w:hAnsi="Cambria" w:cs="Arial"/>
        </w:rPr>
        <w:t xml:space="preserve">a </w:t>
      </w:r>
      <w:r w:rsidRPr="00741C55">
        <w:rPr>
          <w:rFonts w:ascii="Cambria" w:hAnsi="Cambria" w:cs="Arial"/>
        </w:rPr>
        <w:t xml:space="preserve">predložiť </w:t>
      </w:r>
      <w:r>
        <w:rPr>
          <w:rFonts w:ascii="Cambria" w:hAnsi="Cambria" w:cs="Arial"/>
        </w:rPr>
        <w:t>o</w:t>
      </w:r>
      <w:r w:rsidRPr="00741C55">
        <w:rPr>
          <w:rFonts w:ascii="Cambria" w:hAnsi="Cambria" w:cs="Arial"/>
        </w:rPr>
        <w:t xml:space="preserve">bjednávateľovi ich ucelený prehľad vrátane ich licenčných podmienok </w:t>
      </w:r>
      <w:r w:rsidRPr="00741C55">
        <w:rPr>
          <w:rFonts w:ascii="Cambria" w:hAnsi="Cambria" w:cs="Arial"/>
        </w:rPr>
        <w:lastRenderedPageBreak/>
        <w:t xml:space="preserve">najneskôr v čase podpísania Záverečného akceptačného protokolu v zmysle bodu </w:t>
      </w:r>
      <w:r>
        <w:rPr>
          <w:rFonts w:ascii="Cambria" w:hAnsi="Cambria" w:cs="Arial"/>
        </w:rPr>
        <w:t>5.</w:t>
      </w:r>
      <w:r w:rsidR="00023832">
        <w:rPr>
          <w:rFonts w:ascii="Cambria" w:hAnsi="Cambria" w:cs="Arial"/>
        </w:rPr>
        <w:t>19</w:t>
      </w:r>
      <w:r>
        <w:rPr>
          <w:rFonts w:ascii="Cambria" w:hAnsi="Cambria" w:cs="Arial"/>
        </w:rPr>
        <w:t xml:space="preserve">. </w:t>
      </w:r>
      <w:r w:rsidRPr="00741C55">
        <w:rPr>
          <w:rFonts w:ascii="Cambria" w:hAnsi="Cambria" w:cs="Arial"/>
        </w:rPr>
        <w:t xml:space="preserve">tejto </w:t>
      </w:r>
      <w:r>
        <w:rPr>
          <w:rFonts w:ascii="Cambria" w:hAnsi="Cambria" w:cs="Arial"/>
        </w:rPr>
        <w:t>z</w:t>
      </w:r>
      <w:r w:rsidRPr="00741C55">
        <w:rPr>
          <w:rFonts w:ascii="Cambria" w:hAnsi="Cambria" w:cs="Arial"/>
        </w:rPr>
        <w:t xml:space="preserve">mluvy o dielo. </w:t>
      </w:r>
    </w:p>
    <w:p w14:paraId="48295A97" w14:textId="74FB22CF" w:rsidR="00E75798" w:rsidRPr="00741C55" w:rsidRDefault="00E75798" w:rsidP="009A3D19">
      <w:pPr>
        <w:pStyle w:val="MLOdsek"/>
        <w:numPr>
          <w:ilvl w:val="1"/>
          <w:numId w:val="6"/>
        </w:numPr>
        <w:spacing w:before="120" w:line="240" w:lineRule="auto"/>
        <w:ind w:hanging="907"/>
        <w:rPr>
          <w:rFonts w:ascii="Cambria" w:hAnsi="Cambria" w:cs="Arial"/>
        </w:rPr>
      </w:pPr>
      <w:r w:rsidRPr="00741C55">
        <w:rPr>
          <w:rFonts w:ascii="Cambria" w:hAnsi="Cambria" w:cs="Arial"/>
        </w:rPr>
        <w:t xml:space="preserve">Ak sú s použitím </w:t>
      </w:r>
      <w:r w:rsidR="00023832" w:rsidRPr="00023832">
        <w:rPr>
          <w:rFonts w:ascii="Cambria" w:hAnsi="Cambria" w:cs="Arial"/>
        </w:rPr>
        <w:t>proprietárn</w:t>
      </w:r>
      <w:r w:rsidR="00023832">
        <w:rPr>
          <w:rFonts w:ascii="Cambria" w:hAnsi="Cambria" w:cs="Arial"/>
        </w:rPr>
        <w:t>eho</w:t>
      </w:r>
      <w:r w:rsidR="00023832" w:rsidRPr="00023832">
        <w:rPr>
          <w:rFonts w:ascii="Cambria" w:hAnsi="Cambria" w:cs="Arial"/>
        </w:rPr>
        <w:t xml:space="preserve"> </w:t>
      </w:r>
      <w:r w:rsidRPr="00741C55">
        <w:rPr>
          <w:rFonts w:ascii="Cambria" w:hAnsi="Cambria" w:cs="Arial"/>
        </w:rPr>
        <w:t>SW, služieb podpory k nemu v rozsahu v akom sú nevyhnutné, či iných súvisiacich plnení, spojené akékoľvek poplatky</w:t>
      </w:r>
      <w:r w:rsidRPr="00813E5D">
        <w:rPr>
          <w:rFonts w:ascii="Cambria" w:hAnsi="Cambria" w:cs="Arial"/>
        </w:rPr>
        <w:t>,</w:t>
      </w:r>
      <w:r w:rsidRPr="00741C55">
        <w:rPr>
          <w:rFonts w:ascii="Cambria" w:hAnsi="Cambria" w:cs="Arial"/>
        </w:rPr>
        <w:t xml:space="preserve"> je </w:t>
      </w:r>
      <w:r w:rsidR="00026268">
        <w:rPr>
          <w:rFonts w:ascii="Cambria" w:hAnsi="Cambria" w:cs="Arial"/>
        </w:rPr>
        <w:t>z</w:t>
      </w:r>
      <w:r w:rsidRPr="00741C55">
        <w:rPr>
          <w:rFonts w:ascii="Cambria" w:hAnsi="Cambria" w:cs="Arial"/>
        </w:rPr>
        <w:t xml:space="preserve">hotoviteľ povinný v súlade s bodom </w:t>
      </w:r>
      <w:r w:rsidR="009A26AA">
        <w:rPr>
          <w:rFonts w:ascii="Cambria" w:hAnsi="Cambria" w:cs="Arial"/>
        </w:rPr>
        <w:t>4</w:t>
      </w:r>
      <w:r w:rsidR="00023832">
        <w:rPr>
          <w:rFonts w:ascii="Cambria" w:hAnsi="Cambria" w:cs="Arial"/>
        </w:rPr>
        <w:t>.5</w:t>
      </w:r>
      <w:r w:rsidR="009A26AA">
        <w:rPr>
          <w:rFonts w:ascii="Cambria" w:hAnsi="Cambria" w:cs="Arial"/>
        </w:rPr>
        <w:t>.</w:t>
      </w:r>
      <w:r w:rsidRPr="00741C55">
        <w:rPr>
          <w:rFonts w:ascii="Cambria" w:hAnsi="Cambria" w:cs="Arial"/>
        </w:rPr>
        <w:t xml:space="preserve"> tejto </w:t>
      </w:r>
      <w:r w:rsidR="009A26AA">
        <w:rPr>
          <w:rFonts w:ascii="Cambria" w:hAnsi="Cambria" w:cs="Arial"/>
        </w:rPr>
        <w:t>z</w:t>
      </w:r>
      <w:r w:rsidRPr="00741C55">
        <w:rPr>
          <w:rFonts w:ascii="Cambria" w:hAnsi="Cambria" w:cs="Arial"/>
        </w:rPr>
        <w:t xml:space="preserve">mluvy o dielo riadne uhradiť všetky tieto poplatky za celú dobu trvania </w:t>
      </w:r>
      <w:r w:rsidR="00023832">
        <w:rPr>
          <w:rFonts w:ascii="Cambria" w:hAnsi="Cambria" w:cs="Arial"/>
        </w:rPr>
        <w:t>z</w:t>
      </w:r>
      <w:r w:rsidRPr="00741C55">
        <w:rPr>
          <w:rFonts w:ascii="Cambria" w:hAnsi="Cambria" w:cs="Arial"/>
        </w:rPr>
        <w:t>mluvy o dielo a tiež počas obdobia trvania záručnej doby</w:t>
      </w:r>
      <w:r w:rsidR="0036003F">
        <w:rPr>
          <w:rFonts w:ascii="Cambria" w:hAnsi="Cambria" w:cs="Arial"/>
        </w:rPr>
        <w:t xml:space="preserve">; to neplatí pre </w:t>
      </w:r>
      <w:r w:rsidR="0041557A">
        <w:rPr>
          <w:rFonts w:ascii="Cambria" w:hAnsi="Cambria" w:cs="Arial"/>
        </w:rPr>
        <w:t>ďalšie</w:t>
      </w:r>
      <w:r w:rsidR="0036003F">
        <w:rPr>
          <w:rFonts w:ascii="Cambria" w:hAnsi="Cambria" w:cs="Arial"/>
        </w:rPr>
        <w:t xml:space="preserve"> licencie</w:t>
      </w:r>
      <w:r w:rsidRPr="00741C55">
        <w:rPr>
          <w:rFonts w:ascii="Cambria" w:hAnsi="Cambria" w:cs="Arial"/>
        </w:rPr>
        <w:t xml:space="preserve">. </w:t>
      </w:r>
    </w:p>
    <w:p w14:paraId="758524FA" w14:textId="716987A1" w:rsidR="00E75798" w:rsidRPr="00741C55" w:rsidRDefault="00E75798" w:rsidP="009A3D19">
      <w:pPr>
        <w:pStyle w:val="MLOdsek"/>
        <w:numPr>
          <w:ilvl w:val="1"/>
          <w:numId w:val="6"/>
        </w:numPr>
        <w:spacing w:before="120" w:line="240" w:lineRule="auto"/>
        <w:ind w:hanging="907"/>
        <w:rPr>
          <w:rFonts w:ascii="Cambria" w:hAnsi="Cambria" w:cs="Arial"/>
        </w:rPr>
      </w:pPr>
      <w:r w:rsidRPr="00052567">
        <w:rPr>
          <w:rFonts w:ascii="Cambria" w:hAnsi="Cambria" w:cs="Arial"/>
        </w:rPr>
        <w:t>Zhotoviteľ v súlade s</w:t>
      </w:r>
      <w:r w:rsidR="00052567" w:rsidRPr="00052567">
        <w:rPr>
          <w:rFonts w:ascii="Cambria" w:hAnsi="Cambria" w:cs="Arial"/>
        </w:rPr>
        <w:t> </w:t>
      </w:r>
      <w:r w:rsidRPr="00052567">
        <w:rPr>
          <w:rFonts w:ascii="Cambria" w:hAnsi="Cambria" w:cs="Arial"/>
        </w:rPr>
        <w:t>čl</w:t>
      </w:r>
      <w:r w:rsidR="00052567" w:rsidRPr="00052567">
        <w:rPr>
          <w:rFonts w:ascii="Cambria" w:hAnsi="Cambria" w:cs="Arial"/>
        </w:rPr>
        <w:t xml:space="preserve">ánkom IV </w:t>
      </w:r>
      <w:r w:rsidRPr="00052567">
        <w:rPr>
          <w:rFonts w:ascii="Cambria" w:hAnsi="Cambria" w:cs="Arial"/>
        </w:rPr>
        <w:t xml:space="preserve">tejto Zmluvy o dielo zodpovedá za úhradu licenčných poplatkov za použitie </w:t>
      </w:r>
      <w:r w:rsidR="0041557A" w:rsidRPr="00023832">
        <w:rPr>
          <w:rFonts w:ascii="Cambria" w:hAnsi="Cambria" w:cs="Arial"/>
        </w:rPr>
        <w:t>proprietárn</w:t>
      </w:r>
      <w:r w:rsidR="0041557A">
        <w:rPr>
          <w:rFonts w:ascii="Cambria" w:hAnsi="Cambria" w:cs="Arial"/>
        </w:rPr>
        <w:t>eho</w:t>
      </w:r>
      <w:r w:rsidR="0041557A" w:rsidRPr="00023832">
        <w:rPr>
          <w:rFonts w:ascii="Cambria" w:hAnsi="Cambria" w:cs="Arial"/>
        </w:rPr>
        <w:t xml:space="preserve"> </w:t>
      </w:r>
      <w:r w:rsidRPr="00052567">
        <w:rPr>
          <w:rFonts w:ascii="Cambria" w:hAnsi="Cambria" w:cs="Arial"/>
        </w:rPr>
        <w:t>SW a súvisiacich služieb podpory</w:t>
      </w:r>
      <w:r w:rsidRPr="00741C55">
        <w:rPr>
          <w:rFonts w:ascii="Cambria" w:hAnsi="Cambria" w:cs="Arial"/>
        </w:rPr>
        <w:t xml:space="preserve"> a iných plnení.</w:t>
      </w:r>
    </w:p>
    <w:p w14:paraId="4C377F56" w14:textId="50B90E3B" w:rsidR="008B0F75" w:rsidRDefault="008B0F75" w:rsidP="009A3D19">
      <w:pPr>
        <w:pStyle w:val="MLOdsek"/>
        <w:numPr>
          <w:ilvl w:val="1"/>
          <w:numId w:val="6"/>
        </w:numPr>
        <w:spacing w:before="120" w:line="240" w:lineRule="auto"/>
        <w:ind w:hanging="907"/>
        <w:rPr>
          <w:rFonts w:ascii="Cambria" w:hAnsi="Cambria" w:cs="Arial"/>
        </w:rPr>
      </w:pPr>
      <w:r w:rsidRPr="00813E5D">
        <w:rPr>
          <w:rFonts w:ascii="Cambria" w:hAnsi="Cambria" w:cs="Arial"/>
        </w:rPr>
        <w:t xml:space="preserve">SW, ktoré sú počítačovým programom, </w:t>
      </w:r>
      <w:r w:rsidR="0041557A" w:rsidRPr="00023832">
        <w:rPr>
          <w:rFonts w:ascii="Cambria" w:hAnsi="Cambria" w:cs="Arial"/>
        </w:rPr>
        <w:t>proprietárn</w:t>
      </w:r>
      <w:r w:rsidR="0041557A">
        <w:rPr>
          <w:rFonts w:ascii="Cambria" w:hAnsi="Cambria" w:cs="Arial"/>
        </w:rPr>
        <w:t xml:space="preserve">e </w:t>
      </w:r>
      <w:r w:rsidRPr="00813E5D">
        <w:rPr>
          <w:rFonts w:ascii="Cambria" w:hAnsi="Cambria" w:cs="Arial"/>
        </w:rPr>
        <w:t xml:space="preserve">SW, iné ako uvedené v </w:t>
      </w:r>
      <w:r>
        <w:rPr>
          <w:rFonts w:ascii="Cambria" w:hAnsi="Cambria" w:cs="Arial"/>
        </w:rPr>
        <w:t>P</w:t>
      </w:r>
      <w:r w:rsidRPr="00813E5D">
        <w:rPr>
          <w:rFonts w:ascii="Cambria" w:hAnsi="Cambria" w:cs="Arial"/>
        </w:rPr>
        <w:t xml:space="preserve">rílohe č. </w:t>
      </w:r>
      <w:r>
        <w:rPr>
          <w:rFonts w:ascii="Cambria" w:hAnsi="Cambria" w:cs="Arial"/>
        </w:rPr>
        <w:t xml:space="preserve">7 </w:t>
      </w:r>
      <w:r w:rsidRPr="00741C55">
        <w:rPr>
          <w:rFonts w:ascii="Cambria" w:hAnsi="Cambria" w:cs="Arial"/>
        </w:rPr>
        <w:t xml:space="preserve">tejto </w:t>
      </w:r>
      <w:r>
        <w:rPr>
          <w:rFonts w:ascii="Cambria" w:hAnsi="Cambria" w:cs="Arial"/>
        </w:rPr>
        <w:t>z</w:t>
      </w:r>
      <w:r w:rsidRPr="00741C55">
        <w:rPr>
          <w:rFonts w:ascii="Cambria" w:hAnsi="Cambria" w:cs="Arial"/>
        </w:rPr>
        <w:t>mluvy o dielo</w:t>
      </w:r>
      <w:r w:rsidRPr="00813E5D">
        <w:rPr>
          <w:rFonts w:ascii="Cambria" w:hAnsi="Cambria" w:cs="Arial"/>
        </w:rPr>
        <w:t xml:space="preserve"> je možné urobiť súčasťou Diela len na základe predchádzajúceho písomného súhlasu </w:t>
      </w:r>
      <w:r>
        <w:rPr>
          <w:rFonts w:ascii="Cambria" w:hAnsi="Cambria" w:cs="Arial"/>
        </w:rPr>
        <w:t>o</w:t>
      </w:r>
      <w:r w:rsidRPr="00813E5D">
        <w:rPr>
          <w:rFonts w:ascii="Cambria" w:hAnsi="Cambria" w:cs="Arial"/>
        </w:rPr>
        <w:t>bjednávateľa.</w:t>
      </w:r>
    </w:p>
    <w:p w14:paraId="10DF388D" w14:textId="6DAE2E28" w:rsidR="00D109DB" w:rsidRPr="007F7737" w:rsidRDefault="00D109DB" w:rsidP="00D109DB">
      <w:pPr>
        <w:pStyle w:val="Heading1"/>
        <w:keepLines/>
        <w:spacing w:before="0"/>
        <w:jc w:val="center"/>
        <w:rPr>
          <w:rFonts w:ascii="Cambria" w:hAnsi="Cambria"/>
          <w:color w:val="000000"/>
          <w:sz w:val="22"/>
          <w:szCs w:val="22"/>
        </w:rPr>
      </w:pPr>
      <w:r w:rsidRPr="007F7737">
        <w:rPr>
          <w:rFonts w:ascii="Cambria" w:hAnsi="Cambria"/>
          <w:color w:val="000000"/>
          <w:sz w:val="22"/>
          <w:szCs w:val="22"/>
        </w:rPr>
        <w:t>Článok X</w:t>
      </w:r>
      <w:r w:rsidR="00C03303" w:rsidRPr="007F7737">
        <w:rPr>
          <w:rFonts w:ascii="Cambria" w:hAnsi="Cambria"/>
          <w:color w:val="000000"/>
          <w:sz w:val="22"/>
          <w:szCs w:val="22"/>
        </w:rPr>
        <w:t>I</w:t>
      </w:r>
    </w:p>
    <w:p w14:paraId="5E8938D6" w14:textId="4464E4E6" w:rsidR="00D109DB" w:rsidRPr="00E75798" w:rsidRDefault="00D109DB" w:rsidP="00D109DB">
      <w:pPr>
        <w:pStyle w:val="Heading1"/>
        <w:keepLines/>
        <w:spacing w:before="0" w:after="240"/>
        <w:jc w:val="center"/>
        <w:rPr>
          <w:rFonts w:ascii="Cambria" w:hAnsi="Cambria"/>
          <w:color w:val="000000"/>
          <w:sz w:val="22"/>
          <w:szCs w:val="22"/>
        </w:rPr>
      </w:pPr>
      <w:r w:rsidRPr="007F7737">
        <w:rPr>
          <w:rFonts w:ascii="Cambria" w:hAnsi="Cambria"/>
          <w:color w:val="000000"/>
          <w:sz w:val="22"/>
          <w:szCs w:val="22"/>
        </w:rPr>
        <w:t>Vyhlásenia zmluvných strán</w:t>
      </w:r>
    </w:p>
    <w:p w14:paraId="0B17B7C8"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bookmarkStart w:id="62" w:name="_Toc368490348"/>
      <w:bookmarkStart w:id="63" w:name="_Toc368934371"/>
      <w:bookmarkStart w:id="64" w:name="_Toc45812011"/>
      <w:bookmarkStart w:id="65" w:name="_Ref298924076"/>
      <w:bookmarkEnd w:id="51"/>
      <w:bookmarkEnd w:id="52"/>
      <w:bookmarkEnd w:id="53"/>
      <w:bookmarkEnd w:id="54"/>
    </w:p>
    <w:p w14:paraId="120D3B6C"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3286976A"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677AE6F4"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6C009FF8"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4C938639"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25D43041"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7320B45A"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34AE4CFF"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4EF64205" w14:textId="77777777" w:rsidR="00A533FC" w:rsidRPr="00A533FC" w:rsidRDefault="00A533FC" w:rsidP="009A3D19">
      <w:pPr>
        <w:pStyle w:val="ListParagraph"/>
        <w:numPr>
          <w:ilvl w:val="0"/>
          <w:numId w:val="31"/>
        </w:numPr>
        <w:spacing w:before="120"/>
        <w:contextualSpacing w:val="0"/>
        <w:jc w:val="both"/>
        <w:rPr>
          <w:rFonts w:ascii="Cambria" w:hAnsi="Cambria" w:cs="Arial"/>
          <w:vanish/>
          <w:lang w:eastAsia="cs-CZ"/>
        </w:rPr>
      </w:pPr>
    </w:p>
    <w:p w14:paraId="770C04A9" w14:textId="71AE8087" w:rsidR="00D109DB" w:rsidRPr="00D109DB" w:rsidRDefault="00D109DB" w:rsidP="009A3D19">
      <w:pPr>
        <w:pStyle w:val="MLOdsek"/>
        <w:numPr>
          <w:ilvl w:val="1"/>
          <w:numId w:val="31"/>
        </w:numPr>
        <w:spacing w:before="120" w:line="240" w:lineRule="auto"/>
        <w:ind w:hanging="907"/>
        <w:rPr>
          <w:rFonts w:ascii="Cambria" w:hAnsi="Cambria" w:cs="Arial"/>
        </w:rPr>
      </w:pPr>
      <w:r w:rsidRPr="00D109DB">
        <w:rPr>
          <w:rFonts w:ascii="Cambria" w:hAnsi="Cambria" w:cs="Arial"/>
        </w:rPr>
        <w:t xml:space="preserve">Zhotoviteľ vyhlasuje, že je spôsobilý uzatvoriť túto </w:t>
      </w:r>
      <w:r>
        <w:rPr>
          <w:rFonts w:ascii="Cambria" w:hAnsi="Cambria" w:cs="Arial"/>
        </w:rPr>
        <w:t>z</w:t>
      </w:r>
      <w:r w:rsidRPr="00D109DB">
        <w:rPr>
          <w:rFonts w:ascii="Cambria" w:hAnsi="Cambria" w:cs="Arial"/>
        </w:rPr>
        <w:t>mluvu o dielo a riadne plniť záväzky</w:t>
      </w:r>
      <w:r w:rsidR="00A533FC">
        <w:rPr>
          <w:rFonts w:ascii="Cambria" w:hAnsi="Cambria" w:cs="Arial"/>
        </w:rPr>
        <w:t xml:space="preserve"> </w:t>
      </w:r>
      <w:r w:rsidRPr="00D109DB">
        <w:rPr>
          <w:rFonts w:ascii="Cambria" w:hAnsi="Cambria" w:cs="Arial"/>
        </w:rPr>
        <w:t>z nej vyplývajúce.</w:t>
      </w:r>
    </w:p>
    <w:p w14:paraId="231BCCFE" w14:textId="704674ED" w:rsidR="00D109DB" w:rsidRPr="00D109DB" w:rsidRDefault="00D109DB" w:rsidP="009A3D19">
      <w:pPr>
        <w:pStyle w:val="MLOdsek"/>
        <w:numPr>
          <w:ilvl w:val="1"/>
          <w:numId w:val="31"/>
        </w:numPr>
        <w:spacing w:before="120" w:line="240" w:lineRule="auto"/>
        <w:ind w:hanging="907"/>
        <w:rPr>
          <w:rFonts w:ascii="Cambria" w:hAnsi="Cambria" w:cs="Arial"/>
        </w:rPr>
      </w:pPr>
      <w:r w:rsidRPr="00D109DB">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Pr>
          <w:rFonts w:ascii="Cambria" w:hAnsi="Cambria" w:cs="Arial"/>
        </w:rPr>
        <w:t>z</w:t>
      </w:r>
      <w:r w:rsidRPr="00D109DB">
        <w:rPr>
          <w:rFonts w:ascii="Cambria" w:hAnsi="Cambria" w:cs="Arial"/>
        </w:rPr>
        <w:t xml:space="preserve">mluve o dielo. </w:t>
      </w:r>
    </w:p>
    <w:p w14:paraId="7C940104" w14:textId="34FB997A" w:rsidR="00D109DB" w:rsidRPr="004264C6" w:rsidRDefault="00D109DB" w:rsidP="009A3D19">
      <w:pPr>
        <w:pStyle w:val="MLOdsek"/>
        <w:numPr>
          <w:ilvl w:val="1"/>
          <w:numId w:val="31"/>
        </w:numPr>
        <w:spacing w:before="120" w:line="240" w:lineRule="auto"/>
        <w:ind w:hanging="907"/>
        <w:rPr>
          <w:rFonts w:ascii="Cambria" w:hAnsi="Cambria" w:cs="Arial"/>
        </w:rPr>
      </w:pPr>
      <w:r w:rsidRPr="004264C6">
        <w:rPr>
          <w:rFonts w:ascii="Cambria" w:hAnsi="Cambria" w:cs="Arial"/>
        </w:rPr>
        <w:t xml:space="preserve">Zhotoviteľ vyhlasuje, že má splnené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rsidP="009A3D19">
      <w:pPr>
        <w:pStyle w:val="MLOdsek"/>
        <w:numPr>
          <w:ilvl w:val="1"/>
          <w:numId w:val="31"/>
        </w:numPr>
        <w:spacing w:before="120" w:line="240" w:lineRule="auto"/>
        <w:ind w:hanging="907"/>
        <w:rPr>
          <w:rFonts w:ascii="Cambria" w:hAnsi="Cambria" w:cs="Arial"/>
        </w:rPr>
      </w:pPr>
      <w:bookmarkStart w:id="66" w:name="_Ref95813965"/>
      <w:r w:rsidRPr="00D109DB">
        <w:rPr>
          <w:rFonts w:ascii="Cambria" w:hAnsi="Cambria" w:cs="Arial"/>
        </w:rPr>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6"/>
      <w:r w:rsidR="00A61B14">
        <w:rPr>
          <w:rFonts w:ascii="Cambria" w:hAnsi="Cambria" w:cs="Arial"/>
        </w:rPr>
        <w:t>.</w:t>
      </w:r>
    </w:p>
    <w:p w14:paraId="6B15482E" w14:textId="30D33055" w:rsidR="00D109DB" w:rsidRPr="00D109DB" w:rsidRDefault="00D109DB" w:rsidP="009A3D19">
      <w:pPr>
        <w:pStyle w:val="MLOdsek"/>
        <w:numPr>
          <w:ilvl w:val="1"/>
          <w:numId w:val="31"/>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7"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rsidP="009A3D19">
      <w:pPr>
        <w:pStyle w:val="ListParagraph"/>
        <w:keepNext/>
        <w:numPr>
          <w:ilvl w:val="0"/>
          <w:numId w:val="31"/>
        </w:numPr>
        <w:spacing w:before="120" w:line="290" w:lineRule="auto"/>
        <w:contextualSpacing w:val="0"/>
        <w:jc w:val="both"/>
        <w:rPr>
          <w:rFonts w:ascii="Cambria" w:hAnsi="Cambria" w:cs="Arial"/>
          <w:vanish/>
          <w:lang w:eastAsia="cs-CZ"/>
        </w:rPr>
      </w:pPr>
      <w:bookmarkStart w:id="68" w:name="_Ref519610035"/>
    </w:p>
    <w:p w14:paraId="52A04525" w14:textId="44DC39CA" w:rsidR="00582D9B" w:rsidRPr="005B6EFB" w:rsidRDefault="00582D9B" w:rsidP="009A3D19">
      <w:pPr>
        <w:pStyle w:val="MLOdsek"/>
        <w:keepNext/>
        <w:numPr>
          <w:ilvl w:val="1"/>
          <w:numId w:val="31"/>
        </w:numPr>
        <w:spacing w:before="120" w:line="240" w:lineRule="auto"/>
        <w:ind w:hanging="907"/>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rsidP="009A3D19">
      <w:pPr>
        <w:pStyle w:val="MLOdsek"/>
        <w:numPr>
          <w:ilvl w:val="2"/>
          <w:numId w:val="31"/>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rsidP="009A3D19">
      <w:pPr>
        <w:pStyle w:val="MLOdsek"/>
        <w:numPr>
          <w:ilvl w:val="2"/>
          <w:numId w:val="31"/>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rsidP="009A3D19">
      <w:pPr>
        <w:pStyle w:val="MLOdsek"/>
        <w:numPr>
          <w:ilvl w:val="2"/>
          <w:numId w:val="31"/>
        </w:numPr>
        <w:spacing w:before="120" w:line="240" w:lineRule="auto"/>
        <w:rPr>
          <w:rFonts w:ascii="Cambria" w:eastAsiaTheme="minorHAnsi" w:hAnsi="Cambria" w:cs="Arial"/>
          <w:lang w:eastAsia="en-US"/>
        </w:rPr>
      </w:pPr>
      <w:r w:rsidRPr="005B6EFB">
        <w:rPr>
          <w:rFonts w:ascii="Cambria" w:eastAsiaTheme="minorHAnsi" w:hAnsi="Cambria" w:cs="Arial"/>
          <w:lang w:eastAsia="en-US"/>
        </w:rPr>
        <w:t xml:space="preserve">sprístupniť, pri dodržaní bezpečnostných a ďalších predpisov objednávateľa, technickú, komunikačnú a systémovú infraštruktúru pre zhotovovanie Diela </w:t>
      </w:r>
      <w:r w:rsidRPr="005B6EFB">
        <w:rPr>
          <w:rFonts w:ascii="Cambria" w:eastAsiaTheme="minorHAnsi" w:hAnsi="Cambria" w:cs="Arial"/>
          <w:lang w:eastAsia="en-US"/>
        </w:rPr>
        <w:lastRenderedPageBreak/>
        <w:t>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rsidP="009A3D19">
      <w:pPr>
        <w:pStyle w:val="MLOdsek"/>
        <w:numPr>
          <w:ilvl w:val="2"/>
          <w:numId w:val="31"/>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rsidP="009A3D19">
      <w:pPr>
        <w:pStyle w:val="MLOdsek"/>
        <w:numPr>
          <w:ilvl w:val="2"/>
          <w:numId w:val="31"/>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rsidP="009A3D19">
      <w:pPr>
        <w:pStyle w:val="MLOdsek"/>
        <w:numPr>
          <w:ilvl w:val="2"/>
          <w:numId w:val="31"/>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8"/>
    </w:p>
    <w:p w14:paraId="55DE826F" w14:textId="77777777" w:rsidR="00582D9B" w:rsidRPr="007D3EE3" w:rsidRDefault="00582D9B" w:rsidP="009A3D19">
      <w:pPr>
        <w:pStyle w:val="MLOdsek"/>
        <w:numPr>
          <w:ilvl w:val="2"/>
          <w:numId w:val="31"/>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rsidP="009A3D19">
      <w:pPr>
        <w:pStyle w:val="MLOdsek"/>
        <w:numPr>
          <w:ilvl w:val="2"/>
          <w:numId w:val="31"/>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77777777" w:rsidR="00582D9B" w:rsidRPr="00E64E6D" w:rsidRDefault="00582D9B" w:rsidP="009A3D19">
      <w:pPr>
        <w:pStyle w:val="MLOdsek"/>
        <w:numPr>
          <w:ilvl w:val="1"/>
          <w:numId w:val="31"/>
        </w:numPr>
        <w:spacing w:before="120" w:line="240" w:lineRule="auto"/>
        <w:ind w:hanging="907"/>
        <w:rPr>
          <w:rFonts w:ascii="Cambria" w:hAnsi="Cambria" w:cs="Arial"/>
          <w:lang w:eastAsia="sk-SK"/>
        </w:rPr>
      </w:pPr>
      <w:bookmarkStart w:id="69" w:name="_Ref519610349"/>
      <w:r w:rsidRPr="00E64E6D">
        <w:rPr>
          <w:rFonts w:ascii="Cambria" w:hAnsi="Cambria" w:cs="Arial"/>
          <w:lang w:eastAsia="sk-SK"/>
        </w:rPr>
        <w:t>Zhotoviteľ sa zaväzuje:</w:t>
      </w:r>
      <w:bookmarkEnd w:id="69"/>
      <w:r w:rsidRPr="00E64E6D">
        <w:rPr>
          <w:rFonts w:ascii="Cambria" w:hAnsi="Cambria" w:cs="Arial"/>
          <w:lang w:eastAsia="sk-SK"/>
        </w:rPr>
        <w:t xml:space="preserve"> </w:t>
      </w:r>
    </w:p>
    <w:p w14:paraId="10D063D6" w14:textId="77777777" w:rsidR="00582D9B" w:rsidRPr="00E64E6D" w:rsidRDefault="00582D9B" w:rsidP="009A3D19">
      <w:pPr>
        <w:pStyle w:val="MLOdsek"/>
        <w:numPr>
          <w:ilvl w:val="2"/>
          <w:numId w:val="31"/>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rsidP="009A3D19">
      <w:pPr>
        <w:pStyle w:val="MLOdsek"/>
        <w:numPr>
          <w:ilvl w:val="2"/>
          <w:numId w:val="31"/>
        </w:numPr>
        <w:spacing w:before="120" w:line="240" w:lineRule="auto"/>
        <w:rPr>
          <w:rFonts w:ascii="Cambria" w:hAnsi="Cambria" w:cs="Arial"/>
          <w:lang w:eastAsia="sk-SK"/>
        </w:rPr>
      </w:pPr>
      <w:bookmarkStart w:id="70" w:name="_Ref519610352"/>
      <w:r w:rsidRPr="00E64E6D">
        <w:rPr>
          <w:rFonts w:ascii="Cambria" w:hAnsi="Cambria" w:cs="Arial"/>
          <w:lang w:eastAsia="sk-SK"/>
        </w:rPr>
        <w:t>neodkladne písomne informovať objednávateľa o každom prípadnom omeškaní, či iných skutočnostiach, ktoré by mohli ohroziť riadne a včasné zhotovenie a/alebo dodanie Diela,</w:t>
      </w:r>
      <w:bookmarkEnd w:id="70"/>
    </w:p>
    <w:p w14:paraId="3E945DB8" w14:textId="77777777" w:rsidR="00582D9B" w:rsidRPr="00E64E6D" w:rsidRDefault="00582D9B" w:rsidP="009A3D19">
      <w:pPr>
        <w:pStyle w:val="MLOdsek"/>
        <w:numPr>
          <w:ilvl w:val="2"/>
          <w:numId w:val="31"/>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rsidP="009A3D19">
      <w:pPr>
        <w:pStyle w:val="MLOdsek"/>
        <w:numPr>
          <w:ilvl w:val="2"/>
          <w:numId w:val="31"/>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04D3C578" w14:textId="77777777" w:rsidR="00582D9B" w:rsidRPr="00E64E6D" w:rsidRDefault="00582D9B" w:rsidP="009A3D19">
      <w:pPr>
        <w:pStyle w:val="MLOdsek"/>
        <w:numPr>
          <w:ilvl w:val="2"/>
          <w:numId w:val="31"/>
        </w:numPr>
        <w:spacing w:before="120" w:line="240" w:lineRule="auto"/>
        <w:rPr>
          <w:rFonts w:ascii="Cambria" w:hAnsi="Cambria" w:cs="Arial"/>
          <w:lang w:eastAsia="sk-SK"/>
        </w:rPr>
      </w:pPr>
      <w:r w:rsidRPr="00E64E6D">
        <w:rPr>
          <w:rFonts w:ascii="Cambria" w:hAnsi="Cambria" w:cs="Arial"/>
          <w:lang w:eastAsia="sk-SK"/>
        </w:rPr>
        <w:t>zabezpečiť vedenie</w:t>
      </w:r>
      <w:r w:rsidRPr="00E64E6D">
        <w:rPr>
          <w:rFonts w:ascii="Cambria" w:hAnsi="Cambria" w:cs="Arial"/>
        </w:rPr>
        <w:t xml:space="preserve"> pracovných výkazov a zabezpečiť, aby aj jeho subdodávatelia priebežne viedli pracovné výkazy (okrem prípadov uvedených v tejto zmluve o dielo) a bezodkladne ich poskytnúť na požiadanie objednávateľovi,</w:t>
      </w:r>
    </w:p>
    <w:p w14:paraId="4B4B3D99" w14:textId="19EB9EDF" w:rsidR="00582D9B" w:rsidRPr="00E64E6D" w:rsidRDefault="00582D9B" w:rsidP="009A3D19">
      <w:pPr>
        <w:pStyle w:val="MLOdsek"/>
        <w:numPr>
          <w:ilvl w:val="2"/>
          <w:numId w:val="31"/>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rsidP="009A3D19">
      <w:pPr>
        <w:pStyle w:val="MLOdsek"/>
        <w:numPr>
          <w:ilvl w:val="2"/>
          <w:numId w:val="31"/>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rsidP="009A3D19">
      <w:pPr>
        <w:pStyle w:val="MLOdsek"/>
        <w:numPr>
          <w:ilvl w:val="2"/>
          <w:numId w:val="31"/>
        </w:numPr>
        <w:spacing w:before="120" w:line="240" w:lineRule="auto"/>
        <w:ind w:hanging="850"/>
        <w:rPr>
          <w:rFonts w:ascii="Cambria" w:hAnsi="Cambria" w:cs="Arial"/>
          <w:lang w:eastAsia="sk-SK"/>
        </w:rPr>
      </w:pPr>
      <w:r w:rsidRPr="00E64E6D">
        <w:rPr>
          <w:rFonts w:ascii="Cambria" w:hAnsi="Cambria" w:cs="Arial"/>
          <w:lang w:eastAsia="sk-SK"/>
        </w:rPr>
        <w:lastRenderedPageBreak/>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rsidP="009A3D19">
      <w:pPr>
        <w:pStyle w:val="MLOdsek"/>
        <w:numPr>
          <w:ilvl w:val="2"/>
          <w:numId w:val="31"/>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rsidP="009A3D19">
      <w:pPr>
        <w:pStyle w:val="MLOdsek"/>
        <w:numPr>
          <w:ilvl w:val="2"/>
          <w:numId w:val="31"/>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rsidP="009A3D19">
      <w:pPr>
        <w:pStyle w:val="MLOdsek"/>
        <w:numPr>
          <w:ilvl w:val="2"/>
          <w:numId w:val="31"/>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12902A0" w14:textId="77777777" w:rsidR="00582D9B" w:rsidRPr="00E64E6D" w:rsidRDefault="00582D9B" w:rsidP="009A3D19">
      <w:pPr>
        <w:pStyle w:val="MLOdsek"/>
        <w:numPr>
          <w:ilvl w:val="2"/>
          <w:numId w:val="31"/>
        </w:numPr>
        <w:spacing w:before="120" w:line="240" w:lineRule="auto"/>
        <w:ind w:hanging="850"/>
        <w:rPr>
          <w:rFonts w:ascii="Cambria" w:hAnsi="Cambria" w:cs="Arial"/>
        </w:rPr>
      </w:pPr>
      <w:r w:rsidRPr="00E64E6D">
        <w:rPr>
          <w:rFonts w:ascii="Cambria" w:hAnsi="Cambria" w:cs="Arial"/>
          <w:color w:val="000000" w:themeColor="text1"/>
        </w:rPr>
        <w:t>vypracovať posúdenie vplyvu na ochranu údajov v zmysle čl. 35 GDPR, ak pri používaní Informačného systému dochádza k spracovateľským operáciám osobných údajov,</w:t>
      </w:r>
    </w:p>
    <w:p w14:paraId="028B416A" w14:textId="6D16C95D" w:rsidR="009E11FF" w:rsidRDefault="00582D9B" w:rsidP="009A3D19">
      <w:pPr>
        <w:pStyle w:val="MLOdsek"/>
        <w:numPr>
          <w:ilvl w:val="2"/>
          <w:numId w:val="31"/>
        </w:numPr>
        <w:spacing w:before="120" w:line="240" w:lineRule="auto"/>
        <w:ind w:hanging="850"/>
        <w:rPr>
          <w:rFonts w:ascii="Cambria" w:hAnsi="Cambria" w:cs="Arial"/>
        </w:rPr>
      </w:pPr>
      <w:r w:rsidRPr="00E64E6D">
        <w:rPr>
          <w:rFonts w:ascii="Cambria" w:hAnsi="Cambria" w:cs="Arial"/>
        </w:rPr>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rsidP="009A3D19">
      <w:pPr>
        <w:pStyle w:val="MLOdsek"/>
        <w:numPr>
          <w:ilvl w:val="2"/>
          <w:numId w:val="31"/>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7"/>
    <w:p w14:paraId="215BB8DF" w14:textId="77777777" w:rsidR="00027153" w:rsidRPr="00027153" w:rsidRDefault="00027153" w:rsidP="009A3D19">
      <w:pPr>
        <w:pStyle w:val="ListParagraph"/>
        <w:numPr>
          <w:ilvl w:val="0"/>
          <w:numId w:val="31"/>
        </w:numPr>
        <w:tabs>
          <w:tab w:val="num" w:pos="1305"/>
        </w:tabs>
        <w:spacing w:before="120"/>
        <w:contextualSpacing w:val="0"/>
        <w:jc w:val="both"/>
        <w:rPr>
          <w:rFonts w:ascii="Cambria" w:hAnsi="Cambria" w:cs="Arial"/>
          <w:vanish/>
          <w:lang w:eastAsia="cs-CZ"/>
        </w:rPr>
      </w:pPr>
    </w:p>
    <w:p w14:paraId="1649FF6A" w14:textId="6746C761" w:rsidR="00974686" w:rsidRPr="00DD605C" w:rsidRDefault="00974686" w:rsidP="009A3D19">
      <w:pPr>
        <w:pStyle w:val="MLOdsek"/>
        <w:numPr>
          <w:ilvl w:val="1"/>
          <w:numId w:val="31"/>
        </w:numPr>
        <w:tabs>
          <w:tab w:val="num" w:pos="1305"/>
        </w:tabs>
        <w:spacing w:before="120" w:line="240" w:lineRule="auto"/>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rsidP="009A3D19">
      <w:pPr>
        <w:pStyle w:val="MLOdsek"/>
        <w:numPr>
          <w:ilvl w:val="1"/>
          <w:numId w:val="31"/>
        </w:numPr>
        <w:tabs>
          <w:tab w:val="num" w:pos="1305"/>
        </w:tabs>
        <w:spacing w:before="120" w:line="240" w:lineRule="auto"/>
        <w:rPr>
          <w:rFonts w:ascii="Cambria" w:hAnsi="Cambria" w:cs="Arial"/>
        </w:rPr>
      </w:pPr>
      <w:bookmarkStart w:id="71"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71"/>
    </w:p>
    <w:p w14:paraId="2215695C" w14:textId="7E043B37" w:rsidR="00974686" w:rsidRPr="003A4C06" w:rsidRDefault="00974686" w:rsidP="009A3D19">
      <w:pPr>
        <w:pStyle w:val="MLOdsek"/>
        <w:numPr>
          <w:ilvl w:val="1"/>
          <w:numId w:val="31"/>
        </w:numPr>
        <w:tabs>
          <w:tab w:val="num" w:pos="1305"/>
        </w:tabs>
        <w:spacing w:before="120" w:line="240" w:lineRule="auto"/>
        <w:rPr>
          <w:rFonts w:ascii="Cambria" w:hAnsi="Cambria" w:cs="Arial"/>
        </w:rPr>
      </w:pPr>
      <w:bookmarkStart w:id="72" w:name="_Ref96165737"/>
      <w:r w:rsidRPr="003A4C06">
        <w:rPr>
          <w:rFonts w:ascii="Cambria" w:hAnsi="Cambria" w:cs="Arial"/>
        </w:rPr>
        <w:t>Zhotoviteľ sa zaväzuje poskytnúť súčinnosť v zmysle predchádzajúceho bodu tohto článku Zmluvy o dielo, najmä v oblasti:</w:t>
      </w:r>
      <w:bookmarkEnd w:id="72"/>
    </w:p>
    <w:p w14:paraId="2A77B3A8" w14:textId="30760383" w:rsidR="00974686" w:rsidRPr="003A4C06" w:rsidRDefault="00974686" w:rsidP="009A3D19">
      <w:pPr>
        <w:pStyle w:val="MLOdsek"/>
        <w:numPr>
          <w:ilvl w:val="2"/>
          <w:numId w:val="31"/>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rsidP="009A3D19">
      <w:pPr>
        <w:pStyle w:val="MLOdsek"/>
        <w:numPr>
          <w:ilvl w:val="2"/>
          <w:numId w:val="31"/>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rsidP="009A3D19">
      <w:pPr>
        <w:pStyle w:val="MLOdsek"/>
        <w:numPr>
          <w:ilvl w:val="2"/>
          <w:numId w:val="31"/>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rsidP="009A3D19">
      <w:pPr>
        <w:pStyle w:val="MLOdsek"/>
        <w:numPr>
          <w:ilvl w:val="1"/>
          <w:numId w:val="31"/>
        </w:numPr>
        <w:spacing w:before="120" w:line="240" w:lineRule="auto"/>
        <w:rPr>
          <w:rFonts w:ascii="Cambria" w:hAnsi="Cambria" w:cs="Arial"/>
        </w:rPr>
      </w:pPr>
      <w:r w:rsidRPr="003A4C06">
        <w:rPr>
          <w:rFonts w:ascii="Cambria" w:hAnsi="Cambria" w:cs="Arial"/>
        </w:rPr>
        <w:lastRenderedPageBreak/>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rsidP="009A3D19">
      <w:pPr>
        <w:pStyle w:val="ListParagraph"/>
        <w:numPr>
          <w:ilvl w:val="0"/>
          <w:numId w:val="31"/>
        </w:numPr>
        <w:spacing w:before="120"/>
        <w:contextualSpacing w:val="0"/>
        <w:jc w:val="both"/>
        <w:rPr>
          <w:rFonts w:ascii="Cambria" w:hAnsi="Cambria" w:cs="Arial"/>
          <w:vanish/>
          <w:lang w:eastAsia="cs-CZ"/>
        </w:rPr>
      </w:pPr>
    </w:p>
    <w:p w14:paraId="11B33EDB" w14:textId="62605F30" w:rsidR="003A4C06" w:rsidRPr="0048216B" w:rsidRDefault="003A4C06" w:rsidP="009A3D19">
      <w:pPr>
        <w:pStyle w:val="MLOdsek"/>
        <w:numPr>
          <w:ilvl w:val="1"/>
          <w:numId w:val="31"/>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rsidP="009A3D19">
      <w:pPr>
        <w:pStyle w:val="MLOdsek"/>
        <w:numPr>
          <w:ilvl w:val="1"/>
          <w:numId w:val="31"/>
        </w:numPr>
        <w:spacing w:before="120" w:line="240" w:lineRule="auto"/>
        <w:ind w:hanging="907"/>
        <w:rPr>
          <w:rFonts w:ascii="Cambria" w:hAnsi="Cambria" w:cs="Arial"/>
        </w:rPr>
      </w:pPr>
      <w:bookmarkStart w:id="73"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73"/>
      <w:r w:rsidRPr="0048216B">
        <w:rPr>
          <w:rFonts w:ascii="Cambria" w:hAnsi="Cambria" w:cs="Arial"/>
        </w:rPr>
        <w:t xml:space="preserve"> </w:t>
      </w:r>
    </w:p>
    <w:p w14:paraId="37503B88" w14:textId="5A5391F4" w:rsidR="003A4C06" w:rsidRPr="0048216B" w:rsidRDefault="003A4C06" w:rsidP="009A3D19">
      <w:pPr>
        <w:pStyle w:val="MLOdsek"/>
        <w:numPr>
          <w:ilvl w:val="1"/>
          <w:numId w:val="31"/>
        </w:numPr>
        <w:spacing w:before="120" w:line="240" w:lineRule="auto"/>
        <w:ind w:hanging="907"/>
        <w:rPr>
          <w:rFonts w:ascii="Cambria" w:hAnsi="Cambria" w:cs="Arial"/>
        </w:rPr>
      </w:pPr>
      <w:r w:rsidRPr="0048216B">
        <w:rPr>
          <w:rFonts w:ascii="Cambria" w:hAnsi="Cambria" w:cs="Arial"/>
        </w:rPr>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rsidP="009A3D19">
      <w:pPr>
        <w:pStyle w:val="MLOdsek"/>
        <w:numPr>
          <w:ilvl w:val="1"/>
          <w:numId w:val="31"/>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rsidP="009A3D19">
      <w:pPr>
        <w:pStyle w:val="MLOdsek"/>
        <w:numPr>
          <w:ilvl w:val="1"/>
          <w:numId w:val="31"/>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rsidP="009A3D19">
      <w:pPr>
        <w:pStyle w:val="MLOdsek"/>
        <w:numPr>
          <w:ilvl w:val="1"/>
          <w:numId w:val="31"/>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t xml:space="preserve">Článok </w:t>
      </w:r>
      <w:r w:rsidR="00AA45BB" w:rsidRPr="002D799C">
        <w:rPr>
          <w:rFonts w:ascii="Cambria" w:hAnsi="Cambria"/>
          <w:color w:val="000000"/>
          <w:sz w:val="22"/>
          <w:szCs w:val="22"/>
        </w:rPr>
        <w:t>X</w:t>
      </w:r>
      <w:bookmarkEnd w:id="62"/>
      <w:bookmarkEnd w:id="63"/>
      <w:bookmarkEnd w:id="64"/>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4" w:name="_Toc368490349"/>
      <w:bookmarkStart w:id="75" w:name="_Toc368934372"/>
      <w:bookmarkStart w:id="76" w:name="_Toc45812012"/>
      <w:r w:rsidRPr="002D799C">
        <w:rPr>
          <w:rFonts w:ascii="Cambria" w:hAnsi="Cambria"/>
          <w:color w:val="000000"/>
          <w:sz w:val="22"/>
          <w:szCs w:val="22"/>
        </w:rPr>
        <w:t>Osobitné záväzky zhotoviteľa</w:t>
      </w:r>
      <w:bookmarkEnd w:id="74"/>
      <w:bookmarkEnd w:id="75"/>
      <w:bookmarkEnd w:id="76"/>
    </w:p>
    <w:p w14:paraId="70598519" w14:textId="77777777" w:rsidR="00027153" w:rsidRPr="00027153" w:rsidRDefault="00027153" w:rsidP="009A3D19">
      <w:pPr>
        <w:pStyle w:val="ListParagraph"/>
        <w:numPr>
          <w:ilvl w:val="0"/>
          <w:numId w:val="31"/>
        </w:numPr>
        <w:spacing w:before="120"/>
        <w:contextualSpacing w:val="0"/>
        <w:jc w:val="both"/>
        <w:rPr>
          <w:rFonts w:ascii="Cambria" w:hAnsi="Cambria" w:cs="Arial"/>
          <w:vanish/>
          <w:lang w:eastAsia="cs-CZ"/>
        </w:rPr>
      </w:pPr>
      <w:bookmarkStart w:id="77" w:name="_Toc368490352"/>
      <w:bookmarkStart w:id="78" w:name="_Toc368934375"/>
      <w:bookmarkStart w:id="79" w:name="_Toc45812013"/>
    </w:p>
    <w:p w14:paraId="2CC25531" w14:textId="01F515F7" w:rsidR="002D6FFB" w:rsidRPr="00027153" w:rsidRDefault="002D6FFB" w:rsidP="009A3D19">
      <w:pPr>
        <w:pStyle w:val="MLOdsek"/>
        <w:numPr>
          <w:ilvl w:val="1"/>
          <w:numId w:val="31"/>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využívaný informačný systém na evidenciu a správu prevádzkových incidentov poskytnutý objednávateľom (ďalej aj „IS Service Desk“), pokiaľ sa zmluvné strany písomne nedohodnú inak.</w:t>
      </w:r>
      <w:bookmarkEnd w:id="77"/>
      <w:bookmarkEnd w:id="78"/>
      <w:bookmarkEnd w:id="79"/>
      <w:r w:rsidR="006A02A0">
        <w:rPr>
          <w:rFonts w:ascii="Cambria" w:hAnsi="Cambria" w:cs="Arial"/>
        </w:rPr>
        <w:t xml:space="preserve"> IS Service Desk je používaný aj na poskytovanie servisných služieb podľa tejto zmluvy o dielo.</w:t>
      </w:r>
      <w:r w:rsidR="00C06510">
        <w:rPr>
          <w:rFonts w:ascii="Cambria" w:hAnsi="Cambria" w:cs="Arial"/>
        </w:rPr>
        <w:t xml:space="preserve"> IS Service Desk eviduje vadu a chybu ako incident.</w:t>
      </w:r>
    </w:p>
    <w:p w14:paraId="43440B18" w14:textId="74C53899" w:rsidR="005A5CDD" w:rsidRPr="00027153" w:rsidRDefault="005A5CDD" w:rsidP="009A3D19">
      <w:pPr>
        <w:pStyle w:val="MLOdsek"/>
        <w:numPr>
          <w:ilvl w:val="1"/>
          <w:numId w:val="31"/>
        </w:numPr>
        <w:spacing w:before="120" w:line="240" w:lineRule="auto"/>
        <w:ind w:hanging="907"/>
        <w:rPr>
          <w:rFonts w:ascii="Cambria" w:hAnsi="Cambria" w:cs="Arial"/>
        </w:rPr>
      </w:pPr>
      <w:r w:rsidRPr="00027153">
        <w:rPr>
          <w:rFonts w:ascii="Cambria" w:hAnsi="Cambria" w:cs="Arial"/>
        </w:rPr>
        <w:lastRenderedPageBreak/>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80"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80"/>
    <w:p w14:paraId="418F22C1" w14:textId="77777777" w:rsidR="004F0D8F" w:rsidRPr="004F0D8F" w:rsidRDefault="004F0D8F" w:rsidP="009A3D19">
      <w:pPr>
        <w:pStyle w:val="ListParagraph"/>
        <w:numPr>
          <w:ilvl w:val="0"/>
          <w:numId w:val="31"/>
        </w:numPr>
        <w:spacing w:before="120"/>
        <w:contextualSpacing w:val="0"/>
        <w:jc w:val="both"/>
        <w:rPr>
          <w:rFonts w:ascii="Cambria" w:hAnsi="Cambria" w:cs="Arial"/>
          <w:vanish/>
          <w:lang w:eastAsia="cs-CZ"/>
        </w:rPr>
      </w:pPr>
    </w:p>
    <w:p w14:paraId="71DDFCFA" w14:textId="5BF10672" w:rsidR="0012019B" w:rsidRPr="00F3488A" w:rsidRDefault="0012019B" w:rsidP="009A3D19">
      <w:pPr>
        <w:pStyle w:val="MLOdsek"/>
        <w:numPr>
          <w:ilvl w:val="1"/>
          <w:numId w:val="31"/>
        </w:numPr>
        <w:tabs>
          <w:tab w:val="num" w:pos="1199"/>
        </w:tabs>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o dielo zistí, že pre zabezpečenie funkčnosti a kompatibility Diela ako celku je nevyhnutné rozšíriť Dielo o ďalšiu časť alebo časti,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206D2C">
        <w:rPr>
          <w:rFonts w:ascii="Cambria" w:hAnsi="Cambria" w:cs="Arial"/>
        </w:rPr>
        <w:t> </w:t>
      </w:r>
      <w:r w:rsidRPr="00F3488A">
        <w:rPr>
          <w:rFonts w:ascii="Cambria" w:hAnsi="Cambria" w:cs="Arial"/>
        </w:rPr>
        <w:t>dielo</w:t>
      </w:r>
      <w:r w:rsidR="00206D2C">
        <w:rPr>
          <w:rFonts w:ascii="Cambria" w:hAnsi="Cambria" w:cs="Arial"/>
        </w:rPr>
        <w:t xml:space="preserve">; </w:t>
      </w:r>
      <w:r w:rsidR="00CC1C74">
        <w:rPr>
          <w:rFonts w:ascii="Cambria" w:hAnsi="Cambria" w:cs="Arial"/>
        </w:rPr>
        <w:t>písomný dodatok k tejto zmluve o dielo nie je povinné uzatvoriť, ak</w:t>
      </w:r>
      <w:r w:rsidR="00206D2C">
        <w:rPr>
          <w:rFonts w:ascii="Cambria" w:hAnsi="Cambria" w:cs="Arial"/>
        </w:rPr>
        <w:t xml:space="preserve"> hodnota všetkých zmien je vo finančnom vyjadrení nižšia ako 10 % hodnoty (pôvodnej) tejto zmluvy o dielo v súlade s § 18 ods. 3 písm. b) zákona o verejnom obstarávaní</w:t>
      </w:r>
      <w:r w:rsidR="00262E20">
        <w:rPr>
          <w:rFonts w:ascii="Cambria" w:hAnsi="Cambria" w:cs="Arial"/>
        </w:rPr>
        <w:t xml:space="preserve"> (de minimis)</w:t>
      </w:r>
      <w:r w:rsidR="005B6BF3">
        <w:rPr>
          <w:rFonts w:ascii="Cambria" w:hAnsi="Cambria" w:cs="Arial"/>
        </w:rPr>
        <w:t xml:space="preserve"> a</w:t>
      </w:r>
      <w:r w:rsidR="00894369">
        <w:rPr>
          <w:rFonts w:ascii="Cambria" w:hAnsi="Cambria" w:cs="Arial"/>
        </w:rPr>
        <w:t> </w:t>
      </w:r>
      <w:r w:rsidR="005B6BF3">
        <w:rPr>
          <w:rFonts w:ascii="Cambria" w:hAnsi="Cambria" w:cs="Arial"/>
        </w:rPr>
        <w:t>tát</w:t>
      </w:r>
      <w:r w:rsidR="00894369">
        <w:rPr>
          <w:rFonts w:ascii="Cambria" w:hAnsi="Cambria" w:cs="Arial"/>
        </w:rPr>
        <w:t>o zmena zmluvy o dielo je schválená Riadiacou radou projektu</w:t>
      </w:r>
      <w:r w:rsidR="00206D2C">
        <w:rPr>
          <w:rFonts w:ascii="Cambria" w:hAnsi="Cambria" w:cs="Arial"/>
        </w:rPr>
        <w:t>.</w:t>
      </w:r>
    </w:p>
    <w:p w14:paraId="1ADCE759" w14:textId="0BF36B5A" w:rsidR="00630632" w:rsidRDefault="0012019B" w:rsidP="009A3D19">
      <w:pPr>
        <w:pStyle w:val="MLOdsek"/>
        <w:numPr>
          <w:ilvl w:val="1"/>
          <w:numId w:val="31"/>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262E20">
        <w:rPr>
          <w:rFonts w:ascii="Cambria" w:hAnsi="Cambria" w:cs="Arial"/>
        </w:rPr>
        <w:t>, okrem dodatku de minimis,</w:t>
      </w:r>
      <w:r w:rsidRPr="00F3488A">
        <w:rPr>
          <w:rFonts w:ascii="Cambria" w:hAnsi="Cambria" w:cs="Arial"/>
        </w:rPr>
        <w:t xml:space="preserve"> 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6C3EFE60" w14:textId="21DB523F" w:rsidR="0012019B" w:rsidRDefault="00630632" w:rsidP="009A3D19">
      <w:pPr>
        <w:pStyle w:val="MLOdsek"/>
        <w:numPr>
          <w:ilvl w:val="1"/>
          <w:numId w:val="31"/>
        </w:numPr>
        <w:spacing w:before="120" w:line="240" w:lineRule="auto"/>
        <w:ind w:left="851" w:hanging="851"/>
        <w:rPr>
          <w:rFonts w:ascii="Cambria" w:hAnsi="Cambria" w:cs="Arial"/>
        </w:rPr>
      </w:pPr>
      <w:r>
        <w:rPr>
          <w:rFonts w:ascii="Cambria" w:hAnsi="Cambria" w:cs="Arial"/>
        </w:rPr>
        <w:t>Zmena termínu dodania čiastkového plnenia mimo termínu fakturačného míľnika nevyžaduje písomný dodatok k tejto zmluve o dielo. Takúto zmenu musí schváliť Riadiaca rada projektu.</w:t>
      </w:r>
      <w:r w:rsidR="003F0C6E">
        <w:rPr>
          <w:rFonts w:ascii="Cambria" w:hAnsi="Cambria" w:cs="Arial"/>
        </w:rPr>
        <w:t xml:space="preserve"> </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5540C85F" w14:textId="77777777" w:rsidR="000D2345" w:rsidRPr="000D2345" w:rsidRDefault="000D2345" w:rsidP="009A3D19">
      <w:pPr>
        <w:pStyle w:val="ListParagraph"/>
        <w:numPr>
          <w:ilvl w:val="0"/>
          <w:numId w:val="31"/>
        </w:numPr>
        <w:spacing w:before="120"/>
        <w:contextualSpacing w:val="0"/>
        <w:jc w:val="both"/>
        <w:rPr>
          <w:rFonts w:ascii="Cambria" w:hAnsi="Cambria" w:cs="Arial"/>
          <w:vanish/>
          <w:lang w:eastAsia="cs-CZ"/>
        </w:rPr>
      </w:pPr>
      <w:bookmarkStart w:id="81" w:name="_Ref95813551"/>
    </w:p>
    <w:p w14:paraId="6025BA4F" w14:textId="0CF01CD8" w:rsidR="00E51B2D" w:rsidRPr="000D2345" w:rsidRDefault="00E51B2D"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Objednávateľ je oprávnený požadovať od </w:t>
      </w:r>
      <w:r w:rsidR="002057F0">
        <w:rPr>
          <w:rFonts w:ascii="Cambria" w:hAnsi="Cambria" w:cs="Arial"/>
        </w:rPr>
        <w:t>z</w:t>
      </w:r>
      <w:r w:rsidRPr="000D2345">
        <w:rPr>
          <w:rFonts w:ascii="Cambria" w:hAnsi="Cambria" w:cs="Arial"/>
        </w:rPr>
        <w:t>hotoviteľa zmluvnú pokutu vo výške:</w:t>
      </w:r>
      <w:bookmarkEnd w:id="81"/>
    </w:p>
    <w:p w14:paraId="78E84D13" w14:textId="06A538FD" w:rsidR="00F5423E"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0,</w:t>
      </w:r>
      <w:r w:rsidR="00957102">
        <w:rPr>
          <w:rFonts w:ascii="Cambria" w:hAnsi="Cambria" w:cs="Arial"/>
        </w:rPr>
        <w:t>1</w:t>
      </w:r>
      <w:r w:rsidR="0053724D">
        <w:rPr>
          <w:rFonts w:ascii="Cambria" w:hAnsi="Cambria" w:cs="Arial"/>
        </w:rPr>
        <w:t>0</w:t>
      </w:r>
      <w:r w:rsidRPr="000D2345">
        <w:rPr>
          <w:rFonts w:ascii="Cambria" w:hAnsi="Cambria" w:cs="Arial"/>
        </w:rPr>
        <w:t xml:space="preserve"> % </w:t>
      </w:r>
      <w:r w:rsidR="005E4150">
        <w:rPr>
          <w:rFonts w:ascii="Cambria" w:hAnsi="Cambria" w:cs="Arial"/>
        </w:rPr>
        <w:t xml:space="preserve">(slovom jedna desatina percenta) </w:t>
      </w:r>
      <w:r w:rsidRPr="000D2345">
        <w:rPr>
          <w:rFonts w:ascii="Cambria" w:hAnsi="Cambria" w:cs="Arial"/>
        </w:rPr>
        <w:t>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za každý (aj začatý) deň omeškania, ak je </w:t>
      </w:r>
      <w:r w:rsidR="005F08CC">
        <w:rPr>
          <w:rFonts w:ascii="Cambria" w:hAnsi="Cambria" w:cs="Arial"/>
        </w:rPr>
        <w:t>z</w:t>
      </w:r>
      <w:r w:rsidRPr="000D2345">
        <w:rPr>
          <w:rFonts w:ascii="Cambria" w:hAnsi="Cambria" w:cs="Arial"/>
        </w:rPr>
        <w:t>hotoviteľ v omeškaní so splnením povinnosti odovzdať Dielo v termíne podľa bodu</w:t>
      </w:r>
      <w:r w:rsidR="00AB6984">
        <w:rPr>
          <w:rFonts w:ascii="Cambria" w:hAnsi="Cambria" w:cs="Arial"/>
        </w:rPr>
        <w:t xml:space="preserve"> 3.4</w:t>
      </w:r>
      <w:r w:rsidR="00EA6D36">
        <w:rPr>
          <w:rFonts w:ascii="Cambria" w:hAnsi="Cambria" w:cs="Arial"/>
        </w:rPr>
        <w:t xml:space="preserve">. </w:t>
      </w:r>
      <w:r w:rsidRPr="000D2345">
        <w:rPr>
          <w:rFonts w:ascii="Cambria" w:hAnsi="Cambria" w:cs="Arial"/>
        </w:rPr>
        <w:t xml:space="preserve">tejto </w:t>
      </w:r>
      <w:r w:rsidR="00E55B38">
        <w:rPr>
          <w:rFonts w:ascii="Cambria" w:hAnsi="Cambria" w:cs="Arial"/>
        </w:rPr>
        <w:t>z</w:t>
      </w:r>
      <w:r w:rsidRPr="000D2345">
        <w:rPr>
          <w:rFonts w:ascii="Cambria" w:hAnsi="Cambria" w:cs="Arial"/>
        </w:rPr>
        <w:t>mluvy o</w:t>
      </w:r>
      <w:r w:rsidR="00F309DC">
        <w:rPr>
          <w:rFonts w:ascii="Cambria" w:hAnsi="Cambria" w:cs="Arial"/>
        </w:rPr>
        <w:t> </w:t>
      </w:r>
      <w:r w:rsidRPr="000D2345">
        <w:rPr>
          <w:rFonts w:ascii="Cambria" w:hAnsi="Cambria" w:cs="Arial"/>
        </w:rPr>
        <w:t>dielo</w:t>
      </w:r>
      <w:r w:rsidR="00F309DC">
        <w:rPr>
          <w:rFonts w:ascii="Cambria" w:hAnsi="Cambria" w:cs="Arial"/>
        </w:rPr>
        <w:t xml:space="preserve"> o viac ako 7 (sedem) kalendárnych dní</w:t>
      </w:r>
      <w:r w:rsidRPr="000D2345">
        <w:rPr>
          <w:rFonts w:ascii="Cambria" w:hAnsi="Cambria" w:cs="Arial"/>
        </w:rPr>
        <w:t>,</w:t>
      </w:r>
    </w:p>
    <w:p w14:paraId="6D253C4F" w14:textId="0B87F05F" w:rsidR="00E51B2D" w:rsidRPr="00430ED4" w:rsidRDefault="00E51B2D" w:rsidP="009A3D19">
      <w:pPr>
        <w:pStyle w:val="MLOdsek"/>
        <w:numPr>
          <w:ilvl w:val="2"/>
          <w:numId w:val="31"/>
        </w:numPr>
        <w:spacing w:before="120" w:line="240" w:lineRule="auto"/>
        <w:ind w:hanging="992"/>
        <w:rPr>
          <w:rFonts w:ascii="Cambria" w:hAnsi="Cambria" w:cs="Arial"/>
        </w:rPr>
      </w:pPr>
      <w:r w:rsidRPr="00430ED4">
        <w:rPr>
          <w:rFonts w:ascii="Cambria" w:hAnsi="Cambria" w:cs="Arial"/>
        </w:rPr>
        <w:t>0,</w:t>
      </w:r>
      <w:r w:rsidR="00253713">
        <w:rPr>
          <w:rFonts w:ascii="Cambria" w:hAnsi="Cambria" w:cs="Arial"/>
        </w:rPr>
        <w:t>05</w:t>
      </w:r>
      <w:r w:rsidRPr="00430ED4">
        <w:rPr>
          <w:rFonts w:ascii="Cambria" w:hAnsi="Cambria" w:cs="Arial"/>
        </w:rPr>
        <w:t xml:space="preserve"> % z</w:t>
      </w:r>
      <w:r w:rsidR="004966B8">
        <w:rPr>
          <w:rFonts w:ascii="Cambria" w:hAnsi="Cambria" w:cs="Arial"/>
        </w:rPr>
        <w:t xml:space="preserve"> celkovej </w:t>
      </w:r>
      <w:r w:rsidR="003E70DE">
        <w:rPr>
          <w:rFonts w:ascii="Cambria" w:hAnsi="Cambria" w:cs="Arial"/>
        </w:rPr>
        <w:t>c</w:t>
      </w:r>
      <w:r w:rsidRPr="00430ED4">
        <w:rPr>
          <w:rFonts w:ascii="Cambria" w:hAnsi="Cambria" w:cs="Arial"/>
        </w:rPr>
        <w:t xml:space="preserve">eny Diela, za každý (aj začatý) deň omeškania, ak je </w:t>
      </w:r>
      <w:r w:rsidR="00106056" w:rsidRPr="00430ED4">
        <w:rPr>
          <w:rFonts w:ascii="Cambria" w:hAnsi="Cambria" w:cs="Arial"/>
        </w:rPr>
        <w:t>z</w:t>
      </w:r>
      <w:r w:rsidRPr="00430ED4">
        <w:rPr>
          <w:rFonts w:ascii="Cambria" w:hAnsi="Cambria" w:cs="Arial"/>
        </w:rPr>
        <w:t>hotoviteľ v omeškaní so splnením povinnosti poskytnúť</w:t>
      </w:r>
      <w:r w:rsidR="00430ED4" w:rsidRPr="00430ED4">
        <w:rPr>
          <w:rFonts w:ascii="Cambria" w:hAnsi="Cambria" w:cs="Arial"/>
        </w:rPr>
        <w:t>, aj jednotlivú,</w:t>
      </w:r>
      <w:r w:rsidRPr="00430ED4">
        <w:rPr>
          <w:rFonts w:ascii="Cambria" w:hAnsi="Cambria" w:cs="Arial"/>
        </w:rPr>
        <w:t xml:space="preserve"> súčinnosť podľa čl</w:t>
      </w:r>
      <w:r w:rsidR="00B37D08">
        <w:rPr>
          <w:rFonts w:ascii="Cambria" w:hAnsi="Cambria" w:cs="Arial"/>
        </w:rPr>
        <w:t>ánku</w:t>
      </w:r>
      <w:r w:rsidRPr="00430ED4">
        <w:rPr>
          <w:rFonts w:ascii="Cambria" w:hAnsi="Cambria" w:cs="Arial"/>
        </w:rPr>
        <w:t xml:space="preserve"> </w:t>
      </w:r>
      <w:r w:rsidR="00B37D08">
        <w:rPr>
          <w:rFonts w:ascii="Cambria" w:hAnsi="Cambria" w:cs="Arial"/>
        </w:rPr>
        <w:t>XIII</w:t>
      </w:r>
      <w:r w:rsidRPr="00430ED4">
        <w:rPr>
          <w:rFonts w:ascii="Cambria" w:hAnsi="Cambria" w:cs="Arial"/>
        </w:rPr>
        <w:t xml:space="preserve"> tejto </w:t>
      </w:r>
      <w:r w:rsidR="00111458" w:rsidRPr="00430ED4">
        <w:rPr>
          <w:rFonts w:ascii="Cambria" w:hAnsi="Cambria" w:cs="Arial"/>
        </w:rPr>
        <w:t>z</w:t>
      </w:r>
      <w:r w:rsidRPr="00430ED4">
        <w:rPr>
          <w:rFonts w:ascii="Cambria" w:hAnsi="Cambria" w:cs="Arial"/>
        </w:rPr>
        <w:t xml:space="preserve">mluvy o dielo, </w:t>
      </w:r>
    </w:p>
    <w:p w14:paraId="48878B60" w14:textId="791D114C" w:rsidR="00E51B2D" w:rsidRPr="008B279E" w:rsidRDefault="00E51B2D" w:rsidP="009A3D19">
      <w:pPr>
        <w:pStyle w:val="MLOdsek"/>
        <w:numPr>
          <w:ilvl w:val="2"/>
          <w:numId w:val="31"/>
        </w:numPr>
        <w:spacing w:before="120" w:line="240" w:lineRule="auto"/>
        <w:ind w:hanging="992"/>
        <w:rPr>
          <w:rFonts w:ascii="Cambria" w:hAnsi="Cambria" w:cs="Arial"/>
        </w:rPr>
      </w:pPr>
      <w:r w:rsidRPr="00996C03">
        <w:rPr>
          <w:rFonts w:ascii="Cambria" w:hAnsi="Cambria" w:cs="Arial"/>
        </w:rPr>
        <w:t>0,10 % z</w:t>
      </w:r>
      <w:r w:rsidR="004966B8">
        <w:rPr>
          <w:rFonts w:ascii="Cambria" w:hAnsi="Cambria" w:cs="Arial"/>
        </w:rPr>
        <w:t xml:space="preserve"> celkovej </w:t>
      </w:r>
      <w:r w:rsidR="003E70DE">
        <w:rPr>
          <w:rFonts w:ascii="Cambria" w:hAnsi="Cambria" w:cs="Arial"/>
        </w:rPr>
        <w:t>c</w:t>
      </w:r>
      <w:r w:rsidRPr="00996C03">
        <w:rPr>
          <w:rFonts w:ascii="Cambria" w:hAnsi="Cambria" w:cs="Arial"/>
        </w:rPr>
        <w:t xml:space="preserve">eny Diela, za každý (aj začatý) deň omeškania, ak je </w:t>
      </w:r>
      <w:r w:rsidR="00106056" w:rsidRPr="00996C03">
        <w:rPr>
          <w:rFonts w:ascii="Cambria" w:hAnsi="Cambria" w:cs="Arial"/>
        </w:rPr>
        <w:t>z</w:t>
      </w:r>
      <w:r w:rsidRPr="00996C03">
        <w:rPr>
          <w:rFonts w:ascii="Cambria" w:hAnsi="Cambria" w:cs="Arial"/>
        </w:rPr>
        <w:t>hotoviteľ v </w:t>
      </w:r>
      <w:r w:rsidRPr="008B279E">
        <w:rPr>
          <w:rFonts w:ascii="Cambria" w:hAnsi="Cambria" w:cs="Arial"/>
        </w:rPr>
        <w:t xml:space="preserve">omeškaní so splnením povinnosti odovzdať </w:t>
      </w:r>
      <w:r w:rsidR="00716271" w:rsidRPr="008B279E">
        <w:rPr>
          <w:rFonts w:ascii="Cambria" w:hAnsi="Cambria" w:cs="Arial"/>
        </w:rPr>
        <w:t>jednotlivé čiastkové plnenie (</w:t>
      </w:r>
      <w:r w:rsidRPr="008B279E">
        <w:rPr>
          <w:rFonts w:ascii="Cambria" w:hAnsi="Cambria" w:cs="Arial"/>
        </w:rPr>
        <w:t>časť Diela</w:t>
      </w:r>
      <w:r w:rsidR="00716271" w:rsidRPr="008B279E">
        <w:rPr>
          <w:rFonts w:ascii="Cambria" w:hAnsi="Cambria" w:cs="Arial"/>
        </w:rPr>
        <w:t xml:space="preserve">) </w:t>
      </w:r>
      <w:r w:rsidRPr="008B279E">
        <w:rPr>
          <w:rFonts w:ascii="Cambria" w:hAnsi="Cambria" w:cs="Arial"/>
        </w:rPr>
        <w:t xml:space="preserve">v termíne špecifikovanom v časovom harmonograme podľa prílohy č. </w:t>
      </w:r>
      <w:r w:rsidR="00C856CF" w:rsidRPr="008B279E">
        <w:rPr>
          <w:rFonts w:ascii="Cambria" w:hAnsi="Cambria" w:cs="Arial"/>
        </w:rPr>
        <w:t>3</w:t>
      </w:r>
      <w:r w:rsidRPr="008B279E">
        <w:rPr>
          <w:rFonts w:ascii="Cambria" w:hAnsi="Cambria" w:cs="Arial"/>
        </w:rPr>
        <w:t xml:space="preserve">  tejto </w:t>
      </w:r>
      <w:r w:rsidR="00106056" w:rsidRPr="008B279E">
        <w:rPr>
          <w:rFonts w:ascii="Cambria" w:hAnsi="Cambria" w:cs="Arial"/>
        </w:rPr>
        <w:t>z</w:t>
      </w:r>
      <w:r w:rsidRPr="008B279E">
        <w:rPr>
          <w:rFonts w:ascii="Cambria" w:hAnsi="Cambria" w:cs="Arial"/>
        </w:rPr>
        <w:t>mluvy o</w:t>
      </w:r>
      <w:r w:rsidR="00716271" w:rsidRPr="008B279E">
        <w:rPr>
          <w:rFonts w:ascii="Cambria" w:hAnsi="Cambria" w:cs="Arial"/>
        </w:rPr>
        <w:t> </w:t>
      </w:r>
      <w:r w:rsidRPr="008B279E">
        <w:rPr>
          <w:rFonts w:ascii="Cambria" w:hAnsi="Cambria" w:cs="Arial"/>
        </w:rPr>
        <w:t>dielo</w:t>
      </w:r>
      <w:r w:rsidR="00716271" w:rsidRPr="008B279E">
        <w:rPr>
          <w:rFonts w:ascii="Cambria" w:hAnsi="Cambria" w:cs="Arial"/>
        </w:rPr>
        <w:t>,</w:t>
      </w:r>
    </w:p>
    <w:p w14:paraId="12FAB247" w14:textId="6B2D97ED" w:rsidR="00E51B2D" w:rsidRPr="008B279E" w:rsidRDefault="00E51B2D" w:rsidP="009A3D19">
      <w:pPr>
        <w:pStyle w:val="MLOdsek"/>
        <w:numPr>
          <w:ilvl w:val="2"/>
          <w:numId w:val="31"/>
        </w:numPr>
        <w:spacing w:before="120" w:line="240" w:lineRule="auto"/>
        <w:ind w:hanging="992"/>
        <w:rPr>
          <w:rFonts w:ascii="Cambria" w:hAnsi="Cambria" w:cs="Arial"/>
        </w:rPr>
      </w:pPr>
      <w:r w:rsidRPr="008B279E">
        <w:rPr>
          <w:rFonts w:ascii="Cambria" w:hAnsi="Cambria" w:cs="Arial"/>
        </w:rPr>
        <w:t>0,10 % z</w:t>
      </w:r>
      <w:r w:rsidR="004966B8">
        <w:rPr>
          <w:rFonts w:ascii="Cambria" w:hAnsi="Cambria" w:cs="Arial"/>
        </w:rPr>
        <w:t xml:space="preserve"> celkovej </w:t>
      </w:r>
      <w:r w:rsidR="003E70DE" w:rsidRPr="008B279E">
        <w:rPr>
          <w:rFonts w:ascii="Cambria" w:hAnsi="Cambria" w:cs="Arial"/>
        </w:rPr>
        <w:t>c</w:t>
      </w:r>
      <w:r w:rsidRPr="008B279E">
        <w:rPr>
          <w:rFonts w:ascii="Cambria" w:hAnsi="Cambria" w:cs="Arial"/>
        </w:rPr>
        <w:t xml:space="preserve">eny Diela, za každý (aj začatý) deň omeškania, ak je </w:t>
      </w:r>
      <w:r w:rsidR="00716271" w:rsidRPr="008B279E">
        <w:rPr>
          <w:rFonts w:ascii="Cambria" w:hAnsi="Cambria" w:cs="Arial"/>
        </w:rPr>
        <w:t>z</w:t>
      </w:r>
      <w:r w:rsidRPr="008B279E">
        <w:rPr>
          <w:rFonts w:ascii="Cambria" w:hAnsi="Cambria" w:cs="Arial"/>
        </w:rPr>
        <w:t>hotoviteľ v omeškaní so splnením povinnosti odstrániť</w:t>
      </w:r>
      <w:r w:rsidR="00515E78">
        <w:rPr>
          <w:rFonts w:ascii="Cambria" w:hAnsi="Cambria" w:cs="Arial"/>
        </w:rPr>
        <w:t xml:space="preserve"> </w:t>
      </w:r>
      <w:r w:rsidR="00842637" w:rsidRPr="008B279E">
        <w:rPr>
          <w:rFonts w:ascii="Cambria" w:hAnsi="Cambria" w:cs="Arial"/>
        </w:rPr>
        <w:t>Zásadnú vadu</w:t>
      </w:r>
      <w:r w:rsidRPr="008B279E">
        <w:rPr>
          <w:rFonts w:ascii="Cambria" w:hAnsi="Cambria" w:cs="Arial"/>
        </w:rPr>
        <w:t xml:space="preserve"> Diela (A) </w:t>
      </w:r>
      <w:r w:rsidR="00FA0067" w:rsidRPr="008B279E">
        <w:rPr>
          <w:rFonts w:ascii="Cambria" w:hAnsi="Cambria" w:cs="Arial"/>
        </w:rPr>
        <w:t>do 2 pracovných dní v zmysle prílohy č. 8 tejto zmluvy o dielo</w:t>
      </w:r>
      <w:r w:rsidRPr="008B279E">
        <w:rPr>
          <w:rFonts w:ascii="Cambria" w:hAnsi="Cambria" w:cs="Arial"/>
        </w:rPr>
        <w:t>,</w:t>
      </w:r>
    </w:p>
    <w:p w14:paraId="3695FD73" w14:textId="4F2A6119" w:rsidR="00E51B2D" w:rsidRPr="008B279E" w:rsidRDefault="00E51B2D" w:rsidP="009A3D19">
      <w:pPr>
        <w:pStyle w:val="MLOdsek"/>
        <w:numPr>
          <w:ilvl w:val="2"/>
          <w:numId w:val="31"/>
        </w:numPr>
        <w:spacing w:before="120" w:line="240" w:lineRule="auto"/>
        <w:ind w:hanging="992"/>
        <w:rPr>
          <w:rFonts w:ascii="Cambria" w:hAnsi="Cambria" w:cs="Arial"/>
        </w:rPr>
      </w:pPr>
      <w:r w:rsidRPr="008B279E">
        <w:rPr>
          <w:rFonts w:ascii="Cambria" w:hAnsi="Cambria" w:cs="Arial"/>
        </w:rPr>
        <w:t>0,05 % z</w:t>
      </w:r>
      <w:r w:rsidR="004966B8">
        <w:rPr>
          <w:rFonts w:ascii="Cambria" w:hAnsi="Cambria" w:cs="Arial"/>
        </w:rPr>
        <w:t xml:space="preserve"> celkovej </w:t>
      </w:r>
      <w:r w:rsidR="003E70DE" w:rsidRPr="008B279E">
        <w:rPr>
          <w:rFonts w:ascii="Cambria" w:hAnsi="Cambria" w:cs="Arial"/>
        </w:rPr>
        <w:t>c</w:t>
      </w:r>
      <w:r w:rsidRPr="008B279E">
        <w:rPr>
          <w:rFonts w:ascii="Cambria" w:hAnsi="Cambria" w:cs="Arial"/>
        </w:rPr>
        <w:t xml:space="preserve">eny Diela, za každý (aj začatý) deň omeškania, ak je </w:t>
      </w:r>
      <w:r w:rsidR="00554D4F" w:rsidRPr="008B279E">
        <w:rPr>
          <w:rFonts w:ascii="Cambria" w:hAnsi="Cambria" w:cs="Arial"/>
        </w:rPr>
        <w:t>z</w:t>
      </w:r>
      <w:r w:rsidRPr="008B279E">
        <w:rPr>
          <w:rFonts w:ascii="Cambria" w:hAnsi="Cambria" w:cs="Arial"/>
        </w:rPr>
        <w:t xml:space="preserve">hotoviteľ v omeškaní so splnením povinnosti odstrániť </w:t>
      </w:r>
      <w:r w:rsidR="00842637" w:rsidRPr="008B279E">
        <w:rPr>
          <w:rFonts w:ascii="Cambria" w:hAnsi="Cambria" w:cs="Arial"/>
        </w:rPr>
        <w:t xml:space="preserve">Závažnú </w:t>
      </w:r>
      <w:r w:rsidRPr="008B279E">
        <w:rPr>
          <w:rFonts w:ascii="Cambria" w:hAnsi="Cambria" w:cs="Arial"/>
        </w:rPr>
        <w:t>vadu Diela úrovne (B)</w:t>
      </w:r>
      <w:r w:rsidR="00FA0067" w:rsidRPr="008B279E">
        <w:rPr>
          <w:rFonts w:ascii="Cambria" w:hAnsi="Cambria" w:cs="Arial"/>
        </w:rPr>
        <w:t xml:space="preserve"> do 5 pracovných dní</w:t>
      </w:r>
      <w:r w:rsidRPr="008B279E">
        <w:rPr>
          <w:rFonts w:ascii="Cambria" w:hAnsi="Cambria" w:cs="Arial"/>
        </w:rPr>
        <w:t xml:space="preserve"> alebo </w:t>
      </w:r>
      <w:r w:rsidR="00842637" w:rsidRPr="008B279E">
        <w:rPr>
          <w:rFonts w:ascii="Cambria" w:hAnsi="Cambria" w:cs="Arial"/>
        </w:rPr>
        <w:t xml:space="preserve">Nepodstatnú vadu </w:t>
      </w:r>
      <w:r w:rsidR="00FA0067" w:rsidRPr="008B279E">
        <w:rPr>
          <w:rFonts w:ascii="Cambria" w:hAnsi="Cambria" w:cs="Arial"/>
        </w:rPr>
        <w:t xml:space="preserve">do 10 pracovných dní </w:t>
      </w:r>
      <w:r w:rsidRPr="008B279E">
        <w:rPr>
          <w:rFonts w:ascii="Cambria" w:hAnsi="Cambria" w:cs="Arial"/>
        </w:rPr>
        <w:t xml:space="preserve">(C) </w:t>
      </w:r>
      <w:r w:rsidR="00FA0067" w:rsidRPr="008B279E">
        <w:rPr>
          <w:rFonts w:ascii="Cambria" w:hAnsi="Cambria" w:cs="Arial"/>
        </w:rPr>
        <w:t>v zmysle prílohy č. 8 tejto zmluvy o dielo</w:t>
      </w:r>
      <w:r w:rsidRPr="008B279E">
        <w:rPr>
          <w:rFonts w:ascii="Cambria" w:hAnsi="Cambria" w:cs="Arial"/>
        </w:rPr>
        <w:t>,</w:t>
      </w:r>
    </w:p>
    <w:p w14:paraId="43FF64A0" w14:textId="59527CB5"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lastRenderedPageBreak/>
        <w:t xml:space="preserve">10.000,- </w:t>
      </w:r>
      <w:r w:rsidR="00A40F1D">
        <w:rPr>
          <w:rFonts w:ascii="Cambria" w:hAnsi="Cambria" w:cs="Arial"/>
        </w:rPr>
        <w:t>eur</w:t>
      </w:r>
      <w:r w:rsidRPr="000D2345">
        <w:rPr>
          <w:rFonts w:ascii="Cambria" w:hAnsi="Cambria" w:cs="Arial"/>
        </w:rPr>
        <w:t xml:space="preserve"> (slovom: desaťtisíc eur), za každý (aj začatý) deň omeškania, ak je </w:t>
      </w:r>
      <w:r w:rsidR="00A40F1D">
        <w:rPr>
          <w:rFonts w:ascii="Cambria" w:hAnsi="Cambria" w:cs="Arial"/>
        </w:rPr>
        <w:t>z</w:t>
      </w:r>
      <w:r w:rsidRPr="000D2345">
        <w:rPr>
          <w:rFonts w:ascii="Cambria" w:hAnsi="Cambria" w:cs="Arial"/>
        </w:rPr>
        <w:t xml:space="preserve">hotoviteľ v omeškaní so splnením povinnosti odovzdať vývojové prostredie </w:t>
      </w:r>
      <w:r w:rsidR="00974234">
        <w:rPr>
          <w:rFonts w:ascii="Cambria" w:hAnsi="Cambria" w:cs="Arial"/>
        </w:rPr>
        <w:t>dodaného i</w:t>
      </w:r>
      <w:r w:rsidRPr="000D2345">
        <w:rPr>
          <w:rFonts w:ascii="Cambria" w:hAnsi="Cambria" w:cs="Arial"/>
        </w:rPr>
        <w:t xml:space="preserve">nformačného systému podľa bodu </w:t>
      </w:r>
      <w:r w:rsidR="00A40F1D">
        <w:rPr>
          <w:rFonts w:ascii="Cambria" w:hAnsi="Cambria" w:cs="Arial"/>
        </w:rPr>
        <w:t xml:space="preserve">9.1. </w:t>
      </w:r>
      <w:r w:rsidRPr="000D2345">
        <w:rPr>
          <w:rFonts w:ascii="Cambria" w:hAnsi="Cambria" w:cs="Arial"/>
        </w:rPr>
        <w:t xml:space="preserve">tejto </w:t>
      </w:r>
      <w:r w:rsidR="00A40F1D">
        <w:rPr>
          <w:rFonts w:ascii="Cambria" w:hAnsi="Cambria" w:cs="Arial"/>
        </w:rPr>
        <w:t>z</w:t>
      </w:r>
      <w:r w:rsidRPr="000D2345">
        <w:rPr>
          <w:rFonts w:ascii="Cambria" w:hAnsi="Cambria" w:cs="Arial"/>
        </w:rPr>
        <w:t>mluvy o dielo,</w:t>
      </w:r>
    </w:p>
    <w:p w14:paraId="37C42F9C" w14:textId="270650AD"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 xml:space="preserve">10.000,- </w:t>
      </w:r>
      <w:r w:rsidR="00EC4166">
        <w:rPr>
          <w:rFonts w:ascii="Cambria" w:hAnsi="Cambria" w:cs="Arial"/>
        </w:rPr>
        <w:t>eur</w:t>
      </w:r>
      <w:r w:rsidR="00EC4166" w:rsidRPr="000D2345">
        <w:rPr>
          <w:rFonts w:ascii="Cambria" w:hAnsi="Cambria" w:cs="Arial"/>
        </w:rPr>
        <w:t xml:space="preserve"> </w:t>
      </w:r>
      <w:r w:rsidRPr="000D2345">
        <w:rPr>
          <w:rFonts w:ascii="Cambria" w:hAnsi="Cambria" w:cs="Arial"/>
        </w:rPr>
        <w:t xml:space="preserve">(slovom: desaťtisíc eur) za každý aj začatý deň omeškania, ak je zhotoviteľ v omeškaní so splnením povinnosti v zmysle </w:t>
      </w:r>
      <w:r w:rsidR="001810AD">
        <w:rPr>
          <w:rFonts w:ascii="Cambria" w:hAnsi="Cambria" w:cs="Arial"/>
        </w:rPr>
        <w:t>bodu</w:t>
      </w:r>
      <w:r w:rsidRPr="000D2345">
        <w:rPr>
          <w:rFonts w:ascii="Cambria" w:hAnsi="Cambria" w:cs="Arial"/>
        </w:rPr>
        <w:t xml:space="preserve"> </w:t>
      </w:r>
      <w:r w:rsidR="009833F5">
        <w:rPr>
          <w:rFonts w:ascii="Cambria" w:hAnsi="Cambria" w:cs="Arial"/>
        </w:rPr>
        <w:t>9.2</w:t>
      </w:r>
      <w:r w:rsidR="00EC4166">
        <w:rPr>
          <w:rFonts w:ascii="Cambria" w:hAnsi="Cambria" w:cs="Arial"/>
        </w:rPr>
        <w:t>.</w:t>
      </w:r>
      <w:r w:rsidRPr="000D2345">
        <w:rPr>
          <w:rFonts w:ascii="Cambria" w:hAnsi="Cambria" w:cs="Arial"/>
        </w:rPr>
        <w:t xml:space="preserve"> tejto </w:t>
      </w:r>
      <w:r w:rsidR="00EC4166">
        <w:rPr>
          <w:rFonts w:ascii="Cambria" w:hAnsi="Cambria" w:cs="Arial"/>
        </w:rPr>
        <w:t>z</w:t>
      </w:r>
      <w:r w:rsidRPr="000D2345">
        <w:rPr>
          <w:rFonts w:ascii="Cambria" w:hAnsi="Cambria" w:cs="Arial"/>
        </w:rPr>
        <w:t>mluvy o dielo,</w:t>
      </w:r>
    </w:p>
    <w:p w14:paraId="7C633335" w14:textId="27DBDB9E"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10 % 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ak </w:t>
      </w:r>
      <w:r w:rsidR="00AF30E4">
        <w:rPr>
          <w:rFonts w:ascii="Cambria" w:hAnsi="Cambria" w:cs="Arial"/>
        </w:rPr>
        <w:t>z</w:t>
      </w:r>
      <w:r w:rsidRPr="000D2345">
        <w:rPr>
          <w:rFonts w:ascii="Cambria" w:hAnsi="Cambria" w:cs="Arial"/>
        </w:rPr>
        <w:t xml:space="preserve">hotoviteľ poruší povinnosť </w:t>
      </w:r>
      <w:r w:rsidR="00AF30E4">
        <w:rPr>
          <w:rFonts w:ascii="Cambria" w:hAnsi="Cambria" w:cs="Arial"/>
        </w:rPr>
        <w:t>z</w:t>
      </w:r>
      <w:r w:rsidRPr="000D2345">
        <w:rPr>
          <w:rFonts w:ascii="Cambria" w:hAnsi="Cambria" w:cs="Arial"/>
        </w:rPr>
        <w:t xml:space="preserve">hotoviteľa podľa </w:t>
      </w:r>
      <w:r w:rsidR="001E3748">
        <w:rPr>
          <w:rFonts w:ascii="Cambria" w:hAnsi="Cambria" w:cs="Arial"/>
        </w:rPr>
        <w:t>bodu 2.1.1.</w:t>
      </w:r>
      <w:r w:rsidR="00D857ED">
        <w:rPr>
          <w:rFonts w:ascii="Cambria" w:hAnsi="Cambria" w:cs="Arial"/>
        </w:rPr>
        <w:t xml:space="preserve"> </w:t>
      </w:r>
      <w:r w:rsidRPr="000D2345">
        <w:rPr>
          <w:rFonts w:ascii="Cambria" w:hAnsi="Cambria" w:cs="Arial"/>
        </w:rPr>
        <w:t xml:space="preserve">tejto </w:t>
      </w:r>
      <w:r w:rsidR="00D5232D">
        <w:rPr>
          <w:rFonts w:ascii="Cambria" w:hAnsi="Cambria" w:cs="Arial"/>
        </w:rPr>
        <w:t>z</w:t>
      </w:r>
      <w:r w:rsidRPr="000D2345">
        <w:rPr>
          <w:rFonts w:ascii="Cambria" w:hAnsi="Cambria" w:cs="Arial"/>
        </w:rPr>
        <w:t>mluvy o dielo,</w:t>
      </w:r>
    </w:p>
    <w:p w14:paraId="0137F030" w14:textId="38850694"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1 % 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ak </w:t>
      </w:r>
      <w:r w:rsidR="009E6C74">
        <w:rPr>
          <w:rFonts w:ascii="Cambria" w:hAnsi="Cambria" w:cs="Arial"/>
        </w:rPr>
        <w:t>z</w:t>
      </w:r>
      <w:r w:rsidRPr="000D2345">
        <w:rPr>
          <w:rFonts w:ascii="Cambria" w:hAnsi="Cambria" w:cs="Arial"/>
        </w:rPr>
        <w:t>hotoviteľ neposkytne ktorúkoľvek z licencií podľa čl</w:t>
      </w:r>
      <w:r w:rsidR="009E6C74">
        <w:rPr>
          <w:rFonts w:ascii="Cambria" w:hAnsi="Cambria" w:cs="Arial"/>
        </w:rPr>
        <w:t>ánku</w:t>
      </w:r>
      <w:r w:rsidRPr="000D2345">
        <w:rPr>
          <w:rFonts w:ascii="Cambria" w:hAnsi="Cambria" w:cs="Arial"/>
        </w:rPr>
        <w:t xml:space="preserve"> </w:t>
      </w:r>
      <w:r w:rsidR="00AB2FBE">
        <w:rPr>
          <w:rFonts w:ascii="Cambria" w:hAnsi="Cambria" w:cs="Arial"/>
        </w:rPr>
        <w:t>X</w:t>
      </w:r>
      <w:r w:rsidRPr="000D2345">
        <w:rPr>
          <w:rFonts w:ascii="Cambria" w:hAnsi="Cambria" w:cs="Arial"/>
        </w:rPr>
        <w:t xml:space="preserve"> tejto </w:t>
      </w:r>
      <w:r w:rsidR="009E6C74">
        <w:rPr>
          <w:rFonts w:ascii="Cambria" w:hAnsi="Cambria" w:cs="Arial"/>
        </w:rPr>
        <w:t>z</w:t>
      </w:r>
      <w:r w:rsidRPr="000D2345">
        <w:rPr>
          <w:rFonts w:ascii="Cambria" w:hAnsi="Cambria" w:cs="Arial"/>
        </w:rPr>
        <w:t xml:space="preserve">mluvy o dielo </w:t>
      </w:r>
      <w:r w:rsidR="009E6C74">
        <w:rPr>
          <w:rFonts w:ascii="Cambria" w:hAnsi="Cambria" w:cs="Arial"/>
        </w:rPr>
        <w:t>o</w:t>
      </w:r>
      <w:r w:rsidRPr="000D2345">
        <w:rPr>
          <w:rFonts w:ascii="Cambria" w:hAnsi="Cambria" w:cs="Arial"/>
        </w:rPr>
        <w:t xml:space="preserve">bjednávateľovi (pre odstránenie pochybností je </w:t>
      </w:r>
      <w:r w:rsidR="009E6C74">
        <w:rPr>
          <w:rFonts w:ascii="Cambria" w:hAnsi="Cambria" w:cs="Arial"/>
        </w:rPr>
        <w:t>o</w:t>
      </w:r>
      <w:r w:rsidRPr="000D2345">
        <w:rPr>
          <w:rFonts w:ascii="Cambria" w:hAnsi="Cambria" w:cs="Arial"/>
        </w:rPr>
        <w:t>bjednávateľ uplatniť zmluvnú pokutu za neposkytnutie každej licencie samostatne), a to za každý deň omeškania s poskytnutím licencie podľa čl</w:t>
      </w:r>
      <w:r w:rsidR="009E6C74">
        <w:rPr>
          <w:rFonts w:ascii="Cambria" w:hAnsi="Cambria" w:cs="Arial"/>
        </w:rPr>
        <w:t>ánku</w:t>
      </w:r>
      <w:r w:rsidRPr="000D2345">
        <w:rPr>
          <w:rFonts w:ascii="Cambria" w:hAnsi="Cambria" w:cs="Arial"/>
        </w:rPr>
        <w:t xml:space="preserve"> </w:t>
      </w:r>
      <w:r w:rsidR="00AB2FBE">
        <w:rPr>
          <w:rFonts w:ascii="Cambria" w:hAnsi="Cambria" w:cs="Arial"/>
        </w:rPr>
        <w:t>X</w:t>
      </w:r>
      <w:r w:rsidRPr="000D2345">
        <w:rPr>
          <w:rFonts w:ascii="Cambria" w:hAnsi="Cambria" w:cs="Arial"/>
        </w:rPr>
        <w:t xml:space="preserve"> </w:t>
      </w:r>
      <w:r w:rsidR="009E6C74">
        <w:rPr>
          <w:rFonts w:ascii="Cambria" w:hAnsi="Cambria" w:cs="Arial"/>
        </w:rPr>
        <w:t>z</w:t>
      </w:r>
      <w:r w:rsidRPr="000D2345">
        <w:rPr>
          <w:rFonts w:ascii="Cambria" w:hAnsi="Cambria" w:cs="Arial"/>
        </w:rPr>
        <w:t>mluvy o dielo,</w:t>
      </w:r>
    </w:p>
    <w:p w14:paraId="5A05FFDB" w14:textId="625A2EDC" w:rsidR="00E51B2D" w:rsidRPr="00790DAD" w:rsidRDefault="00E51B2D" w:rsidP="009A3D19">
      <w:pPr>
        <w:pStyle w:val="MLOdsek"/>
        <w:numPr>
          <w:ilvl w:val="2"/>
          <w:numId w:val="31"/>
        </w:numPr>
        <w:spacing w:before="120" w:line="240" w:lineRule="auto"/>
        <w:ind w:hanging="992"/>
        <w:rPr>
          <w:rFonts w:ascii="Cambria" w:hAnsi="Cambria" w:cs="Arial"/>
        </w:rPr>
      </w:pPr>
      <w:r w:rsidRPr="00790DAD">
        <w:rPr>
          <w:rFonts w:ascii="Cambria" w:hAnsi="Cambria" w:cs="Arial"/>
        </w:rPr>
        <w:t>5 % z</w:t>
      </w:r>
      <w:r w:rsidR="004966B8">
        <w:rPr>
          <w:rFonts w:ascii="Cambria" w:hAnsi="Cambria" w:cs="Arial"/>
        </w:rPr>
        <w:t xml:space="preserve"> celkovej </w:t>
      </w:r>
      <w:r w:rsidR="003E70DE">
        <w:rPr>
          <w:rFonts w:ascii="Cambria" w:hAnsi="Cambria" w:cs="Arial"/>
        </w:rPr>
        <w:t>c</w:t>
      </w:r>
      <w:r w:rsidRPr="00790DAD">
        <w:rPr>
          <w:rFonts w:ascii="Cambria" w:hAnsi="Cambria" w:cs="Arial"/>
        </w:rPr>
        <w:t xml:space="preserve">eny Diela, ak </w:t>
      </w:r>
      <w:r w:rsidR="002005DE">
        <w:rPr>
          <w:rFonts w:ascii="Cambria" w:hAnsi="Cambria" w:cs="Arial"/>
        </w:rPr>
        <w:t>z</w:t>
      </w:r>
      <w:r w:rsidRPr="00790DAD">
        <w:rPr>
          <w:rFonts w:ascii="Cambria" w:hAnsi="Cambria" w:cs="Arial"/>
        </w:rPr>
        <w:t xml:space="preserve">hotoviteľ nevyvíja </w:t>
      </w:r>
      <w:r w:rsidR="00790DAD">
        <w:rPr>
          <w:rFonts w:ascii="Cambria" w:hAnsi="Cambria" w:cs="Arial"/>
        </w:rPr>
        <w:t>Dielo</w:t>
      </w:r>
      <w:r w:rsidRPr="00790DAD">
        <w:rPr>
          <w:rFonts w:ascii="Cambria" w:hAnsi="Cambria" w:cs="Arial"/>
        </w:rPr>
        <w:t xml:space="preserve"> v bezpečnom vývojovom prostredí </w:t>
      </w:r>
      <w:r w:rsidR="00790DAD">
        <w:rPr>
          <w:rFonts w:ascii="Cambria" w:hAnsi="Cambria" w:cs="Arial"/>
        </w:rPr>
        <w:t xml:space="preserve">podľa </w:t>
      </w:r>
      <w:r w:rsidR="00F6121E">
        <w:rPr>
          <w:rFonts w:ascii="Cambria" w:hAnsi="Cambria" w:cs="Arial"/>
        </w:rPr>
        <w:t xml:space="preserve">metodiky vývoja </w:t>
      </w:r>
      <w:r w:rsidR="00790DAD">
        <w:rPr>
          <w:rFonts w:ascii="Cambria" w:hAnsi="Cambria" w:cs="Arial"/>
        </w:rPr>
        <w:t>upraven</w:t>
      </w:r>
      <w:r w:rsidR="004965D4">
        <w:rPr>
          <w:rFonts w:ascii="Cambria" w:hAnsi="Cambria" w:cs="Arial"/>
        </w:rPr>
        <w:t>ej</w:t>
      </w:r>
      <w:r w:rsidR="00790DAD">
        <w:rPr>
          <w:rFonts w:ascii="Cambria" w:hAnsi="Cambria" w:cs="Arial"/>
        </w:rPr>
        <w:t xml:space="preserve"> v Prílohe č. 2 tejto zmluvy o dielo</w:t>
      </w:r>
    </w:p>
    <w:p w14:paraId="23578ACA" w14:textId="691FD869"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5 % 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ak </w:t>
      </w:r>
      <w:r w:rsidR="0045047B">
        <w:rPr>
          <w:rFonts w:ascii="Cambria" w:hAnsi="Cambria" w:cs="Arial"/>
        </w:rPr>
        <w:t>z</w:t>
      </w:r>
      <w:r w:rsidRPr="000D2345">
        <w:rPr>
          <w:rFonts w:ascii="Cambria" w:hAnsi="Cambria" w:cs="Arial"/>
        </w:rPr>
        <w:t xml:space="preserve">hotoviteľ nepostupuje pri </w:t>
      </w:r>
      <w:r w:rsidR="0045047B">
        <w:rPr>
          <w:rFonts w:ascii="Cambria" w:hAnsi="Cambria" w:cs="Arial"/>
        </w:rPr>
        <w:t>z</w:t>
      </w:r>
      <w:r w:rsidRPr="000D2345">
        <w:rPr>
          <w:rFonts w:ascii="Cambria" w:hAnsi="Cambria" w:cs="Arial"/>
        </w:rPr>
        <w:t xml:space="preserve">hotovení Diela podľa pokynov a/alebo podkladov poskytnutých </w:t>
      </w:r>
      <w:r w:rsidR="002E34FB">
        <w:rPr>
          <w:rFonts w:ascii="Cambria" w:hAnsi="Cambria" w:cs="Arial"/>
        </w:rPr>
        <w:t>o</w:t>
      </w:r>
      <w:r w:rsidRPr="000D2345">
        <w:rPr>
          <w:rFonts w:ascii="Cambria" w:hAnsi="Cambria" w:cs="Arial"/>
        </w:rPr>
        <w:t xml:space="preserve">bjednávateľom podľa bodu </w:t>
      </w:r>
      <w:r w:rsidRPr="000D2345">
        <w:rPr>
          <w:rFonts w:ascii="Cambria" w:hAnsi="Cambria" w:cs="Arial"/>
        </w:rPr>
        <w:fldChar w:fldCharType="begin"/>
      </w:r>
      <w:r w:rsidRPr="000D2345">
        <w:rPr>
          <w:rFonts w:ascii="Cambria" w:hAnsi="Cambria" w:cs="Arial"/>
        </w:rPr>
        <w:instrText xml:space="preserve"> REF _Ref95813336 \r \h  \* MERGEFORMAT </w:instrText>
      </w:r>
      <w:r w:rsidRPr="000D2345">
        <w:rPr>
          <w:rFonts w:ascii="Cambria" w:hAnsi="Cambria" w:cs="Arial"/>
        </w:rPr>
      </w:r>
      <w:r w:rsidRPr="000D2345">
        <w:rPr>
          <w:rFonts w:ascii="Cambria" w:hAnsi="Cambria" w:cs="Arial"/>
        </w:rPr>
        <w:fldChar w:fldCharType="separate"/>
      </w:r>
      <w:r w:rsidR="006F0B52">
        <w:rPr>
          <w:rFonts w:ascii="Cambria" w:hAnsi="Cambria" w:cs="Arial"/>
        </w:rPr>
        <w:t>18.5</w:t>
      </w:r>
      <w:r w:rsidRPr="000D2345">
        <w:rPr>
          <w:rFonts w:ascii="Cambria" w:hAnsi="Cambria" w:cs="Arial"/>
        </w:rPr>
        <w:fldChar w:fldCharType="end"/>
      </w:r>
      <w:r w:rsidR="002E34FB">
        <w:rPr>
          <w:rFonts w:ascii="Cambria" w:hAnsi="Cambria" w:cs="Arial"/>
        </w:rPr>
        <w:t xml:space="preserve"> </w:t>
      </w:r>
      <w:r w:rsidRPr="000D2345">
        <w:rPr>
          <w:rFonts w:ascii="Cambria" w:hAnsi="Cambria" w:cs="Arial"/>
        </w:rPr>
        <w:t xml:space="preserve">tejto </w:t>
      </w:r>
      <w:r w:rsidR="002E34FB">
        <w:rPr>
          <w:rFonts w:ascii="Cambria" w:hAnsi="Cambria" w:cs="Arial"/>
        </w:rPr>
        <w:t>z</w:t>
      </w:r>
      <w:r w:rsidRPr="000D2345">
        <w:rPr>
          <w:rFonts w:ascii="Cambria" w:hAnsi="Cambria" w:cs="Arial"/>
        </w:rPr>
        <w:t>mluvy o dielo,</w:t>
      </w:r>
    </w:p>
    <w:p w14:paraId="70743767" w14:textId="05BE2D62"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2 % 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ak </w:t>
      </w:r>
      <w:r w:rsidR="000E2D92">
        <w:rPr>
          <w:rFonts w:ascii="Cambria" w:hAnsi="Cambria" w:cs="Arial"/>
        </w:rPr>
        <w:t>z</w:t>
      </w:r>
      <w:r w:rsidRPr="000D2345">
        <w:rPr>
          <w:rFonts w:ascii="Cambria" w:hAnsi="Cambria" w:cs="Arial"/>
        </w:rPr>
        <w:t xml:space="preserve">hotoviteľ bez zbytočného odkladu písomne neupozorní </w:t>
      </w:r>
      <w:r w:rsidR="000E2D92">
        <w:rPr>
          <w:rFonts w:ascii="Cambria" w:hAnsi="Cambria" w:cs="Arial"/>
        </w:rPr>
        <w:t>o</w:t>
      </w:r>
      <w:r w:rsidRPr="000D2345">
        <w:rPr>
          <w:rFonts w:ascii="Cambria" w:hAnsi="Cambria" w:cs="Arial"/>
        </w:rPr>
        <w:t xml:space="preserve">bjednávateľa na nevhodnú povahu pokynov a/alebo podkladov poskytnutých </w:t>
      </w:r>
      <w:r w:rsidR="000E2D92">
        <w:rPr>
          <w:rFonts w:ascii="Cambria" w:hAnsi="Cambria" w:cs="Arial"/>
        </w:rPr>
        <w:t>o</w:t>
      </w:r>
      <w:r w:rsidRPr="000D2345">
        <w:rPr>
          <w:rFonts w:ascii="Cambria" w:hAnsi="Cambria" w:cs="Arial"/>
        </w:rPr>
        <w:t>bjednávateľom s adekvátnym odôvodnením nevhodnosti povahy takýchto pokynov a/alebo podkladov, ak mohol túto nevhodnosť zistiť pri vynaložení odbornej starostlivosti</w:t>
      </w:r>
      <w:r w:rsidR="004C3246">
        <w:rPr>
          <w:rFonts w:ascii="Cambria" w:hAnsi="Cambria" w:cs="Arial"/>
        </w:rPr>
        <w:t>.</w:t>
      </w:r>
    </w:p>
    <w:p w14:paraId="357E6A52" w14:textId="6BDFB807" w:rsidR="00E51B2D" w:rsidRPr="000D2345" w:rsidRDefault="00E51B2D" w:rsidP="009A3D19">
      <w:pPr>
        <w:pStyle w:val="MLOdsek"/>
        <w:numPr>
          <w:ilvl w:val="2"/>
          <w:numId w:val="31"/>
        </w:numPr>
        <w:spacing w:before="120" w:line="240" w:lineRule="auto"/>
        <w:ind w:hanging="992"/>
        <w:rPr>
          <w:rFonts w:ascii="Cambria" w:hAnsi="Cambria" w:cs="Arial"/>
        </w:rPr>
      </w:pPr>
      <w:r w:rsidRPr="000D2345">
        <w:rPr>
          <w:rFonts w:ascii="Cambria" w:hAnsi="Cambria" w:cs="Arial"/>
        </w:rPr>
        <w:t>2 % z</w:t>
      </w:r>
      <w:r w:rsidR="004966B8">
        <w:rPr>
          <w:rFonts w:ascii="Cambria" w:hAnsi="Cambria" w:cs="Arial"/>
        </w:rPr>
        <w:t xml:space="preserve"> celkovej </w:t>
      </w:r>
      <w:r w:rsidR="003E70DE">
        <w:rPr>
          <w:rFonts w:ascii="Cambria" w:hAnsi="Cambria" w:cs="Arial"/>
        </w:rPr>
        <w:t>c</w:t>
      </w:r>
      <w:r w:rsidRPr="000D2345">
        <w:rPr>
          <w:rFonts w:ascii="Cambria" w:hAnsi="Cambria" w:cs="Arial"/>
        </w:rPr>
        <w:t xml:space="preserve">eny Diela, ak </w:t>
      </w:r>
      <w:r w:rsidR="007510C1">
        <w:rPr>
          <w:rFonts w:ascii="Cambria" w:hAnsi="Cambria" w:cs="Arial"/>
        </w:rPr>
        <w:t>z</w:t>
      </w:r>
      <w:r w:rsidRPr="000D2345">
        <w:rPr>
          <w:rFonts w:ascii="Cambria" w:hAnsi="Cambria" w:cs="Arial"/>
        </w:rPr>
        <w:t xml:space="preserve">hotoviteľ poruší niektorú z povinností </w:t>
      </w:r>
      <w:r w:rsidR="007510C1">
        <w:rPr>
          <w:rFonts w:ascii="Cambria" w:hAnsi="Cambria" w:cs="Arial"/>
        </w:rPr>
        <w:t>z</w:t>
      </w:r>
      <w:r w:rsidRPr="000D2345">
        <w:rPr>
          <w:rFonts w:ascii="Cambria" w:hAnsi="Cambria" w:cs="Arial"/>
        </w:rPr>
        <w:t xml:space="preserve">hotoviteľa podľa bodu </w:t>
      </w:r>
      <w:r w:rsidR="007510C1">
        <w:rPr>
          <w:rFonts w:ascii="Cambria" w:hAnsi="Cambria" w:cs="Arial"/>
        </w:rPr>
        <w:t>12.2.</w:t>
      </w:r>
      <w:r w:rsidRPr="000D2345">
        <w:rPr>
          <w:rFonts w:ascii="Cambria" w:hAnsi="Cambria" w:cs="Arial"/>
        </w:rPr>
        <w:t xml:space="preserve"> tejto </w:t>
      </w:r>
      <w:r w:rsidR="007510C1">
        <w:rPr>
          <w:rFonts w:ascii="Cambria" w:hAnsi="Cambria" w:cs="Arial"/>
        </w:rPr>
        <w:t>z</w:t>
      </w:r>
      <w:r w:rsidRPr="000D2345">
        <w:rPr>
          <w:rFonts w:ascii="Cambria" w:hAnsi="Cambria" w:cs="Arial"/>
        </w:rPr>
        <w:t>mluvy o</w:t>
      </w:r>
      <w:r w:rsidR="00B52934">
        <w:rPr>
          <w:rFonts w:ascii="Cambria" w:hAnsi="Cambria" w:cs="Arial"/>
        </w:rPr>
        <w:t> </w:t>
      </w:r>
      <w:r w:rsidRPr="000D2345">
        <w:rPr>
          <w:rFonts w:ascii="Cambria" w:hAnsi="Cambria" w:cs="Arial"/>
        </w:rPr>
        <w:t>dielo</w:t>
      </w:r>
      <w:r w:rsidR="00B52934">
        <w:rPr>
          <w:rFonts w:ascii="Cambria" w:hAnsi="Cambria" w:cs="Arial"/>
        </w:rPr>
        <w:t>.</w:t>
      </w:r>
    </w:p>
    <w:p w14:paraId="1957DF06" w14:textId="29182F63" w:rsidR="00E51B2D" w:rsidRPr="000D2345" w:rsidRDefault="00E51B2D"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Objednávateľ je oprávnený uplatniť si zmluvné pokuty podľa bodu </w:t>
      </w:r>
      <w:r w:rsidRPr="000D2345">
        <w:rPr>
          <w:rFonts w:ascii="Cambria" w:hAnsi="Cambria" w:cs="Arial"/>
        </w:rPr>
        <w:fldChar w:fldCharType="begin"/>
      </w:r>
      <w:r w:rsidRPr="000D2345">
        <w:rPr>
          <w:rFonts w:ascii="Cambria" w:hAnsi="Cambria" w:cs="Arial"/>
        </w:rPr>
        <w:instrText xml:space="preserve"> REF _Ref95813551 \r \h  \* MERGEFORMAT </w:instrText>
      </w:r>
      <w:r w:rsidRPr="000D2345">
        <w:rPr>
          <w:rFonts w:ascii="Cambria" w:hAnsi="Cambria" w:cs="Arial"/>
        </w:rPr>
      </w:r>
      <w:r w:rsidRPr="000D2345">
        <w:rPr>
          <w:rFonts w:ascii="Cambria" w:hAnsi="Cambria" w:cs="Arial"/>
        </w:rPr>
        <w:fldChar w:fldCharType="separate"/>
      </w:r>
      <w:r w:rsidR="006F0B52">
        <w:rPr>
          <w:rFonts w:ascii="Cambria" w:hAnsi="Cambria" w:cs="Arial"/>
        </w:rPr>
        <w:t>17</w:t>
      </w:r>
      <w:r w:rsidRPr="000D2345">
        <w:rPr>
          <w:rFonts w:ascii="Cambria" w:hAnsi="Cambria" w:cs="Arial"/>
        </w:rPr>
        <w:fldChar w:fldCharType="end"/>
      </w:r>
      <w:r w:rsidR="0022351F">
        <w:rPr>
          <w:rFonts w:ascii="Cambria" w:hAnsi="Cambria" w:cs="Arial"/>
        </w:rPr>
        <w:t xml:space="preserve"> </w:t>
      </w:r>
      <w:r w:rsidRPr="000D2345">
        <w:rPr>
          <w:rFonts w:ascii="Cambria" w:hAnsi="Cambria" w:cs="Arial"/>
        </w:rPr>
        <w:t xml:space="preserve">tejto </w:t>
      </w:r>
      <w:r w:rsidR="00560EB8">
        <w:rPr>
          <w:rFonts w:ascii="Cambria" w:hAnsi="Cambria" w:cs="Arial"/>
        </w:rPr>
        <w:t>z</w:t>
      </w:r>
      <w:r w:rsidRPr="000D2345">
        <w:rPr>
          <w:rFonts w:ascii="Cambria" w:hAnsi="Cambria" w:cs="Arial"/>
        </w:rPr>
        <w:t>mluvy o dielo maximálne však do výšky 50 % </w:t>
      </w:r>
      <w:r w:rsidR="004966B8">
        <w:rPr>
          <w:rFonts w:ascii="Cambria" w:hAnsi="Cambria" w:cs="Arial"/>
        </w:rPr>
        <w:t xml:space="preserve">celkovej </w:t>
      </w:r>
      <w:r w:rsidR="008F0770">
        <w:rPr>
          <w:rFonts w:ascii="Cambria" w:hAnsi="Cambria" w:cs="Arial"/>
        </w:rPr>
        <w:t>c</w:t>
      </w:r>
      <w:r w:rsidRPr="000D2345">
        <w:rPr>
          <w:rFonts w:ascii="Cambria" w:hAnsi="Cambria" w:cs="Arial"/>
        </w:rPr>
        <w:t>eny Diela.</w:t>
      </w:r>
    </w:p>
    <w:p w14:paraId="5B13B1C9" w14:textId="34AD895C" w:rsidR="00E51B2D" w:rsidRPr="000D2345" w:rsidRDefault="00E51B2D"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Ak sa </w:t>
      </w:r>
      <w:r w:rsidR="00890279">
        <w:rPr>
          <w:rFonts w:ascii="Cambria" w:hAnsi="Cambria" w:cs="Arial"/>
        </w:rPr>
        <w:t>o</w:t>
      </w:r>
      <w:r w:rsidRPr="000D2345">
        <w:rPr>
          <w:rFonts w:ascii="Cambria" w:hAnsi="Cambria" w:cs="Arial"/>
        </w:rPr>
        <w:t xml:space="preserve">bjednávateľ dostane do omeškania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EB0BB9F" w:rsidR="00E51B2D" w:rsidRPr="000D2345" w:rsidRDefault="00E51B2D"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rsidP="009A3D19">
      <w:pPr>
        <w:pStyle w:val="ListParagraph"/>
        <w:numPr>
          <w:ilvl w:val="0"/>
          <w:numId w:val="31"/>
        </w:numPr>
        <w:spacing w:before="120"/>
        <w:contextualSpacing w:val="0"/>
        <w:jc w:val="both"/>
        <w:rPr>
          <w:rFonts w:ascii="Cambria" w:hAnsi="Cambria" w:cs="Arial"/>
          <w:vanish/>
          <w:lang w:eastAsia="cs-CZ"/>
        </w:rPr>
      </w:pPr>
    </w:p>
    <w:p w14:paraId="28E1C5DB" w14:textId="158E3D0F" w:rsidR="006D3002" w:rsidRPr="000D2345" w:rsidRDefault="006D3002" w:rsidP="009A3D19">
      <w:pPr>
        <w:pStyle w:val="MLOdsek"/>
        <w:numPr>
          <w:ilvl w:val="1"/>
          <w:numId w:val="31"/>
        </w:numPr>
        <w:spacing w:before="120" w:line="240" w:lineRule="auto"/>
        <w:ind w:left="993" w:hanging="993"/>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w:t>
      </w:r>
      <w:r w:rsidRPr="000D2345">
        <w:rPr>
          <w:rFonts w:ascii="Cambria" w:hAnsi="Cambria" w:cs="Arial"/>
        </w:rPr>
        <w:lastRenderedPageBreak/>
        <w:t xml:space="preserve">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rsidP="009A3D19">
      <w:pPr>
        <w:pStyle w:val="MLOdsek"/>
        <w:numPr>
          <w:ilvl w:val="1"/>
          <w:numId w:val="31"/>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rsidP="009A3D19">
      <w:pPr>
        <w:pStyle w:val="MLOdsek"/>
        <w:numPr>
          <w:ilvl w:val="1"/>
          <w:numId w:val="31"/>
        </w:numPr>
        <w:spacing w:before="120" w:line="240" w:lineRule="auto"/>
        <w:ind w:hanging="907"/>
        <w:rPr>
          <w:rFonts w:ascii="Cambria" w:hAnsi="Cambria" w:cs="Arial"/>
        </w:rPr>
      </w:pPr>
      <w:bookmarkStart w:id="82"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82"/>
    </w:p>
    <w:p w14:paraId="4F4B5CFD" w14:textId="06FB3443" w:rsidR="006D3002" w:rsidRPr="000D2345" w:rsidRDefault="006D3002"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4C7416BB" w:rsidR="00EB5C02" w:rsidRPr="00152528" w:rsidRDefault="00E759F3" w:rsidP="008B76F8">
      <w:pPr>
        <w:pStyle w:val="Heading1"/>
        <w:keepLines/>
        <w:jc w:val="center"/>
        <w:rPr>
          <w:rFonts w:ascii="Cambria" w:hAnsi="Cambria"/>
          <w:sz w:val="22"/>
          <w:szCs w:val="22"/>
        </w:rPr>
      </w:pPr>
      <w:bookmarkStart w:id="83" w:name="_Toc45812019"/>
      <w:bookmarkEnd w:id="65"/>
      <w:r w:rsidRPr="00152528">
        <w:rPr>
          <w:rFonts w:ascii="Cambria" w:hAnsi="Cambria"/>
          <w:sz w:val="22"/>
          <w:szCs w:val="22"/>
        </w:rPr>
        <w:lastRenderedPageBreak/>
        <w:t xml:space="preserve">Článok </w:t>
      </w:r>
      <w:bookmarkEnd w:id="83"/>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4" w:name="_Toc45812020"/>
      <w:r w:rsidRPr="00152528">
        <w:rPr>
          <w:rFonts w:ascii="Cambria" w:hAnsi="Cambria"/>
          <w:sz w:val="22"/>
          <w:szCs w:val="22"/>
        </w:rPr>
        <w:t>Záverečné ustanovenia</w:t>
      </w:r>
      <w:bookmarkEnd w:id="84"/>
    </w:p>
    <w:p w14:paraId="76DA60FA" w14:textId="77777777" w:rsidR="0042015C" w:rsidRPr="0042015C" w:rsidRDefault="0042015C" w:rsidP="009A3D19">
      <w:pPr>
        <w:pStyle w:val="ListParagraph"/>
        <w:numPr>
          <w:ilvl w:val="0"/>
          <w:numId w:val="31"/>
        </w:numPr>
        <w:spacing w:before="120"/>
        <w:contextualSpacing w:val="0"/>
        <w:jc w:val="both"/>
        <w:rPr>
          <w:rFonts w:ascii="Cambria" w:hAnsi="Cambria" w:cs="Arial"/>
          <w:vanish/>
          <w:lang w:eastAsia="cs-CZ"/>
        </w:rPr>
      </w:pPr>
    </w:p>
    <w:p w14:paraId="4D209883" w14:textId="2CA2A681"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Vzájomné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63E9452F"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Zmluvné strany sa zaväzujú prípadné zmeny právneho stavu, ktoré by mohli mať vplyv na plnenie podmienok tejto </w:t>
      </w:r>
      <w:r w:rsidR="00547E06" w:rsidRPr="000D2345">
        <w:rPr>
          <w:rFonts w:ascii="Cambria" w:hAnsi="Cambria" w:cs="Arial"/>
        </w:rPr>
        <w:t>zmluvy o dielo</w:t>
      </w:r>
      <w:r w:rsidRPr="000D2345">
        <w:rPr>
          <w:rFonts w:ascii="Cambria" w:hAnsi="Cambria" w:cs="Arial"/>
        </w:rPr>
        <w:t>, oznámiť písomne druhej zmluvnej strane najneskôr 30 dní pred predpokladanou zmenou.</w:t>
      </w:r>
    </w:p>
    <w:p w14:paraId="2902CBEF" w14:textId="1D9D9F65"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rsidP="009A3D19">
      <w:pPr>
        <w:pStyle w:val="MLOdsek"/>
        <w:numPr>
          <w:ilvl w:val="1"/>
          <w:numId w:val="31"/>
        </w:numPr>
        <w:spacing w:before="120" w:line="240" w:lineRule="auto"/>
        <w:ind w:hanging="907"/>
        <w:rPr>
          <w:rFonts w:ascii="Cambria" w:hAnsi="Cambria" w:cs="Arial"/>
        </w:rPr>
      </w:pPr>
      <w:r w:rsidRPr="000D2345">
        <w:rPr>
          <w:rFonts w:ascii="Cambria" w:hAnsi="Cambria" w:cs="Arial"/>
        </w:rPr>
        <w:lastRenderedPageBreak/>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4213261A" w:rsidR="00DA6A93"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00F5423E" w:rsidRPr="000D2345">
          <w:rPr>
            <w:rFonts w:cs="Arial"/>
          </w:rPr>
          <w:t>https://www.nbs.sk/sk/ochrana-osobnych-udajov</w:t>
        </w:r>
      </w:hyperlink>
      <w:r w:rsidRPr="000D2345">
        <w:rPr>
          <w:rFonts w:ascii="Cambria" w:hAnsi="Cambria" w:cs="Arial"/>
        </w:rPr>
        <w:t>.</w:t>
      </w:r>
    </w:p>
    <w:p w14:paraId="72301388" w14:textId="0A0D61D2" w:rsidR="00452E61" w:rsidRPr="00482307" w:rsidRDefault="00452E61" w:rsidP="009A3D19">
      <w:pPr>
        <w:pStyle w:val="MLOdsek"/>
        <w:numPr>
          <w:ilvl w:val="1"/>
          <w:numId w:val="31"/>
        </w:numPr>
        <w:spacing w:before="120" w:line="240" w:lineRule="auto"/>
        <w:ind w:hanging="907"/>
        <w:rPr>
          <w:rFonts w:ascii="Cambria" w:hAnsi="Cambria" w:cs="Arial"/>
        </w:rPr>
      </w:pPr>
      <w:r w:rsidRPr="00482307">
        <w:rPr>
          <w:rFonts w:ascii="Cambria" w:hAnsi="Cambria"/>
        </w:rPr>
        <w:t xml:space="preserve">V prípade, ak bude objednávateľ poskytovať alebo sprístupňovať zhotoviteľovi v súvislosti s plnením podľa tejto zmluvy o dielo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sidR="00482307" w:rsidRPr="00482307">
        <w:rPr>
          <w:rFonts w:ascii="Cambria" w:hAnsi="Cambria"/>
        </w:rPr>
        <w:t>zhotoviteľ</w:t>
      </w:r>
      <w:r w:rsidRPr="00482307">
        <w:rPr>
          <w:rFonts w:ascii="Cambria" w:hAnsi="Cambria"/>
        </w:rPr>
        <w:t xml:space="preserve"> povinný s objednávateľom uzatvoriť zmluvu v zmysle § 28 zákona č. 18/2018 Z. z. o ochrane osobných údajov a o zmene a doplnení niektorých zákonov.</w:t>
      </w:r>
    </w:p>
    <w:p w14:paraId="14633FDA" w14:textId="2614B20E"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6AA55FDB"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6F04C8" w:rsidRPr="000D2345">
        <w:rPr>
          <w:rFonts w:ascii="Cambria" w:hAnsi="Cambria" w:cs="Arial"/>
        </w:rPr>
        <w:t>Zhotoviteľ</w:t>
      </w:r>
      <w:r w:rsidRPr="000D2345">
        <w:rPr>
          <w:rFonts w:ascii="Cambria" w:hAnsi="Cambria" w:cs="Arial"/>
        </w:rPr>
        <w:t>a doručených objednávateľovi, a to zverejnenie objednávateľom počas trvania jeho povinnosti podľa § 5a ods. 1, 6 a 9 a § 5b zákona o slobodnom prístupe k informáciám.</w:t>
      </w:r>
    </w:p>
    <w:p w14:paraId="7EFC958A" w14:textId="06490BCF"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3B01DB40" w14:textId="77777777" w:rsidR="00DA6A93" w:rsidRPr="000D2345" w:rsidRDefault="00DA6A93" w:rsidP="009A3D19">
      <w:pPr>
        <w:pStyle w:val="MLOdsek"/>
        <w:numPr>
          <w:ilvl w:val="1"/>
          <w:numId w:val="31"/>
        </w:numPr>
        <w:spacing w:before="120" w:line="240" w:lineRule="auto"/>
        <w:ind w:hanging="907"/>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64F0EF63" w14:textId="69F44B4E" w:rsidR="00C630FE" w:rsidRPr="000D2345" w:rsidRDefault="00C630FE" w:rsidP="009A3D19">
      <w:pPr>
        <w:pStyle w:val="MLOdsek"/>
        <w:numPr>
          <w:ilvl w:val="1"/>
          <w:numId w:val="31"/>
        </w:numPr>
        <w:spacing w:before="120" w:line="240" w:lineRule="auto"/>
        <w:ind w:hanging="907"/>
        <w:rPr>
          <w:rFonts w:ascii="Cambria" w:hAnsi="Cambria" w:cs="Arial"/>
        </w:rPr>
      </w:pPr>
      <w:r w:rsidRPr="000D2345">
        <w:rPr>
          <w:rFonts w:ascii="Cambria" w:hAnsi="Cambria" w:cs="Arial"/>
        </w:rPr>
        <w:lastRenderedPageBreak/>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49E18B2B"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8A42D2" w:rsidRPr="00152DF2">
        <w:rPr>
          <w:rFonts w:ascii="Cambria" w:hAnsi="Cambria"/>
          <w:b w:val="0"/>
          <w:spacing w:val="-1"/>
          <w:sz w:val="22"/>
          <w:szCs w:val="22"/>
        </w:rPr>
        <w:t>predmet zmluvy</w:t>
      </w:r>
      <w:r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1519581E" w:rsidR="001C2417" w:rsidRPr="00152DF2"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a SW 3. strán</w:t>
      </w:r>
    </w:p>
    <w:p w14:paraId="3BFD1427" w14:textId="3FF98C4B" w:rsidR="00BA2CCB" w:rsidRDefault="00BA2CCB"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8 – </w:t>
      </w:r>
      <w:r w:rsidR="00B32444" w:rsidRPr="00152DF2">
        <w:rPr>
          <w:rFonts w:ascii="Cambria" w:hAnsi="Cambria"/>
          <w:b w:val="0"/>
          <w:spacing w:val="-1"/>
          <w:sz w:val="22"/>
          <w:szCs w:val="22"/>
        </w:rPr>
        <w:t>Klasifikácia</w:t>
      </w:r>
      <w:r w:rsidRPr="00152DF2">
        <w:rPr>
          <w:rFonts w:ascii="Cambria" w:hAnsi="Cambria"/>
          <w:b w:val="0"/>
          <w:spacing w:val="-1"/>
          <w:sz w:val="22"/>
          <w:szCs w:val="22"/>
        </w:rPr>
        <w:t xml:space="preserve"> vád dodaného informačného systému, lehoty na ich odstránenie</w:t>
      </w:r>
    </w:p>
    <w:p w14:paraId="5F456829" w14:textId="4F060843" w:rsidR="007E4C1E" w:rsidRPr="00F5423E" w:rsidRDefault="007E4C1E" w:rsidP="00F5423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58DD2B23"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V Bratislave, dňa __.__.20__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&gt;, dňa __.__.20__</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0A5E6F">
          <w:headerReference w:type="default" r:id="rId13"/>
          <w:footerReference w:type="even" r:id="rId14"/>
          <w:footerReference w:type="default" r:id="rId15"/>
          <w:footerReference w:type="first" r:id="rId16"/>
          <w:pgSz w:w="11906" w:h="16838"/>
          <w:pgMar w:top="2127" w:right="1133"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5" w:name="_Toc287880550"/>
    </w:p>
    <w:p w14:paraId="2A16F08F" w14:textId="49B9799E" w:rsidR="001E4B7D" w:rsidRPr="00515DEB" w:rsidRDefault="00870C5A" w:rsidP="00515DEB">
      <w:pPr>
        <w:pStyle w:val="Heading1"/>
        <w:spacing w:before="0"/>
        <w:jc w:val="center"/>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515DEB">
      <w:pPr>
        <w:pStyle w:val="Heading1"/>
        <w:spacing w:before="0"/>
        <w:jc w:val="center"/>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6"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29FA1A2C"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objednávateľom</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Desk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Desk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4886722C" w14:textId="77777777" w:rsidR="00CB266F" w:rsidRPr="00547C9B" w:rsidRDefault="00CB266F" w:rsidP="009A3D19">
      <w:pPr>
        <w:pStyle w:val="BodyTextIndent"/>
        <w:numPr>
          <w:ilvl w:val="0"/>
          <w:numId w:val="15"/>
        </w:numPr>
        <w:spacing w:before="0"/>
        <w:rPr>
          <w:rFonts w:ascii="Cambria" w:hAnsi="Cambria"/>
          <w:sz w:val="22"/>
          <w:szCs w:val="22"/>
        </w:rPr>
      </w:pPr>
      <w:r w:rsidRPr="00547C9B">
        <w:rPr>
          <w:rFonts w:ascii="Cambria" w:hAnsi="Cambria"/>
          <w:sz w:val="22"/>
          <w:szCs w:val="22"/>
        </w:rPr>
        <w:t>Za účelom odstránenia pochybností sa stanovuje, že treba rozlišovať medzi:</w:t>
      </w:r>
    </w:p>
    <w:p w14:paraId="68D6E75C" w14:textId="7B1B9A4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a) vadou dodaného informačného systému (</w:t>
      </w:r>
      <w:r w:rsidR="001151FE" w:rsidRPr="00547C9B">
        <w:rPr>
          <w:rFonts w:ascii="Cambria" w:hAnsi="Cambria"/>
          <w:sz w:val="22"/>
          <w:szCs w:val="22"/>
        </w:rPr>
        <w:t>Diela)</w:t>
      </w:r>
      <w:r w:rsidRPr="00547C9B">
        <w:rPr>
          <w:rFonts w:ascii="Cambria" w:hAnsi="Cambria"/>
          <w:sz w:val="22"/>
          <w:szCs w:val="22"/>
        </w:rPr>
        <w:t xml:space="preserve">, na ktorú sa vzťahuje záručná doba v zmysle zmluvy o dielo a práva a povinnosti zmluvných strán sa budú riadiť zmluvou o dielo; </w:t>
      </w:r>
    </w:p>
    <w:p w14:paraId="1776AB69" w14:textId="3CF941C0" w:rsidR="00CB266F" w:rsidRPr="00547C9B" w:rsidRDefault="00CB266F" w:rsidP="00CB266F">
      <w:pPr>
        <w:pStyle w:val="BodyTextIndent"/>
        <w:ind w:left="436" w:firstLine="0"/>
        <w:rPr>
          <w:rFonts w:ascii="Cambria" w:hAnsi="Cambria"/>
          <w:sz w:val="22"/>
          <w:szCs w:val="22"/>
        </w:rPr>
      </w:pPr>
      <w:r w:rsidRPr="00547C9B">
        <w:rPr>
          <w:rFonts w:ascii="Cambria" w:hAnsi="Cambria"/>
          <w:sz w:val="22"/>
          <w:szCs w:val="22"/>
        </w:rPr>
        <w:t xml:space="preserve">b) vadou Servisných služieb spôsobenou neposkytnutím Servisných služieb podľa Servisnej zmluvy riadne (napr. vada Objednávkovej služby spôsobí nefunkčnosť dodaného informačného systému alebo iného diela zodpovedajúcu vade úrovne </w:t>
      </w:r>
      <w:r w:rsidR="001151FE" w:rsidRPr="00547C9B">
        <w:rPr>
          <w:rFonts w:ascii="Cambria" w:hAnsi="Cambria"/>
          <w:sz w:val="22"/>
          <w:szCs w:val="22"/>
        </w:rPr>
        <w:t>A</w:t>
      </w:r>
      <w:r w:rsidRPr="00547C9B">
        <w:rPr>
          <w:rFonts w:ascii="Cambria" w:hAnsi="Cambria"/>
          <w:sz w:val="22"/>
          <w:szCs w:val="22"/>
        </w:rPr>
        <w:t xml:space="preserve"> alebo </w:t>
      </w:r>
      <w:r w:rsidR="001151FE" w:rsidRPr="00547C9B">
        <w:rPr>
          <w:rFonts w:ascii="Cambria" w:hAnsi="Cambria"/>
          <w:sz w:val="22"/>
          <w:szCs w:val="22"/>
        </w:rPr>
        <w:t>B</w:t>
      </w:r>
      <w:r w:rsidRPr="00547C9B">
        <w:rPr>
          <w:rFonts w:ascii="Cambria" w:hAnsi="Cambria"/>
          <w:sz w:val="22"/>
          <w:szCs w:val="22"/>
        </w:rPr>
        <w:t>), a v takom prípade sa budú práva a povinnosti zmluvných strán v súvislosti s takou vadou riadiť Servisnou zmluvou.</w:t>
      </w:r>
    </w:p>
    <w:p w14:paraId="3E9A9FB4" w14:textId="77777777" w:rsidR="00CB266F" w:rsidRPr="00547C9B" w:rsidRDefault="00CB266F" w:rsidP="009A3D19">
      <w:pPr>
        <w:pStyle w:val="BodyTextIndent"/>
        <w:numPr>
          <w:ilvl w:val="0"/>
          <w:numId w:val="15"/>
        </w:numPr>
        <w:spacing w:before="0"/>
        <w:rPr>
          <w:rFonts w:ascii="Cambria" w:hAnsi="Cambria"/>
          <w:sz w:val="22"/>
          <w:szCs w:val="22"/>
        </w:rPr>
      </w:pPr>
      <w:r w:rsidRPr="00547C9B">
        <w:rPr>
          <w:rFonts w:ascii="Cambria" w:hAnsi="Cambria"/>
          <w:sz w:val="22"/>
          <w:szCs w:val="22"/>
        </w:rPr>
        <w:t>Záručná doba zo zmluvy o dielo a záručná doba z tejto Servisnej zmluvy majú rozdielny právny základ a ich plynutie je rozdielne.</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lastRenderedPageBreak/>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a nárokovateľný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lastRenderedPageBreak/>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w:t>
      </w:r>
      <w:r w:rsidRPr="00A44614">
        <w:rPr>
          <w:rFonts w:ascii="Cambria" w:hAnsi="Cambria"/>
          <w:sz w:val="22"/>
          <w:szCs w:val="22"/>
        </w:rPr>
        <w:lastRenderedPageBreak/>
        <w:t>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18CF9697"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pre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“best practices”,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42BA6561"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6F04C8" w:rsidRPr="000453D6">
        <w:rPr>
          <w:rFonts w:ascii="Cambria" w:hAnsi="Cambria"/>
          <w:sz w:val="22"/>
          <w:szCs w:val="22"/>
        </w:rPr>
        <w:t>Zhotoviteľ</w:t>
      </w:r>
      <w:r w:rsidRPr="000453D6">
        <w:rPr>
          <w:rFonts w:ascii="Cambria" w:hAnsi="Cambria"/>
          <w:sz w:val="22"/>
          <w:szCs w:val="22"/>
        </w:rPr>
        <w:t xml:space="preserve"> preverí bezpečnosť kódu a vyhotoví o tom záznam, kde budú zachytené vykonané testy a ich výsledky, tento záznam uchová po dobu min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lastRenderedPageBreak/>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 v zmysle tejto Servisnej zmluvy.</w:t>
      </w:r>
    </w:p>
    <w:p w14:paraId="6295954A" w14:textId="0280D667"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VI</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nasl.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w:t>
      </w:r>
      <w:r w:rsidR="0005770D" w:rsidRPr="00BE5F5A">
        <w:rPr>
          <w:rFonts w:ascii="Cambria" w:hAnsi="Cambria"/>
          <w:sz w:val="22"/>
          <w:szCs w:val="22"/>
        </w:rPr>
        <w:lastRenderedPageBreak/>
        <w:t xml:space="preserve">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660B348E"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 (pracovné zmluvy, dohody o prácach vykonávaných mimo pracovného pomeru v zmysle Zákonníka práce) a osobné údaje fyzických osôb, prostredníctvom ktorých </w:t>
      </w:r>
      <w:r w:rsidR="0005770D" w:rsidRPr="000E17C9">
        <w:rPr>
          <w:rFonts w:ascii="Cambria" w:hAnsi="Cambria"/>
          <w:sz w:val="22"/>
          <w:szCs w:val="22"/>
        </w:rPr>
        <w:t>plní zmluvu</w:t>
      </w:r>
      <w:r w:rsidR="002768D2" w:rsidRPr="000E17C9">
        <w:rPr>
          <w:rFonts w:ascii="Cambria" w:hAnsi="Cambria"/>
          <w:sz w:val="22"/>
          <w:szCs w:val="22"/>
        </w:rPr>
        <w:t xml:space="preserve"> o dielo</w:t>
      </w:r>
      <w:r w:rsidR="0005770D" w:rsidRPr="000E17C9">
        <w:rPr>
          <w:rFonts w:ascii="Cambria" w:hAnsi="Cambria"/>
          <w:sz w:val="22"/>
          <w:szCs w:val="22"/>
        </w:rPr>
        <w:t xml:space="preserve">, a ktoré sú potrebné na to, aby objednávateľ mohol skontrolovať, či </w:t>
      </w:r>
      <w:r w:rsidRPr="000E17C9">
        <w:rPr>
          <w:rFonts w:ascii="Cambria" w:hAnsi="Cambria"/>
          <w:sz w:val="22"/>
          <w:szCs w:val="22"/>
        </w:rPr>
        <w:t>Zhotoviteľ</w:t>
      </w:r>
      <w:r w:rsidR="0005770D" w:rsidRPr="000E17C9">
        <w:rPr>
          <w:rFonts w:ascii="Cambria" w:hAnsi="Cambria"/>
          <w:sz w:val="22"/>
          <w:szCs w:val="22"/>
        </w:rPr>
        <w:t xml:space="preserve"> 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1388C2B4"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lastRenderedPageBreak/>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predchádzajúceho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56FB969B" w:rsidR="0005770D" w:rsidRPr="00B246C0" w:rsidRDefault="0005770D" w:rsidP="004A4B79">
      <w:pPr>
        <w:pStyle w:val="BodyTextIndent"/>
        <w:spacing w:before="0"/>
        <w:ind w:left="436" w:firstLine="0"/>
        <w:rPr>
          <w:rFonts w:ascii="Cambria" w:hAnsi="Cambria"/>
          <w:sz w:val="22"/>
          <w:szCs w:val="22"/>
        </w:rPr>
      </w:pPr>
      <w:r w:rsidRPr="00B246C0">
        <w:rPr>
          <w:rFonts w:ascii="Cambria" w:hAnsi="Cambria"/>
          <w:sz w:val="22"/>
          <w:szCs w:val="22"/>
        </w:rPr>
        <w:t xml:space="preserve">Zaplatením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lastRenderedPageBreak/>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3029D3B3"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 dielo</w:t>
      </w:r>
      <w:r w:rsidRPr="00B246C0">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767602BC"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zmluvy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zmluvy nastanú dňom doručenia písomného oznámenia o odstúpení druhej zmluvnej strany.</w:t>
      </w:r>
    </w:p>
    <w:p w14:paraId="0B275ED8" w14:textId="77777777"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zmluvy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AEAC436"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luvných strán, tvorí stanovenie spôsobu vysporiadania vzťahov vzniknutých na základe zmluvy o dielo podstatnú náležitosť dohody o ukončení účinnosti zmluvy o dielo. V rámci tejto dohody sa vysporiada aj udelenie licencií k odovzdanému dodanému informačnému systému alebo jeho časti v súlade s ustanoveniami o právach duševného vlastníctva podľa zmluvy o dielo.</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9A3D19">
      <w:pPr>
        <w:pStyle w:val="MLOdsek"/>
        <w:numPr>
          <w:ilvl w:val="2"/>
          <w:numId w:val="22"/>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lastRenderedPageBreak/>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9A3D19">
      <w:pPr>
        <w:pStyle w:val="MLOdsek"/>
        <w:numPr>
          <w:ilvl w:val="2"/>
          <w:numId w:val="22"/>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9A3D19">
      <w:pPr>
        <w:pStyle w:val="MLOdsek"/>
        <w:numPr>
          <w:ilvl w:val="2"/>
          <w:numId w:val="22"/>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71C6A287" w14:textId="7D28685B"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I</w:t>
      </w:r>
      <w:r w:rsidRPr="00B246C0">
        <w:rPr>
          <w:rFonts w:ascii="Cambria" w:hAnsi="Cambria"/>
          <w:sz w:val="22"/>
          <w:szCs w:val="22"/>
        </w:rPr>
        <w:t>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desk,</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lastRenderedPageBreak/>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6"/>
    <w:p w14:paraId="030B5A56" w14:textId="0DAA874C" w:rsidR="008D56AA" w:rsidRPr="009E2631" w:rsidRDefault="008D56AA" w:rsidP="008D56AA">
      <w:pPr>
        <w:keepNext/>
        <w:keepLines/>
        <w:tabs>
          <w:tab w:val="left" w:pos="2410"/>
        </w:tabs>
        <w:ind w:left="993"/>
        <w:rPr>
          <w:rFonts w:ascii="Cambria" w:hAnsi="Cambria"/>
          <w:b/>
          <w:bCs/>
          <w:sz w:val="22"/>
          <w:szCs w:val="22"/>
          <w:highlight w:val="yellow"/>
        </w:rPr>
      </w:pPr>
    </w:p>
    <w:p w14:paraId="287CF700" w14:textId="77777777" w:rsidR="00A22880" w:rsidRDefault="00A22880" w:rsidP="00A22880">
      <w:pPr>
        <w:pStyle w:val="BodyTextIndent"/>
        <w:spacing w:after="240"/>
        <w:ind w:left="0" w:firstLine="0"/>
        <w:jc w:val="right"/>
        <w:rPr>
          <w:rFonts w:ascii="Cambria" w:hAnsi="Cambria"/>
          <w:b/>
          <w:i/>
          <w:iCs/>
          <w:sz w:val="22"/>
          <w:szCs w:val="22"/>
        </w:rPr>
      </w:pPr>
    </w:p>
    <w:p w14:paraId="4CCCAE53" w14:textId="77777777" w:rsidR="00A22880" w:rsidRDefault="00A22880" w:rsidP="00A22880">
      <w:pPr>
        <w:pStyle w:val="BodyTextIndent"/>
        <w:spacing w:after="240"/>
        <w:ind w:left="0" w:firstLine="0"/>
        <w:jc w:val="right"/>
        <w:rPr>
          <w:rFonts w:ascii="Cambria" w:hAnsi="Cambria"/>
          <w:b/>
          <w:i/>
          <w:iCs/>
          <w:sz w:val="22"/>
          <w:szCs w:val="22"/>
        </w:rPr>
      </w:pPr>
    </w:p>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3418152" w14:textId="79845791" w:rsidR="008D56AA" w:rsidRPr="00B8259E" w:rsidRDefault="008D56AA" w:rsidP="000B7B40">
      <w:pPr>
        <w:pStyle w:val="Heading1"/>
        <w:spacing w:before="0"/>
        <w:ind w:left="3540" w:firstLine="708"/>
        <w:jc w:val="center"/>
        <w:rPr>
          <w:rFonts w:ascii="Cambria" w:hAnsi="Cambria"/>
          <w:sz w:val="24"/>
          <w:szCs w:val="24"/>
        </w:rPr>
      </w:pPr>
      <w:r w:rsidRPr="00B8259E">
        <w:rPr>
          <w:rFonts w:ascii="Cambria" w:hAnsi="Cambria"/>
          <w:sz w:val="24"/>
          <w:szCs w:val="24"/>
        </w:rPr>
        <w:lastRenderedPageBreak/>
        <w:t xml:space="preserve">Príloha č. 2: Požiadavky na </w:t>
      </w:r>
      <w:r w:rsidR="000A26E1" w:rsidRPr="00B8259E">
        <w:rPr>
          <w:rFonts w:ascii="Cambria" w:hAnsi="Cambria"/>
          <w:sz w:val="24"/>
          <w:szCs w:val="24"/>
        </w:rPr>
        <w:t>predmet zmluvy</w:t>
      </w:r>
      <w:r w:rsidRPr="00B8259E">
        <w:rPr>
          <w:rFonts w:ascii="Cambria" w:hAnsi="Cambria"/>
          <w:sz w:val="24"/>
          <w:szCs w:val="24"/>
        </w:rPr>
        <w:t xml:space="preserve"> </w:t>
      </w:r>
    </w:p>
    <w:p w14:paraId="530ADD90" w14:textId="77777777" w:rsidR="008D56AA" w:rsidRPr="00E75798" w:rsidRDefault="008D56AA" w:rsidP="008D56AA">
      <w:pPr>
        <w:rPr>
          <w:rFonts w:ascii="Cambria" w:hAnsi="Cambria" w:cs="Arial"/>
          <w:sz w:val="22"/>
          <w:szCs w:val="22"/>
          <w:highlight w:val="yellow"/>
        </w:rPr>
      </w:pPr>
    </w:p>
    <w:p w14:paraId="3C080339" w14:textId="77777777" w:rsidR="00B8259E" w:rsidRPr="00B8259E" w:rsidRDefault="00B8259E" w:rsidP="00B8259E">
      <w:pPr>
        <w:spacing w:before="120" w:after="120"/>
        <w:jc w:val="center"/>
        <w:rPr>
          <w:rFonts w:ascii="Cambria" w:eastAsia="Calibri" w:hAnsi="Cambria" w:cs="Arial"/>
          <w:b/>
          <w:bCs/>
          <w:sz w:val="32"/>
          <w:szCs w:val="32"/>
        </w:rPr>
      </w:pPr>
      <w:bookmarkStart w:id="87" w:name="_Hlt518806283"/>
      <w:bookmarkStart w:id="88" w:name="_Hlt16906326"/>
      <w:r w:rsidRPr="00B8259E">
        <w:rPr>
          <w:rFonts w:ascii="Cambria" w:eastAsia="Calibri" w:hAnsi="Cambria" w:cs="Arial"/>
          <w:b/>
          <w:bCs/>
          <w:sz w:val="32"/>
          <w:szCs w:val="32"/>
        </w:rPr>
        <w:t>Opis predmetu zákazky</w:t>
      </w:r>
    </w:p>
    <w:bookmarkStart w:id="89" w:name="_Toc110518766" w:displacedByCustomXml="next"/>
    <w:sdt>
      <w:sdtPr>
        <w:rPr>
          <w:rFonts w:ascii="Cambria" w:eastAsia="Calibri" w:hAnsi="Cambria" w:cs="Arial"/>
          <w:sz w:val="22"/>
          <w:szCs w:val="22"/>
        </w:rPr>
        <w:id w:val="1655570028"/>
        <w:docPartObj>
          <w:docPartGallery w:val="Table of Contents"/>
          <w:docPartUnique/>
        </w:docPartObj>
      </w:sdtPr>
      <w:sdtContent>
        <w:bookmarkEnd w:id="89" w:displacedByCustomXml="prev"/>
        <w:p w14:paraId="5BA70AF4" w14:textId="1B57BD68" w:rsidR="00D42B04" w:rsidRPr="00D42B04" w:rsidRDefault="00D42B04" w:rsidP="00D42B04">
          <w:pPr>
            <w:keepNext/>
            <w:pageBreakBefore/>
            <w:spacing w:before="240" w:after="240"/>
            <w:ind w:left="432"/>
            <w:jc w:val="both"/>
            <w:outlineLvl w:val="0"/>
            <w:rPr>
              <w:rFonts w:ascii="Calibri" w:eastAsia="Yu Mincho" w:hAnsi="Calibri" w:cs="Calibri"/>
              <w:noProof/>
              <w:color w:val="2F5496"/>
              <w:sz w:val="22"/>
              <w:szCs w:val="22"/>
              <w:lang w:eastAsia="sk-SK"/>
            </w:rPr>
          </w:pPr>
          <w:r w:rsidRPr="00D42B04">
            <w:rPr>
              <w:rFonts w:ascii="Cambria" w:eastAsia="Yu Gothic Light" w:hAnsi="Cambria" w:cs="Calibri"/>
              <w:color w:val="2F5496"/>
              <w:sz w:val="32"/>
              <w:szCs w:val="32"/>
              <w:lang w:eastAsia="sk-SK"/>
            </w:rPr>
            <w:fldChar w:fldCharType="begin"/>
          </w:r>
          <w:r w:rsidRPr="00D42B04">
            <w:rPr>
              <w:rFonts w:ascii="Cambria" w:eastAsia="Yu Gothic Light" w:hAnsi="Cambria" w:cs="Calibri"/>
              <w:color w:val="2F5496"/>
              <w:sz w:val="32"/>
              <w:szCs w:val="32"/>
              <w:lang w:eastAsia="sk-SK"/>
            </w:rPr>
            <w:instrText>TOC \o "1-3" \h \z \u</w:instrText>
          </w:r>
          <w:r w:rsidRPr="00D42B04">
            <w:rPr>
              <w:rFonts w:ascii="Cambria" w:eastAsia="Yu Gothic Light" w:hAnsi="Cambria" w:cs="Calibri"/>
              <w:color w:val="2F5496"/>
              <w:sz w:val="32"/>
              <w:szCs w:val="32"/>
              <w:lang w:eastAsia="sk-SK"/>
            </w:rPr>
            <w:fldChar w:fldCharType="separate"/>
          </w:r>
          <w:hyperlink w:anchor="_Toc110518766" w:history="1">
            <w:r w:rsidRPr="00D42B04">
              <w:rPr>
                <w:rFonts w:ascii="Cambria" w:eastAsia="Yu Gothic Light" w:hAnsi="Cambria" w:cs="Calibri"/>
                <w:noProof/>
                <w:color w:val="0563C1"/>
                <w:sz w:val="22"/>
                <w:szCs w:val="22"/>
                <w:u w:val="single"/>
                <w:lang w:eastAsia="sk-SK"/>
              </w:rPr>
              <w:t>Obsah</w:t>
            </w:r>
          </w:hyperlink>
        </w:p>
        <w:p w14:paraId="325C1865" w14:textId="77777777" w:rsidR="00D42B04" w:rsidRPr="00D42B04" w:rsidRDefault="00D42B04" w:rsidP="00D42B04">
          <w:pPr>
            <w:tabs>
              <w:tab w:val="left" w:pos="440"/>
              <w:tab w:val="right" w:leader="dot" w:pos="8487"/>
            </w:tabs>
            <w:spacing w:before="120" w:after="100"/>
            <w:jc w:val="both"/>
            <w:rPr>
              <w:rFonts w:ascii="Calibri" w:eastAsia="Yu Mincho" w:hAnsi="Calibri" w:cs="Arial"/>
              <w:noProof/>
              <w:sz w:val="22"/>
              <w:szCs w:val="22"/>
              <w:lang w:eastAsia="sk-SK"/>
            </w:rPr>
          </w:pPr>
          <w:hyperlink w:anchor="_Toc110518767" w:history="1">
            <w:r w:rsidRPr="00D42B04">
              <w:rPr>
                <w:rFonts w:ascii="Cambria" w:eastAsia="Calibri" w:hAnsi="Cambria" w:cs="Arial"/>
                <w:noProof/>
                <w:color w:val="0563C1"/>
                <w:sz w:val="22"/>
                <w:szCs w:val="22"/>
                <w:u w:val="single"/>
              </w:rPr>
              <w:t>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Referencie</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_Toc110518767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4</w:t>
            </w:r>
            <w:r w:rsidRPr="00D42B04">
              <w:rPr>
                <w:rFonts w:ascii="Calibri" w:eastAsia="Calibri" w:hAnsi="Calibri" w:cs="Arial"/>
                <w:noProof/>
                <w:webHidden/>
                <w:sz w:val="22"/>
                <w:szCs w:val="22"/>
              </w:rPr>
              <w:fldChar w:fldCharType="end"/>
            </w:r>
          </w:hyperlink>
        </w:p>
        <w:p w14:paraId="1220A7CC"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68" w:history="1">
            <w:r w:rsidRPr="00D42B04">
              <w:rPr>
                <w:rFonts w:ascii="Cambria" w:eastAsia="Calibri" w:hAnsi="Cambria" w:cs="Arial"/>
                <w:noProof/>
                <w:color w:val="0563C1"/>
                <w:sz w:val="22"/>
                <w:szCs w:val="22"/>
                <w:u w:val="single"/>
              </w:rPr>
              <w:t>1.1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Zoznam použitých skratiek a pojmov</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_Toc110518768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4</w:t>
            </w:r>
            <w:r w:rsidRPr="00D42B04">
              <w:rPr>
                <w:rFonts w:ascii="Calibri" w:eastAsia="Calibri" w:hAnsi="Calibri" w:cs="Arial"/>
                <w:noProof/>
                <w:webHidden/>
                <w:sz w:val="22"/>
                <w:szCs w:val="22"/>
              </w:rPr>
              <w:fldChar w:fldCharType="end"/>
            </w:r>
          </w:hyperlink>
        </w:p>
        <w:p w14:paraId="09D1ED11"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69" w:history="1">
            <w:r w:rsidRPr="00D42B04">
              <w:rPr>
                <w:rFonts w:ascii="Cambria" w:eastAsia="Calibri" w:hAnsi="Cambria" w:cs="Arial"/>
                <w:noProof/>
                <w:color w:val="0563C1"/>
                <w:sz w:val="22"/>
                <w:szCs w:val="22"/>
                <w:u w:val="single"/>
              </w:rPr>
              <w:t>1.2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Používané skratky odborov NBS</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_Toc110518769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4</w:t>
            </w:r>
            <w:r w:rsidRPr="00D42B04">
              <w:rPr>
                <w:rFonts w:ascii="Calibri" w:eastAsia="Calibri" w:hAnsi="Calibri" w:cs="Arial"/>
                <w:noProof/>
                <w:webHidden/>
                <w:sz w:val="22"/>
                <w:szCs w:val="22"/>
              </w:rPr>
              <w:fldChar w:fldCharType="end"/>
            </w:r>
          </w:hyperlink>
        </w:p>
        <w:p w14:paraId="5580623E" w14:textId="77777777" w:rsidR="00D42B04" w:rsidRPr="00D42B04" w:rsidRDefault="00D42B04" w:rsidP="00D42B04">
          <w:pPr>
            <w:tabs>
              <w:tab w:val="left" w:pos="440"/>
              <w:tab w:val="right" w:leader="dot" w:pos="8487"/>
            </w:tabs>
            <w:spacing w:before="120" w:after="100"/>
            <w:jc w:val="both"/>
            <w:rPr>
              <w:rFonts w:ascii="Calibri" w:eastAsia="Yu Mincho" w:hAnsi="Calibri" w:cs="Arial"/>
              <w:noProof/>
              <w:sz w:val="22"/>
              <w:szCs w:val="22"/>
              <w:lang w:eastAsia="sk-SK"/>
            </w:rPr>
          </w:pPr>
          <w:hyperlink w:anchor="_Toc110518770" w:history="1">
            <w:r w:rsidRPr="00D42B04">
              <w:rPr>
                <w:rFonts w:ascii="Cambria" w:eastAsia="Calibri" w:hAnsi="Cambria" w:cs="Arial"/>
                <w:noProof/>
                <w:color w:val="0563C1"/>
                <w:sz w:val="22"/>
                <w:szCs w:val="22"/>
                <w:u w:val="single"/>
              </w:rPr>
              <w:t>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Predmet  verejného obstarávania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w:t>
            </w:r>
            <w:r w:rsidRPr="00D42B04">
              <w:rPr>
                <w:rFonts w:ascii="Calibri" w:eastAsia="Calibri" w:hAnsi="Calibri" w:cs="Arial"/>
                <w:noProof/>
                <w:webHidden/>
                <w:sz w:val="22"/>
                <w:szCs w:val="22"/>
              </w:rPr>
              <w:fldChar w:fldCharType="end"/>
            </w:r>
          </w:hyperlink>
        </w:p>
        <w:p w14:paraId="3945BFC9"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71" w:history="1">
            <w:r w:rsidRPr="00D42B04">
              <w:rPr>
                <w:rFonts w:ascii="Cambria" w:eastAsia="Calibri" w:hAnsi="Cambria" w:cs="Arial"/>
                <w:noProof/>
                <w:color w:val="0563C1"/>
                <w:sz w:val="22"/>
                <w:szCs w:val="22"/>
                <w:u w:val="single"/>
              </w:rPr>
              <w:t>2.1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Úvod</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w:t>
            </w:r>
            <w:r w:rsidRPr="00D42B04">
              <w:rPr>
                <w:rFonts w:ascii="Calibri" w:eastAsia="Calibri" w:hAnsi="Calibri" w:cs="Arial"/>
                <w:noProof/>
                <w:webHidden/>
                <w:sz w:val="22"/>
                <w:szCs w:val="22"/>
              </w:rPr>
              <w:fldChar w:fldCharType="end"/>
            </w:r>
          </w:hyperlink>
        </w:p>
        <w:p w14:paraId="43DB6500"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72" w:history="1">
            <w:r w:rsidRPr="00D42B04">
              <w:rPr>
                <w:rFonts w:ascii="Cambria" w:eastAsia="Calibri" w:hAnsi="Cambria" w:cs="Arial"/>
                <w:noProof/>
                <w:color w:val="0563C1"/>
                <w:sz w:val="22"/>
                <w:szCs w:val="22"/>
                <w:u w:val="single"/>
              </w:rPr>
              <w:t>2.2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Rozsah dodávky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w:t>
            </w:r>
            <w:r w:rsidRPr="00D42B04">
              <w:rPr>
                <w:rFonts w:ascii="Calibri" w:eastAsia="Calibri" w:hAnsi="Calibri" w:cs="Arial"/>
                <w:noProof/>
                <w:webHidden/>
                <w:sz w:val="22"/>
                <w:szCs w:val="22"/>
              </w:rPr>
              <w:fldChar w:fldCharType="end"/>
            </w:r>
          </w:hyperlink>
        </w:p>
        <w:p w14:paraId="52BE88D1"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73" w:history="1">
            <w:r w:rsidRPr="00D42B04">
              <w:rPr>
                <w:rFonts w:ascii="Cambria" w:eastAsia="Calibri" w:hAnsi="Cambria" w:cs="Arial"/>
                <w:noProof/>
                <w:color w:val="0563C1"/>
                <w:sz w:val="22"/>
                <w:szCs w:val="22"/>
                <w:u w:val="single"/>
              </w:rPr>
              <w:t>2.3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Realizácia riešenia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w:t>
            </w:r>
            <w:r w:rsidRPr="00D42B04">
              <w:rPr>
                <w:rFonts w:ascii="Calibri" w:eastAsia="Calibri" w:hAnsi="Calibri" w:cs="Arial"/>
                <w:noProof/>
                <w:webHidden/>
                <w:sz w:val="22"/>
                <w:szCs w:val="22"/>
              </w:rPr>
              <w:fldChar w:fldCharType="end"/>
            </w:r>
          </w:hyperlink>
        </w:p>
        <w:p w14:paraId="72938F44" w14:textId="77777777" w:rsidR="00D42B04" w:rsidRPr="00D42B04" w:rsidRDefault="00D42B04" w:rsidP="00D42B04">
          <w:pPr>
            <w:tabs>
              <w:tab w:val="left" w:pos="440"/>
              <w:tab w:val="right" w:leader="dot" w:pos="8487"/>
            </w:tabs>
            <w:spacing w:before="120" w:after="100"/>
            <w:jc w:val="both"/>
            <w:rPr>
              <w:rFonts w:ascii="Calibri" w:eastAsia="Yu Mincho" w:hAnsi="Calibri" w:cs="Arial"/>
              <w:noProof/>
              <w:sz w:val="22"/>
              <w:szCs w:val="22"/>
              <w:lang w:eastAsia="sk-SK"/>
            </w:rPr>
          </w:pPr>
          <w:hyperlink w:anchor="_Toc110518774" w:history="1">
            <w:r w:rsidRPr="00D42B04">
              <w:rPr>
                <w:rFonts w:ascii="Cambria" w:eastAsia="Calibri" w:hAnsi="Cambria" w:cs="Arial"/>
                <w:noProof/>
                <w:color w:val="0563C1"/>
                <w:sz w:val="22"/>
                <w:szCs w:val="22"/>
                <w:u w:val="single"/>
              </w:rPr>
              <w:t>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Opis predmetu zákazky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_Toc110518774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8</w:t>
            </w:r>
            <w:r w:rsidRPr="00D42B04">
              <w:rPr>
                <w:rFonts w:ascii="Calibri" w:eastAsia="Calibri" w:hAnsi="Calibri" w:cs="Arial"/>
                <w:noProof/>
                <w:webHidden/>
                <w:sz w:val="22"/>
                <w:szCs w:val="22"/>
              </w:rPr>
              <w:fldChar w:fldCharType="end"/>
            </w:r>
          </w:hyperlink>
        </w:p>
        <w:p w14:paraId="21EC1FA3"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75" w:history="1">
            <w:r w:rsidRPr="00D42B04">
              <w:rPr>
                <w:rFonts w:ascii="Cambria" w:eastAsia="Calibri" w:hAnsi="Cambria" w:cs="Arial"/>
                <w:noProof/>
                <w:color w:val="0563C1"/>
                <w:sz w:val="22"/>
                <w:szCs w:val="22"/>
                <w:u w:val="single"/>
              </w:rPr>
              <w:t>3.1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Východisková situácia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_Toc110518775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8</w:t>
            </w:r>
            <w:r w:rsidRPr="00D42B04">
              <w:rPr>
                <w:rFonts w:ascii="Calibri" w:eastAsia="Calibri" w:hAnsi="Calibri" w:cs="Arial"/>
                <w:noProof/>
                <w:webHidden/>
                <w:sz w:val="22"/>
                <w:szCs w:val="22"/>
              </w:rPr>
              <w:fldChar w:fldCharType="end"/>
            </w:r>
          </w:hyperlink>
        </w:p>
        <w:p w14:paraId="7A867479"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76" w:history="1">
            <w:r w:rsidRPr="00D42B04">
              <w:rPr>
                <w:rFonts w:ascii="Cambria" w:eastAsia="Calibri" w:hAnsi="Cambria" w:cs="Arial"/>
                <w:noProof/>
                <w:color w:val="0563C1"/>
                <w:sz w:val="22"/>
                <w:szCs w:val="22"/>
                <w:u w:val="single"/>
              </w:rPr>
              <w:t>3.1.1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Procesy a systémy pre spracovanie dát</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_Toc110518776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8</w:t>
            </w:r>
            <w:r w:rsidRPr="00D42B04">
              <w:rPr>
                <w:rFonts w:ascii="Calibri" w:eastAsia="Calibri" w:hAnsi="Calibri" w:cs="Arial"/>
                <w:noProof/>
                <w:webHidden/>
                <w:sz w:val="22"/>
                <w:szCs w:val="22"/>
              </w:rPr>
              <w:fldChar w:fldCharType="end"/>
            </w:r>
          </w:hyperlink>
        </w:p>
        <w:p w14:paraId="132F320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77" w:history="1">
            <w:r w:rsidRPr="00D42B04">
              <w:rPr>
                <w:rFonts w:ascii="Cambria" w:eastAsia="Calibri" w:hAnsi="Cambria" w:cs="Arial"/>
                <w:noProof/>
                <w:color w:val="0563C1"/>
                <w:sz w:val="22"/>
                <w:szCs w:val="22"/>
                <w:u w:val="single"/>
              </w:rPr>
              <w:t>3.1.2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Súčasná architektúra aplikačnej vrstvy práce s dátami</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13</w:t>
            </w:r>
            <w:r w:rsidRPr="00D42B04">
              <w:rPr>
                <w:rFonts w:ascii="Calibri" w:eastAsia="Calibri" w:hAnsi="Calibri" w:cs="Arial"/>
                <w:noProof/>
                <w:webHidden/>
                <w:sz w:val="22"/>
                <w:szCs w:val="22"/>
              </w:rPr>
              <w:fldChar w:fldCharType="end"/>
            </w:r>
          </w:hyperlink>
        </w:p>
        <w:p w14:paraId="149E278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78" w:history="1">
            <w:r w:rsidRPr="00D42B04">
              <w:rPr>
                <w:rFonts w:ascii="Cambria" w:eastAsia="Calibri" w:hAnsi="Cambria" w:cs="Arial"/>
                <w:noProof/>
                <w:color w:val="0563C1"/>
                <w:sz w:val="22"/>
                <w:szCs w:val="22"/>
                <w:u w:val="single"/>
              </w:rPr>
              <w:t>3.1.3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Pilot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21</w:t>
            </w:r>
            <w:r w:rsidRPr="00D42B04">
              <w:rPr>
                <w:rFonts w:ascii="Calibri" w:eastAsia="Calibri" w:hAnsi="Calibri" w:cs="Arial"/>
                <w:noProof/>
                <w:webHidden/>
                <w:sz w:val="22"/>
                <w:szCs w:val="22"/>
              </w:rPr>
              <w:fldChar w:fldCharType="end"/>
            </w:r>
          </w:hyperlink>
        </w:p>
        <w:p w14:paraId="125E6339"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79" w:history="1">
            <w:r w:rsidRPr="00D42B04">
              <w:rPr>
                <w:rFonts w:ascii="Cambria" w:eastAsia="Calibri" w:hAnsi="Cambria" w:cs="Arial"/>
                <w:noProof/>
                <w:color w:val="0563C1"/>
                <w:sz w:val="22"/>
                <w:szCs w:val="22"/>
                <w:u w:val="single"/>
              </w:rPr>
              <w:t>3.2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Technické požiadavky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_Toc110518779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26</w:t>
            </w:r>
            <w:r w:rsidRPr="00D42B04">
              <w:rPr>
                <w:rFonts w:ascii="Calibri" w:eastAsia="Calibri" w:hAnsi="Calibri" w:cs="Arial"/>
                <w:noProof/>
                <w:webHidden/>
                <w:sz w:val="22"/>
                <w:szCs w:val="22"/>
              </w:rPr>
              <w:fldChar w:fldCharType="end"/>
            </w:r>
          </w:hyperlink>
        </w:p>
        <w:p w14:paraId="4A112FA3"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0" w:history="1">
            <w:r w:rsidRPr="00D42B04">
              <w:rPr>
                <w:rFonts w:ascii="Cambria" w:eastAsia="Calibri" w:hAnsi="Cambria" w:cs="Arial"/>
                <w:noProof/>
                <w:color w:val="0563C1"/>
                <w:sz w:val="22"/>
                <w:szCs w:val="22"/>
                <w:u w:val="single"/>
              </w:rPr>
              <w:t>3.2.1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Úvod</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26</w:t>
            </w:r>
            <w:r w:rsidRPr="00D42B04">
              <w:rPr>
                <w:rFonts w:ascii="Calibri" w:eastAsia="Calibri" w:hAnsi="Calibri" w:cs="Arial"/>
                <w:noProof/>
                <w:webHidden/>
                <w:sz w:val="22"/>
                <w:szCs w:val="22"/>
              </w:rPr>
              <w:fldChar w:fldCharType="end"/>
            </w:r>
          </w:hyperlink>
        </w:p>
        <w:p w14:paraId="105D675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1" w:history="1">
            <w:r w:rsidRPr="00D42B04">
              <w:rPr>
                <w:rFonts w:ascii="Cambria" w:eastAsia="Calibri" w:hAnsi="Cambria" w:cs="Arial"/>
                <w:noProof/>
                <w:color w:val="0563C1"/>
                <w:sz w:val="22"/>
                <w:szCs w:val="22"/>
                <w:u w:val="single"/>
              </w:rPr>
              <w:t>3.2.2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Požadovaná architektúra aplikačnej vrstvy práce s dátami</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26</w:t>
            </w:r>
            <w:r w:rsidRPr="00D42B04">
              <w:rPr>
                <w:rFonts w:ascii="Calibri" w:eastAsia="Calibri" w:hAnsi="Calibri" w:cs="Arial"/>
                <w:noProof/>
                <w:webHidden/>
                <w:sz w:val="22"/>
                <w:szCs w:val="22"/>
              </w:rPr>
              <w:fldChar w:fldCharType="end"/>
            </w:r>
          </w:hyperlink>
        </w:p>
        <w:p w14:paraId="6A5165DD"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2" w:history="1">
            <w:r w:rsidRPr="00D42B04">
              <w:rPr>
                <w:rFonts w:ascii="Cambria" w:eastAsia="Calibri" w:hAnsi="Cambria" w:cs="Arial"/>
                <w:noProof/>
                <w:color w:val="0563C1"/>
                <w:sz w:val="22"/>
                <w:szCs w:val="22"/>
                <w:u w:val="single"/>
              </w:rPr>
              <w:t>3.2.3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Logická architektúra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27</w:t>
            </w:r>
            <w:r w:rsidRPr="00D42B04">
              <w:rPr>
                <w:rFonts w:ascii="Calibri" w:eastAsia="Calibri" w:hAnsi="Calibri" w:cs="Arial"/>
                <w:noProof/>
                <w:webHidden/>
                <w:sz w:val="22"/>
                <w:szCs w:val="22"/>
              </w:rPr>
              <w:fldChar w:fldCharType="end"/>
            </w:r>
          </w:hyperlink>
        </w:p>
        <w:p w14:paraId="4FBDCE83"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3" w:history="1">
            <w:r w:rsidRPr="00D42B04">
              <w:rPr>
                <w:rFonts w:ascii="Cambria" w:eastAsia="Calibri" w:hAnsi="Cambria" w:cs="Arial"/>
                <w:noProof/>
                <w:color w:val="0563C1"/>
                <w:sz w:val="22"/>
                <w:szCs w:val="22"/>
                <w:u w:val="single"/>
              </w:rPr>
              <w:t>3.2.4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Fyzická architektúra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28</w:t>
            </w:r>
            <w:r w:rsidRPr="00D42B04">
              <w:rPr>
                <w:rFonts w:ascii="Calibri" w:eastAsia="Calibri" w:hAnsi="Calibri" w:cs="Arial"/>
                <w:noProof/>
                <w:webHidden/>
                <w:sz w:val="22"/>
                <w:szCs w:val="22"/>
              </w:rPr>
              <w:fldChar w:fldCharType="end"/>
            </w:r>
          </w:hyperlink>
        </w:p>
        <w:p w14:paraId="3FA861C3"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4" w:history="1">
            <w:r w:rsidRPr="00D42B04">
              <w:rPr>
                <w:rFonts w:ascii="Cambria" w:eastAsia="Calibri" w:hAnsi="Cambria" w:cs="Arial"/>
                <w:noProof/>
                <w:color w:val="0563C1"/>
                <w:sz w:val="22"/>
                <w:szCs w:val="22"/>
                <w:u w:val="single"/>
              </w:rPr>
              <w:t>3.2.5</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Aplikačná architektúra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_Toc110518784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32</w:t>
            </w:r>
            <w:r w:rsidRPr="00D42B04">
              <w:rPr>
                <w:rFonts w:ascii="Calibri" w:eastAsia="Calibri" w:hAnsi="Calibri" w:cs="Arial"/>
                <w:noProof/>
                <w:webHidden/>
                <w:sz w:val="22"/>
                <w:szCs w:val="22"/>
              </w:rPr>
              <w:fldChar w:fldCharType="end"/>
            </w:r>
          </w:hyperlink>
        </w:p>
        <w:p w14:paraId="39BB5E71"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5" w:history="1">
            <w:r w:rsidRPr="00D42B04">
              <w:rPr>
                <w:rFonts w:ascii="Cambria" w:eastAsia="Calibri" w:hAnsi="Cambria" w:cs="Arial"/>
                <w:noProof/>
                <w:color w:val="0563C1"/>
                <w:sz w:val="22"/>
                <w:szCs w:val="22"/>
                <w:u w:val="single"/>
              </w:rPr>
              <w:t>3.2.6</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Metodika vývoja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_Toc110518785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39</w:t>
            </w:r>
            <w:r w:rsidRPr="00D42B04">
              <w:rPr>
                <w:rFonts w:ascii="Calibri" w:eastAsia="Calibri" w:hAnsi="Calibri" w:cs="Arial"/>
                <w:noProof/>
                <w:webHidden/>
                <w:sz w:val="22"/>
                <w:szCs w:val="22"/>
              </w:rPr>
              <w:fldChar w:fldCharType="end"/>
            </w:r>
          </w:hyperlink>
        </w:p>
        <w:p w14:paraId="6422DE67"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6" w:history="1">
            <w:r w:rsidRPr="00D42B04">
              <w:rPr>
                <w:rFonts w:ascii="Cambria" w:eastAsia="Calibri" w:hAnsi="Cambria" w:cs="Arial"/>
                <w:noProof/>
                <w:color w:val="0563C1"/>
                <w:sz w:val="22"/>
                <w:szCs w:val="22"/>
                <w:u w:val="single"/>
              </w:rPr>
              <w:t>3.2.7</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Relačná časť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_Toc110518786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42</w:t>
            </w:r>
            <w:r w:rsidRPr="00D42B04">
              <w:rPr>
                <w:rFonts w:ascii="Calibri" w:eastAsia="Calibri" w:hAnsi="Calibri" w:cs="Arial"/>
                <w:noProof/>
                <w:webHidden/>
                <w:sz w:val="22"/>
                <w:szCs w:val="22"/>
              </w:rPr>
              <w:fldChar w:fldCharType="end"/>
            </w:r>
          </w:hyperlink>
        </w:p>
        <w:p w14:paraId="28BB0EF4"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7" w:history="1">
            <w:r w:rsidRPr="00D42B04">
              <w:rPr>
                <w:rFonts w:ascii="Cambria" w:eastAsia="Calibri" w:hAnsi="Cambria" w:cs="Arial"/>
                <w:noProof/>
                <w:color w:val="0563C1"/>
                <w:sz w:val="22"/>
                <w:szCs w:val="22"/>
                <w:u w:val="single"/>
              </w:rPr>
              <w:t>3.2.8</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DataLake časť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48</w:t>
            </w:r>
            <w:r w:rsidRPr="00D42B04">
              <w:rPr>
                <w:rFonts w:ascii="Calibri" w:eastAsia="Calibri" w:hAnsi="Calibri" w:cs="Arial"/>
                <w:noProof/>
                <w:webHidden/>
                <w:sz w:val="22"/>
                <w:szCs w:val="22"/>
              </w:rPr>
              <w:fldChar w:fldCharType="end"/>
            </w:r>
          </w:hyperlink>
        </w:p>
        <w:p w14:paraId="2B3971F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8" w:history="1">
            <w:r w:rsidRPr="00D42B04">
              <w:rPr>
                <w:rFonts w:ascii="Cambria" w:eastAsia="Calibri" w:hAnsi="Cambria" w:cs="Arial"/>
                <w:noProof/>
                <w:color w:val="0563C1"/>
                <w:sz w:val="22"/>
                <w:szCs w:val="22"/>
                <w:u w:val="single"/>
              </w:rPr>
              <w:t>3.2.9</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Informačná bezpečnosť</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50</w:t>
            </w:r>
            <w:r w:rsidRPr="00D42B04">
              <w:rPr>
                <w:rFonts w:ascii="Calibri" w:eastAsia="Calibri" w:hAnsi="Calibri" w:cs="Arial"/>
                <w:noProof/>
                <w:webHidden/>
                <w:sz w:val="22"/>
                <w:szCs w:val="22"/>
              </w:rPr>
              <w:fldChar w:fldCharType="end"/>
            </w:r>
          </w:hyperlink>
        </w:p>
        <w:p w14:paraId="55D5197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89" w:history="1">
            <w:r w:rsidRPr="00D42B04">
              <w:rPr>
                <w:rFonts w:ascii="Cambria" w:eastAsia="Calibri" w:hAnsi="Cambria" w:cs="Arial"/>
                <w:noProof/>
                <w:color w:val="0563C1"/>
                <w:sz w:val="22"/>
                <w:szCs w:val="22"/>
                <w:u w:val="single"/>
              </w:rPr>
              <w:t>3.2.10</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Iniciálny load</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_Toc110518789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51</w:t>
            </w:r>
            <w:r w:rsidRPr="00D42B04">
              <w:rPr>
                <w:rFonts w:ascii="Calibri" w:eastAsia="Calibri" w:hAnsi="Calibri" w:cs="Arial"/>
                <w:noProof/>
                <w:webHidden/>
                <w:sz w:val="22"/>
                <w:szCs w:val="22"/>
              </w:rPr>
              <w:fldChar w:fldCharType="end"/>
            </w:r>
          </w:hyperlink>
        </w:p>
        <w:p w14:paraId="6B3DFDA8"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0" w:history="1">
            <w:r w:rsidRPr="00D42B04">
              <w:rPr>
                <w:rFonts w:ascii="Cambria" w:eastAsia="Calibri" w:hAnsi="Cambria" w:cs="Arial"/>
                <w:noProof/>
                <w:color w:val="0563C1"/>
                <w:sz w:val="22"/>
                <w:szCs w:val="22"/>
                <w:u w:val="single"/>
              </w:rPr>
              <w:t>3.2.11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Migrácia dát z </w:t>
            </w:r>
            <w:r w:rsidRPr="00D42B04">
              <w:rPr>
                <w:rFonts w:ascii="Cambria" w:eastAsia="Calibri" w:hAnsi="Cambria" w:cs="Arial"/>
                <w:noProof/>
                <w:color w:val="0563C1"/>
                <w:sz w:val="22"/>
                <w:szCs w:val="22"/>
                <w:u w:val="single"/>
              </w:rPr>
              <w:t>p</w:t>
            </w:r>
            <w:r w:rsidRPr="00D42B04">
              <w:rPr>
                <w:rFonts w:ascii="Cambria" w:eastAsia="Calibri" w:hAnsi="Cambria" w:cs="Arial"/>
                <w:noProof/>
                <w:color w:val="0563C1"/>
                <w:sz w:val="22"/>
                <w:szCs w:val="22"/>
                <w:u w:val="single"/>
              </w:rPr>
              <w:t>rojektu Pilot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52</w:t>
            </w:r>
            <w:r w:rsidRPr="00D42B04">
              <w:rPr>
                <w:rFonts w:ascii="Calibri" w:eastAsia="Calibri" w:hAnsi="Calibri" w:cs="Arial"/>
                <w:noProof/>
                <w:webHidden/>
                <w:sz w:val="22"/>
                <w:szCs w:val="22"/>
              </w:rPr>
              <w:fldChar w:fldCharType="end"/>
            </w:r>
          </w:hyperlink>
        </w:p>
        <w:p w14:paraId="44390EAA"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1" w:history="1">
            <w:r w:rsidRPr="00D42B04">
              <w:rPr>
                <w:rFonts w:ascii="Cambria" w:eastAsia="Calibri" w:hAnsi="Cambria" w:cs="Arial"/>
                <w:noProof/>
                <w:color w:val="0563C1"/>
                <w:sz w:val="22"/>
                <w:szCs w:val="22"/>
                <w:u w:val="single"/>
              </w:rPr>
              <w:t>3.2.12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Metodika fyzického vývoja a inštalácie na produkciu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52</w:t>
            </w:r>
            <w:r w:rsidRPr="00D42B04">
              <w:rPr>
                <w:rFonts w:ascii="Calibri" w:eastAsia="Calibri" w:hAnsi="Calibri" w:cs="Arial"/>
                <w:noProof/>
                <w:webHidden/>
                <w:sz w:val="22"/>
                <w:szCs w:val="22"/>
              </w:rPr>
              <w:fldChar w:fldCharType="end"/>
            </w:r>
          </w:hyperlink>
        </w:p>
        <w:p w14:paraId="5BF47AAE"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2" w:history="1">
            <w:r w:rsidRPr="00D42B04">
              <w:rPr>
                <w:rFonts w:ascii="Cambria" w:eastAsia="Calibri" w:hAnsi="Cambria" w:cs="Arial"/>
                <w:noProof/>
                <w:color w:val="0563C1"/>
                <w:sz w:val="22"/>
                <w:szCs w:val="22"/>
                <w:u w:val="single"/>
              </w:rPr>
              <w:t>3.2.13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Nástroje na podporu prevádzky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53</w:t>
            </w:r>
            <w:r w:rsidRPr="00D42B04">
              <w:rPr>
                <w:rFonts w:ascii="Calibri" w:eastAsia="Calibri" w:hAnsi="Calibri" w:cs="Arial"/>
                <w:noProof/>
                <w:webHidden/>
                <w:sz w:val="22"/>
                <w:szCs w:val="22"/>
              </w:rPr>
              <w:fldChar w:fldCharType="end"/>
            </w:r>
          </w:hyperlink>
        </w:p>
        <w:p w14:paraId="4D1346C4"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3" w:history="1">
            <w:r w:rsidRPr="00D42B04">
              <w:rPr>
                <w:rFonts w:ascii="Cambria" w:eastAsia="Calibri" w:hAnsi="Cambria" w:cs="Arial"/>
                <w:noProof/>
                <w:color w:val="0563C1"/>
                <w:sz w:val="22"/>
                <w:szCs w:val="22"/>
                <w:u w:val="single"/>
              </w:rPr>
              <w:t>3.2.14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Nástroje pre Data Governance a riešenia Master Data Managamentu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65</w:t>
            </w:r>
            <w:r w:rsidRPr="00D42B04">
              <w:rPr>
                <w:rFonts w:ascii="Calibri" w:eastAsia="Calibri" w:hAnsi="Calibri" w:cs="Arial"/>
                <w:noProof/>
                <w:webHidden/>
                <w:sz w:val="22"/>
                <w:szCs w:val="22"/>
              </w:rPr>
              <w:fldChar w:fldCharType="end"/>
            </w:r>
          </w:hyperlink>
        </w:p>
        <w:p w14:paraId="778EBA12"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94" w:history="1">
            <w:r w:rsidRPr="00D42B04">
              <w:rPr>
                <w:rFonts w:ascii="Cambria" w:eastAsia="Calibri" w:hAnsi="Cambria" w:cs="Arial"/>
                <w:noProof/>
                <w:color w:val="0563C1"/>
                <w:sz w:val="22"/>
                <w:szCs w:val="22"/>
                <w:u w:val="single"/>
              </w:rPr>
              <w:t>3.3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Biznisové požiadavky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_Toc110518794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65</w:t>
            </w:r>
            <w:r w:rsidRPr="00D42B04">
              <w:rPr>
                <w:rFonts w:ascii="Calibri" w:eastAsia="Calibri" w:hAnsi="Calibri" w:cs="Arial"/>
                <w:noProof/>
                <w:webHidden/>
                <w:sz w:val="22"/>
                <w:szCs w:val="22"/>
              </w:rPr>
              <w:fldChar w:fldCharType="end"/>
            </w:r>
          </w:hyperlink>
        </w:p>
        <w:p w14:paraId="398541D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5" w:history="1">
            <w:r w:rsidRPr="00D42B04">
              <w:rPr>
                <w:rFonts w:ascii="Cambria" w:eastAsia="Calibri" w:hAnsi="Cambria" w:cs="Arial"/>
                <w:noProof/>
                <w:color w:val="0563C1"/>
                <w:sz w:val="22"/>
                <w:szCs w:val="22"/>
                <w:u w:val="single"/>
              </w:rPr>
              <w:t>3.3.1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Zdrojové (vstupné) systémy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_Toc110518795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65</w:t>
            </w:r>
            <w:r w:rsidRPr="00D42B04">
              <w:rPr>
                <w:rFonts w:ascii="Calibri" w:eastAsia="Calibri" w:hAnsi="Calibri" w:cs="Arial"/>
                <w:noProof/>
                <w:webHidden/>
                <w:sz w:val="22"/>
                <w:szCs w:val="22"/>
              </w:rPr>
              <w:fldChar w:fldCharType="end"/>
            </w:r>
          </w:hyperlink>
        </w:p>
        <w:p w14:paraId="483AE3BD"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6" w:history="1">
            <w:r w:rsidRPr="00D42B04">
              <w:rPr>
                <w:rFonts w:ascii="Cambria" w:eastAsia="Calibri" w:hAnsi="Cambria" w:cs="Arial"/>
                <w:noProof/>
                <w:color w:val="0563C1"/>
                <w:sz w:val="22"/>
                <w:szCs w:val="22"/>
                <w:u w:val="single"/>
              </w:rPr>
              <w:t>3.3.2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Reportingová oblasť</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_Toc110518796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69</w:t>
            </w:r>
            <w:r w:rsidRPr="00D42B04">
              <w:rPr>
                <w:rFonts w:ascii="Calibri" w:eastAsia="Calibri" w:hAnsi="Calibri" w:cs="Arial"/>
                <w:noProof/>
                <w:webHidden/>
                <w:sz w:val="22"/>
                <w:szCs w:val="22"/>
              </w:rPr>
              <w:fldChar w:fldCharType="end"/>
            </w:r>
          </w:hyperlink>
        </w:p>
        <w:p w14:paraId="163FAA52"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7" w:history="1">
            <w:r w:rsidRPr="00D42B04">
              <w:rPr>
                <w:rFonts w:ascii="Cambria" w:eastAsia="Calibri" w:hAnsi="Cambria" w:cs="Arial"/>
                <w:noProof/>
                <w:color w:val="0563C1"/>
                <w:sz w:val="22"/>
                <w:szCs w:val="22"/>
                <w:u w:val="single"/>
              </w:rPr>
              <w:t>3.3.3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Výstupné dátové oblasti</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73</w:t>
            </w:r>
            <w:r w:rsidRPr="00D42B04">
              <w:rPr>
                <w:rFonts w:ascii="Calibri" w:eastAsia="Calibri" w:hAnsi="Calibri" w:cs="Arial"/>
                <w:noProof/>
                <w:webHidden/>
                <w:sz w:val="22"/>
                <w:szCs w:val="22"/>
              </w:rPr>
              <w:fldChar w:fldCharType="end"/>
            </w:r>
          </w:hyperlink>
        </w:p>
        <w:p w14:paraId="2375CB68"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798" w:history="1">
            <w:r w:rsidRPr="00D42B04">
              <w:rPr>
                <w:rFonts w:ascii="Cambria" w:eastAsia="Calibri" w:hAnsi="Cambria" w:cs="Arial"/>
                <w:noProof/>
                <w:color w:val="0563C1"/>
                <w:sz w:val="22"/>
                <w:szCs w:val="22"/>
                <w:u w:val="single"/>
              </w:rPr>
              <w:t>3.3.4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Funkčné požiadavky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76</w:t>
            </w:r>
            <w:r w:rsidRPr="00D42B04">
              <w:rPr>
                <w:rFonts w:ascii="Calibri" w:eastAsia="Calibri" w:hAnsi="Calibri" w:cs="Arial"/>
                <w:noProof/>
                <w:webHidden/>
                <w:sz w:val="22"/>
                <w:szCs w:val="22"/>
              </w:rPr>
              <w:fldChar w:fldCharType="end"/>
            </w:r>
          </w:hyperlink>
        </w:p>
        <w:p w14:paraId="7909106C"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799" w:history="1">
            <w:r w:rsidRPr="00D42B04">
              <w:rPr>
                <w:rFonts w:ascii="Cambria" w:eastAsia="Calibri" w:hAnsi="Cambria" w:cs="Arial"/>
                <w:noProof/>
                <w:color w:val="0563C1"/>
                <w:sz w:val="22"/>
                <w:szCs w:val="22"/>
                <w:u w:val="single"/>
              </w:rPr>
              <w:t>3.4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Požiadavky na organizáciu a výstupy projektu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_Toc110518799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77</w:t>
            </w:r>
            <w:r w:rsidRPr="00D42B04">
              <w:rPr>
                <w:rFonts w:ascii="Calibri" w:eastAsia="Calibri" w:hAnsi="Calibri" w:cs="Arial"/>
                <w:noProof/>
                <w:webHidden/>
                <w:sz w:val="22"/>
                <w:szCs w:val="22"/>
              </w:rPr>
              <w:fldChar w:fldCharType="end"/>
            </w:r>
          </w:hyperlink>
        </w:p>
        <w:p w14:paraId="6BC7EF8D"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0" w:history="1">
            <w:r w:rsidRPr="00D42B04">
              <w:rPr>
                <w:rFonts w:ascii="Cambria" w:eastAsia="Calibri" w:hAnsi="Cambria" w:cs="Arial"/>
                <w:noProof/>
                <w:color w:val="0563C1"/>
                <w:sz w:val="22"/>
                <w:szCs w:val="22"/>
                <w:u w:val="single"/>
              </w:rPr>
              <w:t>3.4.1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Projektové riadenie</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77</w:t>
            </w:r>
            <w:r w:rsidRPr="00D42B04">
              <w:rPr>
                <w:rFonts w:ascii="Calibri" w:eastAsia="Calibri" w:hAnsi="Calibri" w:cs="Arial"/>
                <w:noProof/>
                <w:webHidden/>
                <w:sz w:val="22"/>
                <w:szCs w:val="22"/>
              </w:rPr>
              <w:fldChar w:fldCharType="end"/>
            </w:r>
          </w:hyperlink>
        </w:p>
        <w:p w14:paraId="703DD8D9"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1" w:history="1">
            <w:r w:rsidRPr="00D42B04">
              <w:rPr>
                <w:rFonts w:ascii="Cambria" w:eastAsia="Calibri" w:hAnsi="Cambria" w:cs="Arial"/>
                <w:noProof/>
                <w:color w:val="0563C1"/>
                <w:sz w:val="22"/>
                <w:szCs w:val="22"/>
                <w:u w:val="single"/>
              </w:rPr>
              <w:t>3.4.2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Prístup k projektu a RACI matica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77</w:t>
            </w:r>
            <w:r w:rsidRPr="00D42B04">
              <w:rPr>
                <w:rFonts w:ascii="Calibri" w:eastAsia="Calibri" w:hAnsi="Calibri" w:cs="Arial"/>
                <w:noProof/>
                <w:webHidden/>
                <w:sz w:val="22"/>
                <w:szCs w:val="22"/>
              </w:rPr>
              <w:fldChar w:fldCharType="end"/>
            </w:r>
          </w:hyperlink>
        </w:p>
        <w:p w14:paraId="0FB4FAF1"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2" w:history="1">
            <w:r w:rsidRPr="00D42B04">
              <w:rPr>
                <w:rFonts w:ascii="Cambria" w:eastAsia="Calibri" w:hAnsi="Cambria" w:cs="Arial"/>
                <w:noProof/>
                <w:color w:val="0563C1"/>
                <w:sz w:val="22"/>
                <w:szCs w:val="22"/>
                <w:u w:val="single"/>
              </w:rPr>
              <w:t>3.4.3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Pravidlá pre riadenie komunikácie</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78</w:t>
            </w:r>
            <w:r w:rsidRPr="00D42B04">
              <w:rPr>
                <w:rFonts w:ascii="Calibri" w:eastAsia="Calibri" w:hAnsi="Calibri" w:cs="Arial"/>
                <w:noProof/>
                <w:webHidden/>
                <w:sz w:val="22"/>
                <w:szCs w:val="22"/>
              </w:rPr>
              <w:fldChar w:fldCharType="end"/>
            </w:r>
          </w:hyperlink>
        </w:p>
        <w:p w14:paraId="2D0B97A4"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3" w:history="1">
            <w:r w:rsidRPr="00D42B04">
              <w:rPr>
                <w:rFonts w:ascii="Cambria" w:eastAsia="Calibri" w:hAnsi="Cambria" w:cs="Arial"/>
                <w:noProof/>
                <w:color w:val="0563C1"/>
                <w:sz w:val="22"/>
                <w:szCs w:val="22"/>
                <w:u w:val="single"/>
              </w:rPr>
              <w:t>3.4.4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Projektový plán</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82</w:t>
            </w:r>
            <w:r w:rsidRPr="00D42B04">
              <w:rPr>
                <w:rFonts w:ascii="Calibri" w:eastAsia="Calibri" w:hAnsi="Calibri" w:cs="Arial"/>
                <w:noProof/>
                <w:webHidden/>
                <w:sz w:val="22"/>
                <w:szCs w:val="22"/>
              </w:rPr>
              <w:fldChar w:fldCharType="end"/>
            </w:r>
          </w:hyperlink>
        </w:p>
        <w:p w14:paraId="30C528E0"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4" w:history="1">
            <w:r w:rsidRPr="00D42B04">
              <w:rPr>
                <w:rFonts w:ascii="Cambria" w:eastAsia="Calibri" w:hAnsi="Cambria" w:cs="Arial"/>
                <w:noProof/>
                <w:color w:val="0563C1"/>
                <w:sz w:val="22"/>
                <w:szCs w:val="22"/>
                <w:u w:val="single"/>
              </w:rPr>
              <w:t>3.4.5</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Požadované výstupy projektu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_Toc110518804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84</w:t>
            </w:r>
            <w:r w:rsidRPr="00D42B04">
              <w:rPr>
                <w:rFonts w:ascii="Calibri" w:eastAsia="Calibri" w:hAnsi="Calibri" w:cs="Arial"/>
                <w:noProof/>
                <w:webHidden/>
                <w:sz w:val="22"/>
                <w:szCs w:val="22"/>
              </w:rPr>
              <w:fldChar w:fldCharType="end"/>
            </w:r>
          </w:hyperlink>
        </w:p>
        <w:p w14:paraId="16BDD8FE"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5" w:history="1">
            <w:r w:rsidRPr="00D42B04">
              <w:rPr>
                <w:rFonts w:ascii="Cambria" w:eastAsia="Calibri" w:hAnsi="Cambria" w:cs="Arial"/>
                <w:noProof/>
                <w:color w:val="0563C1"/>
                <w:sz w:val="22"/>
                <w:szCs w:val="22"/>
                <w:u w:val="single"/>
              </w:rPr>
              <w:t>3.4.6</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Akceptačné kritériá</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_Toc110518805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90</w:t>
            </w:r>
            <w:r w:rsidRPr="00D42B04">
              <w:rPr>
                <w:rFonts w:ascii="Calibri" w:eastAsia="Calibri" w:hAnsi="Calibri" w:cs="Arial"/>
                <w:noProof/>
                <w:webHidden/>
                <w:sz w:val="22"/>
                <w:szCs w:val="22"/>
              </w:rPr>
              <w:fldChar w:fldCharType="end"/>
            </w:r>
          </w:hyperlink>
        </w:p>
        <w:p w14:paraId="0C3A43EB"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06" w:history="1">
            <w:r w:rsidRPr="00D42B04">
              <w:rPr>
                <w:rFonts w:ascii="Cambria" w:eastAsia="Calibri" w:hAnsi="Cambria" w:cs="Arial"/>
                <w:noProof/>
                <w:color w:val="0563C1"/>
                <w:sz w:val="22"/>
                <w:szCs w:val="22"/>
                <w:u w:val="single"/>
              </w:rPr>
              <w:t>3.4.7</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Riziká projektu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_Toc110518806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90</w:t>
            </w:r>
            <w:r w:rsidRPr="00D42B04">
              <w:rPr>
                <w:rFonts w:ascii="Calibri" w:eastAsia="Calibri" w:hAnsi="Calibri" w:cs="Arial"/>
                <w:noProof/>
                <w:webHidden/>
                <w:sz w:val="22"/>
                <w:szCs w:val="22"/>
              </w:rPr>
              <w:fldChar w:fldCharType="end"/>
            </w:r>
          </w:hyperlink>
        </w:p>
        <w:p w14:paraId="324C5854" w14:textId="77777777" w:rsidR="00D42B04" w:rsidRPr="00D42B04" w:rsidRDefault="00D42B04" w:rsidP="00D42B04">
          <w:pPr>
            <w:tabs>
              <w:tab w:val="left" w:pos="440"/>
              <w:tab w:val="right" w:leader="dot" w:pos="8487"/>
            </w:tabs>
            <w:spacing w:before="120" w:after="100"/>
            <w:jc w:val="both"/>
            <w:rPr>
              <w:rFonts w:ascii="Calibri" w:eastAsia="Yu Mincho" w:hAnsi="Calibri" w:cs="Arial"/>
              <w:noProof/>
              <w:sz w:val="22"/>
              <w:szCs w:val="22"/>
              <w:lang w:eastAsia="sk-SK"/>
            </w:rPr>
          </w:pPr>
          <w:hyperlink w:anchor="_Toc110518807" w:history="1">
            <w:r w:rsidRPr="00D42B04">
              <w:rPr>
                <w:rFonts w:ascii="Cambria" w:eastAsia="Calibri" w:hAnsi="Cambria" w:cs="Arial"/>
                <w:noProof/>
                <w:color w:val="0563C1"/>
                <w:sz w:val="22"/>
                <w:szCs w:val="22"/>
                <w:u w:val="single"/>
              </w:rPr>
              <w:t>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Opis predmetu zákazky pre služby podpory prevádzky a rozvoja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91</w:t>
            </w:r>
            <w:r w:rsidRPr="00D42B04">
              <w:rPr>
                <w:rFonts w:ascii="Calibri" w:eastAsia="Calibri" w:hAnsi="Calibri" w:cs="Arial"/>
                <w:noProof/>
                <w:webHidden/>
                <w:sz w:val="22"/>
                <w:szCs w:val="22"/>
              </w:rPr>
              <w:fldChar w:fldCharType="end"/>
            </w:r>
          </w:hyperlink>
        </w:p>
        <w:p w14:paraId="35E54CB5"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08" w:history="1">
            <w:r w:rsidRPr="00D42B04">
              <w:rPr>
                <w:rFonts w:ascii="Cambria" w:eastAsia="Calibri" w:hAnsi="Cambria" w:cs="Arial"/>
                <w:noProof/>
                <w:color w:val="0563C1"/>
                <w:sz w:val="22"/>
                <w:szCs w:val="22"/>
                <w:u w:val="single"/>
              </w:rPr>
              <w:t>4.1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Úvod</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91</w:t>
            </w:r>
            <w:r w:rsidRPr="00D42B04">
              <w:rPr>
                <w:rFonts w:ascii="Calibri" w:eastAsia="Calibri" w:hAnsi="Calibri" w:cs="Arial"/>
                <w:noProof/>
                <w:webHidden/>
                <w:sz w:val="22"/>
                <w:szCs w:val="22"/>
              </w:rPr>
              <w:fldChar w:fldCharType="end"/>
            </w:r>
          </w:hyperlink>
        </w:p>
        <w:p w14:paraId="38BC8C74"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09" w:history="1">
            <w:r w:rsidRPr="00D42B04">
              <w:rPr>
                <w:rFonts w:ascii="Cambria" w:eastAsia="Calibri" w:hAnsi="Cambria" w:cs="Arial"/>
                <w:noProof/>
                <w:color w:val="0563C1"/>
                <w:sz w:val="22"/>
                <w:szCs w:val="22"/>
                <w:u w:val="single"/>
              </w:rPr>
              <w:t>4.2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Požiadavky na služby aplikačnej podpory prevádzky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_Toc110518809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91</w:t>
            </w:r>
            <w:r w:rsidRPr="00D42B04">
              <w:rPr>
                <w:rFonts w:ascii="Calibri" w:eastAsia="Calibri" w:hAnsi="Calibri" w:cs="Arial"/>
                <w:noProof/>
                <w:webHidden/>
                <w:sz w:val="22"/>
                <w:szCs w:val="22"/>
              </w:rPr>
              <w:fldChar w:fldCharType="end"/>
            </w:r>
          </w:hyperlink>
        </w:p>
        <w:p w14:paraId="346509AB"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10" w:history="1">
            <w:r w:rsidRPr="00D42B04">
              <w:rPr>
                <w:rFonts w:ascii="Cambria" w:eastAsia="Calibri" w:hAnsi="Cambria" w:cs="Arial"/>
                <w:noProof/>
                <w:color w:val="0563C1"/>
                <w:sz w:val="22"/>
                <w:szCs w:val="22"/>
                <w:u w:val="single"/>
              </w:rPr>
              <w:t>4.2.1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Zoznam činností vykonávaných v rámci Služieb podpory prevádzky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91</w:t>
            </w:r>
            <w:r w:rsidRPr="00D42B04">
              <w:rPr>
                <w:rFonts w:ascii="Calibri" w:eastAsia="Calibri" w:hAnsi="Calibri" w:cs="Arial"/>
                <w:noProof/>
                <w:webHidden/>
                <w:sz w:val="22"/>
                <w:szCs w:val="22"/>
              </w:rPr>
              <w:fldChar w:fldCharType="end"/>
            </w:r>
          </w:hyperlink>
        </w:p>
        <w:p w14:paraId="2330C28F"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11" w:history="1">
            <w:r w:rsidRPr="00D42B04">
              <w:rPr>
                <w:rFonts w:ascii="Cambria" w:eastAsia="Calibri" w:hAnsi="Cambria" w:cs="Arial"/>
                <w:noProof/>
                <w:color w:val="0563C1"/>
                <w:sz w:val="22"/>
                <w:szCs w:val="22"/>
                <w:u w:val="single"/>
              </w:rPr>
              <w:t>4.2.2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Parametre kvality poskytovanej služby podpory prevádzky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92</w:t>
            </w:r>
            <w:r w:rsidRPr="00D42B04">
              <w:rPr>
                <w:rFonts w:ascii="Calibri" w:eastAsia="Calibri" w:hAnsi="Calibri" w:cs="Arial"/>
                <w:noProof/>
                <w:webHidden/>
                <w:sz w:val="22"/>
                <w:szCs w:val="22"/>
              </w:rPr>
              <w:fldChar w:fldCharType="end"/>
            </w:r>
          </w:hyperlink>
        </w:p>
        <w:p w14:paraId="20A4AED5"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12" w:history="1">
            <w:r w:rsidRPr="00D42B04">
              <w:rPr>
                <w:rFonts w:ascii="Cambria" w:eastAsia="Calibri" w:hAnsi="Cambria" w:cs="Arial"/>
                <w:noProof/>
                <w:color w:val="0563C1"/>
                <w:sz w:val="22"/>
                <w:szCs w:val="22"/>
                <w:u w:val="single"/>
              </w:rPr>
              <w:t>4.3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Požiadavky na služby rozvoja systému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93</w:t>
            </w:r>
            <w:r w:rsidRPr="00D42B04">
              <w:rPr>
                <w:rFonts w:ascii="Calibri" w:eastAsia="Calibri" w:hAnsi="Calibri" w:cs="Arial"/>
                <w:noProof/>
                <w:webHidden/>
                <w:sz w:val="22"/>
                <w:szCs w:val="22"/>
              </w:rPr>
              <w:fldChar w:fldCharType="end"/>
            </w:r>
          </w:hyperlink>
        </w:p>
        <w:p w14:paraId="68D3F4C6"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13" w:history="1">
            <w:r w:rsidRPr="00D42B04">
              <w:rPr>
                <w:rFonts w:ascii="Cambria" w:eastAsia="Calibri" w:hAnsi="Cambria" w:cs="Arial"/>
                <w:noProof/>
                <w:color w:val="0563C1"/>
                <w:sz w:val="22"/>
                <w:szCs w:val="22"/>
                <w:u w:val="single"/>
              </w:rPr>
              <w:t>4.3.1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Požiadavky na realizáciu zmien na základe požiadaviek verejného obstarávateľa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93</w:t>
            </w:r>
            <w:r w:rsidRPr="00D42B04">
              <w:rPr>
                <w:rFonts w:ascii="Calibri" w:eastAsia="Calibri" w:hAnsi="Calibri" w:cs="Arial"/>
                <w:noProof/>
                <w:webHidden/>
                <w:sz w:val="22"/>
                <w:szCs w:val="22"/>
              </w:rPr>
              <w:fldChar w:fldCharType="end"/>
            </w:r>
          </w:hyperlink>
        </w:p>
        <w:p w14:paraId="26623024"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14" w:history="1">
            <w:r w:rsidRPr="00D42B04">
              <w:rPr>
                <w:rFonts w:ascii="Cambria" w:eastAsia="Calibri" w:hAnsi="Cambria" w:cs="Arial"/>
                <w:noProof/>
                <w:color w:val="0563C1"/>
                <w:sz w:val="22"/>
                <w:szCs w:val="22"/>
                <w:u w:val="single"/>
              </w:rPr>
              <w:t>4.3.2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Parametre kvality poskytovanej služby rozvoja systému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_Toc110518814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93</w:t>
            </w:r>
            <w:r w:rsidRPr="00D42B04">
              <w:rPr>
                <w:rFonts w:ascii="Calibri" w:eastAsia="Calibri" w:hAnsi="Calibri" w:cs="Arial"/>
                <w:noProof/>
                <w:webHidden/>
                <w:sz w:val="22"/>
                <w:szCs w:val="22"/>
              </w:rPr>
              <w:fldChar w:fldCharType="end"/>
            </w:r>
          </w:hyperlink>
        </w:p>
        <w:p w14:paraId="1FDD913F" w14:textId="77777777" w:rsidR="00D42B04" w:rsidRPr="00D42B04" w:rsidRDefault="00D42B04" w:rsidP="00D42B04">
          <w:pPr>
            <w:tabs>
              <w:tab w:val="left" w:pos="1320"/>
              <w:tab w:val="right" w:leader="dot" w:pos="8487"/>
            </w:tabs>
            <w:spacing w:before="120" w:after="100"/>
            <w:ind w:left="440"/>
            <w:jc w:val="both"/>
            <w:rPr>
              <w:rFonts w:ascii="Calibri" w:eastAsia="Yu Mincho" w:hAnsi="Calibri" w:cs="Arial"/>
              <w:noProof/>
              <w:sz w:val="22"/>
              <w:szCs w:val="22"/>
              <w:lang w:eastAsia="sk-SK"/>
            </w:rPr>
          </w:pPr>
          <w:hyperlink w:anchor="_Toc110518815" w:history="1">
            <w:r w:rsidRPr="00D42B04">
              <w:rPr>
                <w:rFonts w:ascii="Cambria" w:eastAsia="Calibri" w:hAnsi="Cambria" w:cs="Arial"/>
                <w:noProof/>
                <w:color w:val="0563C1"/>
                <w:sz w:val="22"/>
                <w:szCs w:val="22"/>
                <w:u w:val="single"/>
              </w:rPr>
              <w:t>4.3.3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Servisné služby čiastkového plnenia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_Toc110518815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93</w:t>
            </w:r>
            <w:r w:rsidRPr="00D42B04">
              <w:rPr>
                <w:rFonts w:ascii="Calibri" w:eastAsia="Calibri" w:hAnsi="Calibri" w:cs="Arial"/>
                <w:noProof/>
                <w:webHidden/>
                <w:sz w:val="22"/>
                <w:szCs w:val="22"/>
              </w:rPr>
              <w:fldChar w:fldCharType="end"/>
            </w:r>
          </w:hyperlink>
        </w:p>
        <w:p w14:paraId="1219F242" w14:textId="77777777" w:rsidR="00D42B04" w:rsidRPr="00D42B04" w:rsidRDefault="00D42B04" w:rsidP="00D42B04">
          <w:pPr>
            <w:tabs>
              <w:tab w:val="left" w:pos="440"/>
              <w:tab w:val="right" w:leader="dot" w:pos="8487"/>
            </w:tabs>
            <w:spacing w:before="120" w:after="100"/>
            <w:jc w:val="both"/>
            <w:rPr>
              <w:rFonts w:ascii="Calibri" w:eastAsia="Yu Mincho" w:hAnsi="Calibri" w:cs="Arial"/>
              <w:noProof/>
              <w:sz w:val="22"/>
              <w:szCs w:val="22"/>
              <w:lang w:eastAsia="sk-SK"/>
            </w:rPr>
          </w:pPr>
          <w:hyperlink w:anchor="_Toc110518816" w:history="1">
            <w:r w:rsidRPr="00D42B04">
              <w:rPr>
                <w:rFonts w:ascii="Cambria" w:eastAsia="Calibri" w:hAnsi="Cambria" w:cs="Arial"/>
                <w:noProof/>
                <w:color w:val="0563C1"/>
                <w:sz w:val="22"/>
                <w:szCs w:val="22"/>
                <w:u w:val="single"/>
              </w:rPr>
              <w:t>5</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Prílohy</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_Toc110518816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086F95B0"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17" w:history="1">
            <w:r w:rsidRPr="00D42B04">
              <w:rPr>
                <w:rFonts w:ascii="Cambria" w:eastAsia="Calibri" w:hAnsi="Cambria" w:cs="Arial"/>
                <w:noProof/>
                <w:color w:val="0563C1"/>
                <w:sz w:val="22"/>
                <w:szCs w:val="22"/>
                <w:u w:val="single"/>
              </w:rPr>
              <w:t>5.1</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A – Zdrojové systémy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_Toc110518817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3BCE2DE5"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18" w:history="1">
            <w:r w:rsidRPr="00D42B04">
              <w:rPr>
                <w:rFonts w:ascii="Cambria" w:eastAsia="Calibri" w:hAnsi="Cambria" w:cs="Arial"/>
                <w:noProof/>
                <w:color w:val="0563C1"/>
                <w:sz w:val="22"/>
                <w:szCs w:val="22"/>
                <w:u w:val="single"/>
              </w:rPr>
              <w:t>5.2</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B – DataMarty NBS DWH</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_Toc110518818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6FC3836E"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19" w:history="1">
            <w:r w:rsidRPr="00D42B04">
              <w:rPr>
                <w:rFonts w:ascii="Cambria" w:eastAsia="Calibri" w:hAnsi="Cambria" w:cs="Arial"/>
                <w:noProof/>
                <w:color w:val="0563C1"/>
                <w:sz w:val="22"/>
                <w:szCs w:val="22"/>
                <w:u w:val="single"/>
              </w:rPr>
              <w:t>5.3</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C – Metodika k predpisu NBS č.20/2020 o projektovom riadení</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_Toc110518819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3A95F99D"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20" w:history="1">
            <w:r w:rsidRPr="00D42B04">
              <w:rPr>
                <w:rFonts w:ascii="Cambria" w:eastAsia="Calibri" w:hAnsi="Cambria" w:cs="Arial"/>
                <w:noProof/>
                <w:color w:val="0563C1"/>
                <w:sz w:val="22"/>
                <w:szCs w:val="22"/>
                <w:u w:val="single"/>
              </w:rPr>
              <w:t>5.4</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D – RACI matica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_Toc110518820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2695D02E"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21" w:history="1">
            <w:r w:rsidRPr="00D42B04">
              <w:rPr>
                <w:rFonts w:ascii="Cambria" w:eastAsia="Calibri" w:hAnsi="Cambria" w:cs="Arial"/>
                <w:noProof/>
                <w:color w:val="0563C1"/>
                <w:sz w:val="22"/>
                <w:szCs w:val="22"/>
                <w:u w:val="single"/>
              </w:rPr>
              <w:t>5.5</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E – Projektový plán</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_Toc110518821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5C604DE0"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22" w:history="1">
            <w:r w:rsidRPr="00D42B04">
              <w:rPr>
                <w:rFonts w:ascii="Cambria" w:eastAsia="Calibri" w:hAnsi="Cambria" w:cs="Arial"/>
                <w:noProof/>
                <w:color w:val="0563C1"/>
                <w:sz w:val="22"/>
                <w:szCs w:val="22"/>
                <w:u w:val="single"/>
              </w:rPr>
              <w:t>5.6</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F - Zmluva o prevádzke, údržbe a rozvoji systému</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_Toc110518822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75986A0E" w14:textId="77777777" w:rsidR="00D42B04" w:rsidRPr="00D42B04" w:rsidRDefault="00D42B04" w:rsidP="00D42B04">
          <w:pPr>
            <w:tabs>
              <w:tab w:val="left" w:pos="880"/>
              <w:tab w:val="right" w:leader="dot" w:pos="8487"/>
            </w:tabs>
            <w:spacing w:before="120" w:after="100"/>
            <w:ind w:left="220"/>
            <w:jc w:val="both"/>
            <w:rPr>
              <w:rFonts w:ascii="Calibri" w:eastAsia="Yu Mincho" w:hAnsi="Calibri" w:cs="Arial"/>
              <w:noProof/>
              <w:sz w:val="22"/>
              <w:szCs w:val="22"/>
              <w:lang w:eastAsia="sk-SK"/>
            </w:rPr>
          </w:pPr>
          <w:hyperlink w:anchor="_Toc110518823" w:history="1">
            <w:r w:rsidRPr="00D42B04">
              <w:rPr>
                <w:rFonts w:ascii="Cambria" w:eastAsia="Calibri" w:hAnsi="Cambria" w:cs="Arial"/>
                <w:noProof/>
                <w:color w:val="0563C1"/>
                <w:sz w:val="22"/>
                <w:szCs w:val="22"/>
                <w:u w:val="single"/>
              </w:rPr>
              <w:t>5.7</w:t>
            </w:r>
            <w:r w:rsidRPr="00D42B04">
              <w:rPr>
                <w:rFonts w:ascii="Calibri" w:eastAsia="Yu Mincho" w:hAnsi="Calibri" w:cs="Arial"/>
                <w:noProof/>
                <w:sz w:val="22"/>
                <w:szCs w:val="22"/>
                <w:lang w:eastAsia="sk-SK"/>
              </w:rPr>
              <w:tab/>
            </w:r>
            <w:r w:rsidRPr="00D42B04">
              <w:rPr>
                <w:rFonts w:ascii="Cambria" w:eastAsia="Calibri" w:hAnsi="Cambria" w:cs="Arial"/>
                <w:noProof/>
                <w:color w:val="0563C1"/>
                <w:sz w:val="22"/>
                <w:szCs w:val="22"/>
                <w:u w:val="single"/>
              </w:rPr>
              <w:t>G -Špecifikácia  Servisných služieb čiastočného plnenia</w:t>
            </w:r>
            <w:r w:rsidRPr="00D42B04">
              <w:rPr>
                <w:rFonts w:ascii="Calibri" w:eastAsia="Calibri" w:hAnsi="Calibri" w:cs="Arial"/>
                <w:noProof/>
                <w:webHidden/>
                <w:sz w:val="22"/>
                <w:szCs w:val="22"/>
              </w:rPr>
              <w:tab/>
            </w:r>
            <w:r w:rsidRPr="00D42B04">
              <w:rPr>
                <w:rFonts w:ascii="Calibri" w:eastAsia="Calibri" w:hAnsi="Calibri" w:cs="Arial"/>
                <w:noProof/>
                <w:webHidden/>
                <w:sz w:val="22"/>
                <w:szCs w:val="22"/>
              </w:rPr>
              <w:fldChar w:fldCharType="begin"/>
            </w:r>
            <w:r w:rsidRPr="00D42B04">
              <w:rPr>
                <w:rFonts w:ascii="Calibri" w:eastAsia="Calibri" w:hAnsi="Calibri" w:cs="Arial"/>
                <w:noProof/>
                <w:webHidden/>
                <w:sz w:val="22"/>
                <w:szCs w:val="22"/>
              </w:rPr>
              <w:instrText xml:space="preserve"> PAGEREF _Toc110518823 \h </w:instrText>
            </w:r>
            <w:r w:rsidRPr="00D42B04">
              <w:rPr>
                <w:rFonts w:ascii="Calibri" w:eastAsia="Calibri" w:hAnsi="Calibri" w:cs="Arial"/>
                <w:noProof/>
                <w:webHidden/>
                <w:sz w:val="22"/>
                <w:szCs w:val="22"/>
              </w:rPr>
            </w:r>
            <w:r w:rsidRPr="00D42B04">
              <w:rPr>
                <w:rFonts w:ascii="Calibri" w:eastAsia="Calibri" w:hAnsi="Calibri" w:cs="Arial"/>
                <w:noProof/>
                <w:webHidden/>
                <w:sz w:val="22"/>
                <w:szCs w:val="22"/>
              </w:rPr>
              <w:fldChar w:fldCharType="separate"/>
            </w:r>
            <w:r w:rsidRPr="00D42B04">
              <w:rPr>
                <w:rFonts w:ascii="Calibri" w:eastAsia="Calibri" w:hAnsi="Calibri" w:cs="Arial"/>
                <w:noProof/>
                <w:webHidden/>
                <w:sz w:val="22"/>
                <w:szCs w:val="22"/>
              </w:rPr>
              <w:t>94</w:t>
            </w:r>
            <w:r w:rsidRPr="00D42B04">
              <w:rPr>
                <w:rFonts w:ascii="Calibri" w:eastAsia="Calibri" w:hAnsi="Calibri" w:cs="Arial"/>
                <w:noProof/>
                <w:webHidden/>
                <w:sz w:val="22"/>
                <w:szCs w:val="22"/>
              </w:rPr>
              <w:fldChar w:fldCharType="end"/>
            </w:r>
          </w:hyperlink>
        </w:p>
        <w:p w14:paraId="73299990" w14:textId="54472D96" w:rsidR="00D42B04" w:rsidRPr="00D42B04" w:rsidRDefault="00D42B04" w:rsidP="00D42B04">
          <w:pPr>
            <w:tabs>
              <w:tab w:val="right" w:leader="dot" w:pos="8490"/>
              <w:tab w:val="left" w:pos="660"/>
            </w:tabs>
            <w:spacing w:before="120" w:after="100"/>
            <w:ind w:left="220"/>
            <w:jc w:val="both"/>
            <w:rPr>
              <w:rFonts w:ascii="Cambria" w:eastAsia="Calibri" w:hAnsi="Cambria" w:cs="Arial"/>
              <w:color w:val="0563C1"/>
              <w:sz w:val="22"/>
              <w:szCs w:val="22"/>
              <w:u w:val="single"/>
            </w:rPr>
          </w:pPr>
          <w:r w:rsidRPr="00D42B04">
            <w:rPr>
              <w:rFonts w:ascii="Cambria" w:eastAsia="Calibri" w:hAnsi="Cambria" w:cs="Arial"/>
              <w:sz w:val="22"/>
              <w:szCs w:val="22"/>
            </w:rPr>
            <w:fldChar w:fldCharType="end"/>
          </w:r>
        </w:p>
      </w:sdtContent>
    </w:sdt>
    <w:p w14:paraId="1DF51A88" w14:textId="77777777" w:rsidR="00D42B04" w:rsidRPr="00D42B04" w:rsidRDefault="00D42B04" w:rsidP="00D42B04">
      <w:pPr>
        <w:keepNext/>
        <w:pageBreakBefore/>
        <w:spacing w:before="240" w:after="240"/>
        <w:ind w:left="432" w:hanging="432"/>
        <w:jc w:val="both"/>
        <w:outlineLvl w:val="0"/>
        <w:rPr>
          <w:rFonts w:ascii="Cambria" w:eastAsia="Yu Gothic Light" w:hAnsi="Cambria" w:cs="Calibri"/>
          <w:color w:val="2F5496"/>
          <w:sz w:val="32"/>
          <w:szCs w:val="32"/>
        </w:rPr>
      </w:pPr>
      <w:bookmarkStart w:id="90" w:name="_Toc110518767"/>
      <w:bookmarkStart w:id="91" w:name="_Toc37251675"/>
      <w:r w:rsidRPr="00D42B04">
        <w:rPr>
          <w:rFonts w:ascii="Cambria" w:eastAsia="Yu Gothic Light" w:hAnsi="Cambria" w:cs="Calibri"/>
          <w:color w:val="2F5496"/>
          <w:sz w:val="32"/>
          <w:szCs w:val="32"/>
        </w:rPr>
        <w:lastRenderedPageBreak/>
        <w:t>Referencie</w:t>
      </w:r>
      <w:bookmarkEnd w:id="90"/>
    </w:p>
    <w:p w14:paraId="5F079890"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92" w:name="_Toc110518768"/>
      <w:r w:rsidRPr="00D42B04">
        <w:rPr>
          <w:rFonts w:ascii="Cambria" w:eastAsia="Yu Gothic Light" w:hAnsi="Cambria"/>
          <w:b/>
          <w:bCs/>
          <w:color w:val="2F5496"/>
          <w:sz w:val="26"/>
          <w:szCs w:val="26"/>
        </w:rPr>
        <w:t>Zoznam použitých skratiek a pojmov</w:t>
      </w:r>
      <w:bookmarkEnd w:id="91"/>
      <w:bookmarkEnd w:id="92"/>
    </w:p>
    <w:tbl>
      <w:tblPr>
        <w:tblStyle w:val="GridTable4-Accent52"/>
        <w:tblW w:w="0" w:type="auto"/>
        <w:tblLook w:val="04A0" w:firstRow="1" w:lastRow="0" w:firstColumn="1" w:lastColumn="0" w:noHBand="0" w:noVBand="1"/>
      </w:tblPr>
      <w:tblGrid>
        <w:gridCol w:w="1413"/>
        <w:gridCol w:w="7074"/>
      </w:tblGrid>
      <w:tr w:rsidR="00D42B04" w:rsidRPr="00D42B04" w14:paraId="61535DDE" w14:textId="77777777" w:rsidTr="00D4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174BF41"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Skratka / Pojem</w:t>
            </w:r>
          </w:p>
        </w:tc>
        <w:tc>
          <w:tcPr>
            <w:tcW w:w="7074" w:type="dxa"/>
          </w:tcPr>
          <w:p w14:paraId="36D9EC84"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Vysvetlenie</w:t>
            </w:r>
          </w:p>
        </w:tc>
      </w:tr>
      <w:tr w:rsidR="00D42B04" w:rsidRPr="00D42B04" w14:paraId="33B1F8C5"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644E64A"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API</w:t>
            </w:r>
          </w:p>
        </w:tc>
        <w:tc>
          <w:tcPr>
            <w:tcW w:w="7074" w:type="dxa"/>
          </w:tcPr>
          <w:p w14:paraId="2C437A2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Aplikačný interface</w:t>
            </w:r>
          </w:p>
        </w:tc>
      </w:tr>
      <w:tr w:rsidR="00D42B04" w:rsidRPr="00D42B04" w14:paraId="62B7E139"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4DA165C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BI</w:t>
            </w:r>
          </w:p>
        </w:tc>
        <w:tc>
          <w:tcPr>
            <w:tcW w:w="7074" w:type="dxa"/>
          </w:tcPr>
          <w:p w14:paraId="43CB20D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Business intelligence. Skratka a teminus technikus zväčša používaný pre definovanie rámca reportingu a analytických nástrojov.</w:t>
            </w:r>
          </w:p>
        </w:tc>
      </w:tr>
      <w:tr w:rsidR="00D42B04" w:rsidRPr="00D42B04" w14:paraId="6A587545"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34830F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DL = Data Lake</w:t>
            </w:r>
          </w:p>
        </w:tc>
        <w:tc>
          <w:tcPr>
            <w:tcW w:w="7074" w:type="dxa"/>
          </w:tcPr>
          <w:p w14:paraId="438BEEE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Časť NBS DWH založená na BigData technológiách pre spracovanie neštruktúrovaných dát</w:t>
            </w:r>
          </w:p>
        </w:tc>
      </w:tr>
      <w:tr w:rsidR="00D42B04" w:rsidRPr="00D42B04" w14:paraId="3B37AA57"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5E97CD1A"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DWH</w:t>
            </w:r>
          </w:p>
        </w:tc>
        <w:tc>
          <w:tcPr>
            <w:tcW w:w="7074" w:type="dxa"/>
          </w:tcPr>
          <w:p w14:paraId="00A4540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rPr>
            </w:pPr>
            <w:r w:rsidRPr="00D42B04">
              <w:rPr>
                <w:rFonts w:ascii="Cambria" w:hAnsi="Cambria"/>
                <w:sz w:val="16"/>
                <w:szCs w:val="16"/>
              </w:rPr>
              <w:t>Dátový sklad</w:t>
            </w:r>
          </w:p>
        </w:tc>
      </w:tr>
      <w:tr w:rsidR="00D42B04" w:rsidRPr="00D42B04" w14:paraId="54DAB409"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18EAEB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ETL</w:t>
            </w:r>
          </w:p>
        </w:tc>
        <w:tc>
          <w:tcPr>
            <w:tcW w:w="7074" w:type="dxa"/>
          </w:tcPr>
          <w:p w14:paraId="39D2538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Extraction – Transformation – Load, proces spracovania a transformácie dát do DHW</w:t>
            </w:r>
          </w:p>
        </w:tc>
      </w:tr>
      <w:tr w:rsidR="00D42B04" w:rsidRPr="00D42B04" w14:paraId="5D0FF766"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6539A93D"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HW</w:t>
            </w:r>
          </w:p>
        </w:tc>
        <w:tc>
          <w:tcPr>
            <w:tcW w:w="7074" w:type="dxa"/>
          </w:tcPr>
          <w:p w14:paraId="701E7F8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Hardware-Hardvér</w:t>
            </w:r>
          </w:p>
        </w:tc>
      </w:tr>
      <w:tr w:rsidR="00D42B04" w:rsidRPr="00D42B04" w14:paraId="0E9F132E"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892E04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NBS</w:t>
            </w:r>
          </w:p>
        </w:tc>
        <w:tc>
          <w:tcPr>
            <w:tcW w:w="7074" w:type="dxa"/>
          </w:tcPr>
          <w:p w14:paraId="45B367B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Národná  banka Slovenska</w:t>
            </w:r>
          </w:p>
        </w:tc>
      </w:tr>
      <w:tr w:rsidR="00D42B04" w:rsidRPr="00D42B04" w14:paraId="21F1698C"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07AF7F91"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NBS DWH</w:t>
            </w:r>
          </w:p>
        </w:tc>
        <w:tc>
          <w:tcPr>
            <w:tcW w:w="7074" w:type="dxa"/>
          </w:tcPr>
          <w:p w14:paraId="72BD857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Celobankový </w:t>
            </w:r>
            <w:r w:rsidRPr="00D42B04" w:rsidDel="00915402">
              <w:rPr>
                <w:rFonts w:ascii="Cambria" w:hAnsi="Cambria"/>
                <w:sz w:val="16"/>
                <w:szCs w:val="16"/>
              </w:rPr>
              <w:t>D</w:t>
            </w:r>
            <w:r w:rsidRPr="00D42B04">
              <w:rPr>
                <w:rFonts w:ascii="Cambria" w:hAnsi="Cambria"/>
                <w:sz w:val="16"/>
                <w:szCs w:val="16"/>
              </w:rPr>
              <w:t>dátový sklad NBS. Pozostáva z dvoch častí:</w:t>
            </w:r>
          </w:p>
          <w:p w14:paraId="6BB5EB03" w14:textId="77777777" w:rsidR="00D42B04" w:rsidRPr="00D42B04" w:rsidRDefault="00D42B04" w:rsidP="00D42B04">
            <w:pPr>
              <w:spacing w:before="120" w:after="120"/>
              <w:ind w:left="709"/>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1.Relačnej časti</w:t>
            </w:r>
          </w:p>
          <w:p w14:paraId="3D05C8B4" w14:textId="77777777" w:rsidR="00D42B04" w:rsidRPr="00D42B04" w:rsidRDefault="00D42B04" w:rsidP="00D42B04">
            <w:pPr>
              <w:spacing w:before="120" w:after="120"/>
              <w:ind w:left="709"/>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 DataLake</w:t>
            </w:r>
          </w:p>
        </w:tc>
      </w:tr>
      <w:tr w:rsidR="00D42B04" w:rsidRPr="00D42B04" w14:paraId="7371CBE6"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56AF6A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ODI</w:t>
            </w:r>
          </w:p>
        </w:tc>
        <w:tc>
          <w:tcPr>
            <w:tcW w:w="7074" w:type="dxa"/>
          </w:tcPr>
          <w:p w14:paraId="33843F0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Oracle Data Integrátor</w:t>
            </w:r>
          </w:p>
        </w:tc>
      </w:tr>
      <w:tr w:rsidR="00D42B04" w:rsidRPr="00D42B04" w14:paraId="4310BC80"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6FA81BC8"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OUT</w:t>
            </w:r>
          </w:p>
        </w:tc>
        <w:tc>
          <w:tcPr>
            <w:tcW w:w="7074" w:type="dxa"/>
          </w:tcPr>
          <w:p w14:paraId="1F3EB0C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Výstupná vrstva relačnej časti NBS DWH</w:t>
            </w:r>
          </w:p>
        </w:tc>
      </w:tr>
      <w:tr w:rsidR="00D42B04" w:rsidRPr="00D42B04" w14:paraId="78482FEE"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41C5E27"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PL</w:t>
            </w:r>
          </w:p>
        </w:tc>
        <w:tc>
          <w:tcPr>
            <w:tcW w:w="7074" w:type="dxa"/>
          </w:tcPr>
          <w:p w14:paraId="7F54EE5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Prezentačná vrstva relačnej časti NBS DWH</w:t>
            </w:r>
          </w:p>
        </w:tc>
      </w:tr>
      <w:tr w:rsidR="00D42B04" w:rsidRPr="00D42B04" w14:paraId="1191C442"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0463C3D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RBÚZ</w:t>
            </w:r>
          </w:p>
        </w:tc>
        <w:tc>
          <w:tcPr>
            <w:tcW w:w="7074" w:type="dxa"/>
          </w:tcPr>
          <w:p w14:paraId="025BA9E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Register bankových úverov a záruk</w:t>
            </w:r>
          </w:p>
        </w:tc>
      </w:tr>
      <w:tr w:rsidR="00D42B04" w:rsidRPr="00D42B04" w14:paraId="7B5C2161"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022DA71"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RS</w:t>
            </w:r>
          </w:p>
        </w:tc>
        <w:tc>
          <w:tcPr>
            <w:tcW w:w="7074" w:type="dxa"/>
          </w:tcPr>
          <w:p w14:paraId="7422EFF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Register subjektov</w:t>
            </w:r>
          </w:p>
        </w:tc>
      </w:tr>
      <w:tr w:rsidR="00D42B04" w:rsidRPr="00D42B04" w14:paraId="6A9CEAD5"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187979D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SW</w:t>
            </w:r>
          </w:p>
        </w:tc>
        <w:tc>
          <w:tcPr>
            <w:tcW w:w="7074" w:type="dxa"/>
          </w:tcPr>
          <w:p w14:paraId="0744848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Software-Softvér</w:t>
            </w:r>
          </w:p>
        </w:tc>
      </w:tr>
      <w:tr w:rsidR="00D42B04" w:rsidRPr="00D42B04" w14:paraId="59EB56B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0E9EBA3"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ŠZP</w:t>
            </w:r>
          </w:p>
        </w:tc>
        <w:tc>
          <w:tcPr>
            <w:tcW w:w="7074" w:type="dxa"/>
          </w:tcPr>
          <w:p w14:paraId="4901822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Štatistický zberový portál</w:t>
            </w:r>
          </w:p>
        </w:tc>
      </w:tr>
      <w:tr w:rsidR="00D42B04" w:rsidRPr="00D42B04" w14:paraId="16498862"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346A223D"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TL</w:t>
            </w:r>
          </w:p>
        </w:tc>
        <w:tc>
          <w:tcPr>
            <w:tcW w:w="7074" w:type="dxa"/>
          </w:tcPr>
          <w:p w14:paraId="66B058B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Transakčná vrstva relačnej časti NBS DWH</w:t>
            </w:r>
          </w:p>
        </w:tc>
      </w:tr>
      <w:tr w:rsidR="00D42B04" w:rsidRPr="00D42B04" w14:paraId="2BFC906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01C7C8"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UID</w:t>
            </w:r>
          </w:p>
        </w:tc>
        <w:tc>
          <w:tcPr>
            <w:tcW w:w="7074" w:type="dxa"/>
          </w:tcPr>
          <w:p w14:paraId="455A15A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Jedinečný prístupový identifikátor/užívateľské meno</w:t>
            </w:r>
          </w:p>
        </w:tc>
      </w:tr>
      <w:tr w:rsidR="00D42B04" w:rsidRPr="00D42B04" w14:paraId="202C26A4" w14:textId="77777777" w:rsidTr="000C3B41">
        <w:tc>
          <w:tcPr>
            <w:cnfStyle w:val="001000000000" w:firstRow="0" w:lastRow="0" w:firstColumn="1" w:lastColumn="0" w:oddVBand="0" w:evenVBand="0" w:oddHBand="0" w:evenHBand="0" w:firstRowFirstColumn="0" w:firstRowLastColumn="0" w:lastRowFirstColumn="0" w:lastRowLastColumn="0"/>
            <w:tcW w:w="1413" w:type="dxa"/>
          </w:tcPr>
          <w:p w14:paraId="133C0A1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VO</w:t>
            </w:r>
          </w:p>
        </w:tc>
        <w:tc>
          <w:tcPr>
            <w:tcW w:w="7074" w:type="dxa"/>
          </w:tcPr>
          <w:p w14:paraId="015B21C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Verejné obstarávanie</w:t>
            </w:r>
          </w:p>
        </w:tc>
      </w:tr>
      <w:tr w:rsidR="00D42B04" w:rsidRPr="00D42B04" w14:paraId="283A1903"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8D31667"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Pilot DWH</w:t>
            </w:r>
          </w:p>
        </w:tc>
        <w:tc>
          <w:tcPr>
            <w:tcW w:w="7074" w:type="dxa"/>
          </w:tcPr>
          <w:p w14:paraId="350F54E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Pilotný projekt DWH </w:t>
            </w:r>
          </w:p>
        </w:tc>
      </w:tr>
    </w:tbl>
    <w:p w14:paraId="57DE46CE"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93" w:name="_Toc103177421"/>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3</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Zoznam použitých skratiek a pojmov</w:t>
      </w:r>
      <w:bookmarkEnd w:id="93"/>
    </w:p>
    <w:p w14:paraId="054F27F4"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94" w:name="_Toc110518769"/>
      <w:r w:rsidRPr="00D42B04">
        <w:rPr>
          <w:rFonts w:ascii="Cambria" w:eastAsia="Yu Gothic Light" w:hAnsi="Cambria"/>
          <w:b/>
          <w:bCs/>
          <w:color w:val="2F5496"/>
          <w:sz w:val="26"/>
          <w:szCs w:val="26"/>
        </w:rPr>
        <w:t>Používané skratky odborov NBS</w:t>
      </w:r>
      <w:bookmarkEnd w:id="94"/>
    </w:p>
    <w:tbl>
      <w:tblPr>
        <w:tblStyle w:val="GridTable4-Accent52"/>
        <w:tblW w:w="8642" w:type="dxa"/>
        <w:tblLook w:val="04A0" w:firstRow="1" w:lastRow="0" w:firstColumn="1" w:lastColumn="0" w:noHBand="0" w:noVBand="1"/>
      </w:tblPr>
      <w:tblGrid>
        <w:gridCol w:w="2122"/>
        <w:gridCol w:w="6520"/>
      </w:tblGrid>
      <w:tr w:rsidR="00D42B04" w:rsidRPr="00D42B04" w14:paraId="7B98786C" w14:textId="77777777" w:rsidTr="00D42B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8BC6A52"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Skratka odboru</w:t>
            </w:r>
          </w:p>
        </w:tc>
        <w:tc>
          <w:tcPr>
            <w:tcW w:w="0" w:type="dxa"/>
          </w:tcPr>
          <w:p w14:paraId="7F47ABD8"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Názov odboru</w:t>
            </w:r>
          </w:p>
        </w:tc>
      </w:tr>
      <w:tr w:rsidR="00D42B04" w:rsidRPr="00D42B04" w14:paraId="0E856B88" w14:textId="77777777" w:rsidTr="00D42B04">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350CA49"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OBO</w:t>
            </w:r>
          </w:p>
        </w:tc>
        <w:tc>
          <w:tcPr>
            <w:tcW w:w="6520" w:type="dxa"/>
            <w:hideMark/>
          </w:tcPr>
          <w:p w14:paraId="6D6D208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bankových obchodov</w:t>
            </w:r>
          </w:p>
        </w:tc>
      </w:tr>
      <w:tr w:rsidR="00D42B04" w:rsidRPr="00D42B04" w14:paraId="25899D82"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F7AF26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ODB</w:t>
            </w:r>
          </w:p>
        </w:tc>
        <w:tc>
          <w:tcPr>
            <w:tcW w:w="6520" w:type="dxa"/>
            <w:hideMark/>
          </w:tcPr>
          <w:p w14:paraId="1AB1795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dohľadu nad bankovníctvom</w:t>
            </w:r>
          </w:p>
        </w:tc>
      </w:tr>
      <w:tr w:rsidR="00D42B04" w:rsidRPr="00D42B04" w14:paraId="1AE87B1B"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B6C4AF6"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 xml:space="preserve">ODK </w:t>
            </w:r>
          </w:p>
        </w:tc>
        <w:tc>
          <w:tcPr>
            <w:tcW w:w="6520" w:type="dxa"/>
            <w:hideMark/>
          </w:tcPr>
          <w:p w14:paraId="748484D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dohľadu nad kapitálovým trhom</w:t>
            </w:r>
          </w:p>
        </w:tc>
      </w:tr>
      <w:tr w:rsidR="00D42B04" w:rsidRPr="00D42B04" w14:paraId="2501B562"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3C7766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lastRenderedPageBreak/>
              <w:t>OEM</w:t>
            </w:r>
          </w:p>
        </w:tc>
        <w:tc>
          <w:tcPr>
            <w:tcW w:w="6520" w:type="dxa"/>
            <w:hideMark/>
          </w:tcPr>
          <w:p w14:paraId="76152A3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ekonomických a menových analýz</w:t>
            </w:r>
          </w:p>
        </w:tc>
      </w:tr>
      <w:tr w:rsidR="00D42B04" w:rsidRPr="00D42B04" w14:paraId="2A034E60"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D98410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OFI</w:t>
            </w:r>
          </w:p>
        </w:tc>
        <w:tc>
          <w:tcPr>
            <w:tcW w:w="6520" w:type="dxa"/>
            <w:hideMark/>
          </w:tcPr>
          <w:p w14:paraId="6502730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finančných technológií a inovácií</w:t>
            </w:r>
          </w:p>
        </w:tc>
      </w:tr>
      <w:tr w:rsidR="00D42B04" w:rsidRPr="00D42B04" w14:paraId="317CED68"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5BE27E4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OFR</w:t>
            </w:r>
          </w:p>
        </w:tc>
        <w:tc>
          <w:tcPr>
            <w:tcW w:w="6520" w:type="dxa"/>
            <w:hideMark/>
          </w:tcPr>
          <w:p w14:paraId="1B128B7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finančného riadenia</w:t>
            </w:r>
          </w:p>
        </w:tc>
      </w:tr>
      <w:tr w:rsidR="00D42B04" w:rsidRPr="00D42B04" w14:paraId="4C30D2F7"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0AC89D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OFS</w:t>
            </w:r>
          </w:p>
        </w:tc>
        <w:tc>
          <w:tcPr>
            <w:tcW w:w="6520" w:type="dxa"/>
            <w:hideMark/>
          </w:tcPr>
          <w:p w14:paraId="16300B5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Úsek dohľadu a ochrany finančného spotrebiteľa</w:t>
            </w:r>
          </w:p>
        </w:tc>
      </w:tr>
      <w:tr w:rsidR="00D42B04" w:rsidRPr="00D42B04" w14:paraId="12E162B6"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81A21F4"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OIA</w:t>
            </w:r>
          </w:p>
        </w:tc>
        <w:tc>
          <w:tcPr>
            <w:tcW w:w="6520" w:type="dxa"/>
            <w:hideMark/>
          </w:tcPr>
          <w:p w14:paraId="6D95476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interného auditu</w:t>
            </w:r>
          </w:p>
        </w:tc>
      </w:tr>
      <w:tr w:rsidR="00D42B04" w:rsidRPr="00D42B04" w14:paraId="3075091E" w14:textId="77777777" w:rsidTr="00D42B0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B949264"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OIT</w:t>
            </w:r>
          </w:p>
        </w:tc>
        <w:tc>
          <w:tcPr>
            <w:tcW w:w="6520" w:type="dxa"/>
            <w:hideMark/>
          </w:tcPr>
          <w:p w14:paraId="3DC101F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informačných technológií</w:t>
            </w:r>
          </w:p>
        </w:tc>
      </w:tr>
      <w:tr w:rsidR="00D42B04" w:rsidRPr="00D42B04" w14:paraId="7BD0AA9F" w14:textId="77777777" w:rsidTr="000C3B41">
        <w:trPr>
          <w:trHeight w:val="211"/>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4EB9A1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OPD</w:t>
            </w:r>
          </w:p>
        </w:tc>
        <w:tc>
          <w:tcPr>
            <w:tcW w:w="6520" w:type="dxa"/>
            <w:hideMark/>
          </w:tcPr>
          <w:p w14:paraId="2D8253A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D42B04">
              <w:rPr>
                <w:rFonts w:ascii="Cambria" w:hAnsi="Cambria"/>
                <w:sz w:val="16"/>
                <w:szCs w:val="16"/>
              </w:rPr>
              <w:t>Odbor dohľadu nad poisťovníctvom a dôchodkovým sporením</w:t>
            </w:r>
          </w:p>
        </w:tc>
      </w:tr>
      <w:tr w:rsidR="00D42B04" w:rsidRPr="00D42B04" w14:paraId="1B39DA6F"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0F2E9E5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OPH</w:t>
            </w:r>
          </w:p>
        </w:tc>
        <w:tc>
          <w:tcPr>
            <w:tcW w:w="6520" w:type="dxa"/>
            <w:hideMark/>
          </w:tcPr>
          <w:p w14:paraId="0A7DE7F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riadenia peňažnej hotovosti</w:t>
            </w:r>
          </w:p>
        </w:tc>
      </w:tr>
      <w:tr w:rsidR="00D42B04" w:rsidRPr="00D42B04" w14:paraId="79DE4B8F"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157DA207"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OPM</w:t>
            </w:r>
          </w:p>
        </w:tc>
        <w:tc>
          <w:tcPr>
            <w:tcW w:w="6520" w:type="dxa"/>
            <w:hideMark/>
          </w:tcPr>
          <w:p w14:paraId="0FBDA7E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finančnej stability</w:t>
            </w:r>
          </w:p>
        </w:tc>
      </w:tr>
      <w:tr w:rsidR="00D42B04" w:rsidRPr="00D42B04" w14:paraId="487872C9"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005B19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OPS</w:t>
            </w:r>
          </w:p>
        </w:tc>
        <w:tc>
          <w:tcPr>
            <w:tcW w:w="6520" w:type="dxa"/>
            <w:hideMark/>
          </w:tcPr>
          <w:p w14:paraId="557A1B5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platobných systémov</w:t>
            </w:r>
          </w:p>
        </w:tc>
      </w:tr>
      <w:tr w:rsidR="00D42B04" w:rsidRPr="00D42B04" w14:paraId="421B0054"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4FD8651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ORR</w:t>
            </w:r>
          </w:p>
        </w:tc>
        <w:tc>
          <w:tcPr>
            <w:tcW w:w="6520" w:type="dxa"/>
            <w:hideMark/>
          </w:tcPr>
          <w:p w14:paraId="3BAB9FB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Odbor riadenia rizika</w:t>
            </w:r>
          </w:p>
        </w:tc>
      </w:tr>
      <w:tr w:rsidR="00D42B04" w:rsidRPr="00D42B04" w14:paraId="3ACCE1DF" w14:textId="77777777" w:rsidTr="00D42B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20E86FF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OST</w:t>
            </w:r>
          </w:p>
        </w:tc>
        <w:tc>
          <w:tcPr>
            <w:tcW w:w="6520" w:type="dxa"/>
            <w:hideMark/>
          </w:tcPr>
          <w:p w14:paraId="101CC56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r w:rsidRPr="00D42B04">
              <w:rPr>
                <w:rFonts w:ascii="Cambria" w:hAnsi="Cambria"/>
                <w:sz w:val="16"/>
                <w:szCs w:val="16"/>
              </w:rPr>
              <w:t>Odbor štatistiky</w:t>
            </w:r>
          </w:p>
        </w:tc>
      </w:tr>
      <w:tr w:rsidR="00D42B04" w:rsidRPr="00D42B04" w14:paraId="15E97EB9" w14:textId="77777777" w:rsidTr="000C3B41">
        <w:trPr>
          <w:trHeight w:val="300"/>
        </w:trPr>
        <w:tc>
          <w:tcPr>
            <w:cnfStyle w:val="001000000000" w:firstRow="0" w:lastRow="0" w:firstColumn="1" w:lastColumn="0" w:oddVBand="0" w:evenVBand="0" w:oddHBand="0" w:evenHBand="0" w:firstRowFirstColumn="0" w:firstRowLastColumn="0" w:lastRowFirstColumn="0" w:lastRowLastColumn="0"/>
            <w:tcW w:w="2122" w:type="dxa"/>
            <w:noWrap/>
            <w:hideMark/>
          </w:tcPr>
          <w:p w14:paraId="6101F45D"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OVM</w:t>
            </w:r>
          </w:p>
        </w:tc>
        <w:tc>
          <w:tcPr>
            <w:tcW w:w="6520" w:type="dxa"/>
            <w:hideMark/>
          </w:tcPr>
          <w:p w14:paraId="2308712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D42B04">
              <w:rPr>
                <w:rFonts w:ascii="Cambria" w:hAnsi="Cambria"/>
                <w:sz w:val="16"/>
                <w:szCs w:val="16"/>
              </w:rPr>
              <w:t>Odbor výskumu</w:t>
            </w:r>
          </w:p>
        </w:tc>
      </w:tr>
      <w:tr w:rsidR="00D42B04" w:rsidRPr="00D42B04" w14:paraId="59D8B8AA" w14:textId="77777777" w:rsidTr="00D42B0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2" w:type="dxa"/>
            <w:noWrap/>
            <w:hideMark/>
          </w:tcPr>
          <w:p w14:paraId="39AF305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OVO</w:t>
            </w:r>
          </w:p>
        </w:tc>
        <w:tc>
          <w:tcPr>
            <w:tcW w:w="6520" w:type="dxa"/>
            <w:hideMark/>
          </w:tcPr>
          <w:p w14:paraId="10DF194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Odbor vysporiadania bankových obchodov</w:t>
            </w:r>
          </w:p>
        </w:tc>
      </w:tr>
    </w:tbl>
    <w:p w14:paraId="6A313ABB"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95" w:name="_Toc103177422"/>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4</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Skratky odborov</w:t>
      </w:r>
      <w:bookmarkEnd w:id="95"/>
    </w:p>
    <w:p w14:paraId="7DA70420" w14:textId="77777777" w:rsidR="00D42B04" w:rsidRPr="00D42B04" w:rsidRDefault="00D42B04" w:rsidP="00D42B04">
      <w:pPr>
        <w:spacing w:before="120"/>
        <w:jc w:val="both"/>
        <w:rPr>
          <w:rFonts w:ascii="Cambria" w:eastAsia="Calibri" w:hAnsi="Cambria" w:cs="Arial"/>
          <w:sz w:val="22"/>
          <w:szCs w:val="22"/>
        </w:rPr>
      </w:pPr>
    </w:p>
    <w:p w14:paraId="0B564AEC" w14:textId="77777777" w:rsidR="00D42B04" w:rsidRPr="00D42B04" w:rsidRDefault="00D42B04" w:rsidP="00D42B04">
      <w:pPr>
        <w:keepNext/>
        <w:pageBreakBefore/>
        <w:spacing w:before="240" w:after="240"/>
        <w:ind w:left="432" w:hanging="432"/>
        <w:jc w:val="both"/>
        <w:outlineLvl w:val="0"/>
        <w:rPr>
          <w:rFonts w:ascii="Cambria" w:eastAsia="Yu Gothic Light" w:hAnsi="Cambria" w:cs="Calibri"/>
          <w:color w:val="2F5496"/>
          <w:sz w:val="32"/>
          <w:szCs w:val="32"/>
        </w:rPr>
      </w:pPr>
      <w:bookmarkStart w:id="96" w:name="_Toc110518770"/>
      <w:r w:rsidRPr="00D42B04">
        <w:rPr>
          <w:rFonts w:ascii="Cambria" w:eastAsia="Yu Gothic Light" w:hAnsi="Cambria" w:cs="Calibri"/>
          <w:color w:val="2F5496"/>
          <w:sz w:val="32"/>
          <w:szCs w:val="32"/>
        </w:rPr>
        <w:lastRenderedPageBreak/>
        <w:t>Predmet  verejného obstarávania</w:t>
      </w:r>
      <w:bookmarkEnd w:id="96"/>
      <w:r w:rsidRPr="00D42B04">
        <w:rPr>
          <w:rFonts w:ascii="Cambria" w:eastAsia="Yu Gothic Light" w:hAnsi="Cambria" w:cs="Calibri"/>
          <w:color w:val="2F5496"/>
          <w:sz w:val="32"/>
          <w:szCs w:val="32"/>
        </w:rPr>
        <w:t xml:space="preserve"> </w:t>
      </w:r>
    </w:p>
    <w:p w14:paraId="0884E6A0"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97" w:name="_Toc110518771"/>
      <w:r w:rsidRPr="00D42B04">
        <w:rPr>
          <w:rFonts w:ascii="Cambria" w:eastAsia="Yu Gothic Light" w:hAnsi="Cambria"/>
          <w:b/>
          <w:bCs/>
          <w:color w:val="2F5496"/>
          <w:sz w:val="26"/>
          <w:szCs w:val="26"/>
        </w:rPr>
        <w:t>Úvod</w:t>
      </w:r>
      <w:bookmarkEnd w:id="97"/>
    </w:p>
    <w:p w14:paraId="6D90460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Predmetom verejného obstarávania je výber uchádzača, ktorý v súčinnosti s verejnýcm obstarávateľaom (ďalej aj ako „NBS“) dodá riešenie centrálneho celobankového dátového skladu (ďalej aj ako „NBS DWH“). Riešenie novej dátovej integrácie je navrhnuté ako jeden dátový ekosystém v kombinácii dvoch platforiem:</w:t>
      </w:r>
    </w:p>
    <w:p w14:paraId="52DAE2A4" w14:textId="77777777" w:rsidR="00D42B04" w:rsidRPr="00D42B04" w:rsidRDefault="00D42B04" w:rsidP="00D42B04">
      <w:pPr>
        <w:numPr>
          <w:ilvl w:val="0"/>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w:t>
      </w:r>
    </w:p>
    <w:p w14:paraId="323589AB" w14:textId="77777777" w:rsidR="00D42B04" w:rsidRPr="00D42B04" w:rsidRDefault="00D42B04" w:rsidP="00D42B04">
      <w:pPr>
        <w:numPr>
          <w:ilvl w:val="0"/>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Cs/>
          <w:sz w:val="22"/>
          <w:szCs w:val="22"/>
        </w:rPr>
        <w:t>Relačná časť</w:t>
      </w:r>
    </w:p>
    <w:p w14:paraId="4AEF21AA" w14:textId="77777777" w:rsidR="00D42B04" w:rsidRPr="00D42B04" w:rsidRDefault="00D42B04" w:rsidP="00D42B04">
      <w:pPr>
        <w:spacing w:before="120" w:after="120"/>
        <w:jc w:val="both"/>
        <w:rPr>
          <w:rFonts w:ascii="Cambria" w:eastAsia="Yu Mincho" w:hAnsi="Cambria" w:cs="Arial"/>
          <w:sz w:val="22"/>
          <w:szCs w:val="22"/>
        </w:rPr>
      </w:pPr>
      <w:r w:rsidRPr="00D42B04">
        <w:rPr>
          <w:rFonts w:ascii="Cambria" w:eastAsia="Yu Mincho" w:hAnsi="Cambria" w:cs="Arial"/>
          <w:sz w:val="22"/>
          <w:szCs w:val="22"/>
        </w:rPr>
        <w:t>Uchádzač musí vyvinúť/dodať nové komponenty dátového skladu, ktoré budú:</w:t>
      </w:r>
    </w:p>
    <w:p w14:paraId="52EB479B" w14:textId="77777777" w:rsidR="00D42B04" w:rsidRPr="00D42B04" w:rsidRDefault="00D42B04" w:rsidP="00D42B04">
      <w:pPr>
        <w:numPr>
          <w:ilvl w:val="0"/>
          <w:numId w:val="32"/>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Integrovať dáta z existujúcich informačných systémov NBS a z externých systémov</w:t>
      </w:r>
    </w:p>
    <w:p w14:paraId="2726DEC6" w14:textId="77777777" w:rsidR="00D42B04" w:rsidRPr="00D42B04" w:rsidRDefault="00D42B04" w:rsidP="00D42B04">
      <w:pPr>
        <w:numPr>
          <w:ilvl w:val="0"/>
          <w:numId w:val="32"/>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Poskytovať operatívny reporting, meranie výkonnosti a podporu analytických procesov nad dátami pre potreby jednotlivých organizačných zložiek spoločnosti.</w:t>
      </w:r>
    </w:p>
    <w:p w14:paraId="193D2720" w14:textId="77777777" w:rsidR="00D42B04" w:rsidRPr="00D42B04" w:rsidRDefault="00D42B04" w:rsidP="00D42B04">
      <w:pPr>
        <w:numPr>
          <w:ilvl w:val="0"/>
          <w:numId w:val="32"/>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Podporovať prevádzku systému</w:t>
      </w:r>
    </w:p>
    <w:p w14:paraId="5A12BE41" w14:textId="77777777" w:rsidR="00D42B04" w:rsidRPr="00D42B04" w:rsidRDefault="00D42B04" w:rsidP="00D42B04">
      <w:pPr>
        <w:numPr>
          <w:ilvl w:val="0"/>
          <w:numId w:val="32"/>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Umožnia samostatný rozvoj NBS DWH pracovníkmi IT a ďalších organizačných zložiek spoločnosti</w:t>
      </w:r>
    </w:p>
    <w:p w14:paraId="1C19B655" w14:textId="77777777" w:rsidR="00D42B04" w:rsidRPr="00D42B04" w:rsidRDefault="00D42B04" w:rsidP="00D42B04">
      <w:pPr>
        <w:spacing w:before="120" w:after="120"/>
        <w:jc w:val="both"/>
        <w:rPr>
          <w:rFonts w:ascii="Cambria" w:eastAsia="Yu Mincho" w:hAnsi="Cambria" w:cs="Arial"/>
          <w:sz w:val="22"/>
          <w:szCs w:val="22"/>
        </w:rPr>
      </w:pPr>
      <w:r w:rsidRPr="00D42B04">
        <w:rPr>
          <w:rFonts w:ascii="Cambria" w:eastAsia="Yu Mincho" w:hAnsi="Cambria" w:cs="Arial"/>
          <w:sz w:val="22"/>
          <w:szCs w:val="22"/>
        </w:rPr>
        <w:t>Ďalej musí uchádzač v maximálnej miere vyžiť výsledky projektu Pilot DWH, ktorý mal za úlohu otestovať možnosti niektorých technológií. Časti projektu Pilot DWH, ktoré je nutné prepoužiť sú:</w:t>
      </w:r>
    </w:p>
    <w:p w14:paraId="217491E1" w14:textId="77777777" w:rsidR="00D42B04" w:rsidRPr="00D42B04" w:rsidRDefault="00D42B04" w:rsidP="00D42B04">
      <w:pPr>
        <w:numPr>
          <w:ilvl w:val="0"/>
          <w:numId w:val="98"/>
        </w:numPr>
        <w:spacing w:before="120" w:after="120" w:line="240" w:lineRule="atLeast"/>
        <w:contextualSpacing/>
        <w:jc w:val="both"/>
        <w:rPr>
          <w:rFonts w:ascii="Cambria" w:eastAsia="Calibri" w:hAnsi="Cambria" w:cs="Calibri"/>
          <w:sz w:val="22"/>
          <w:szCs w:val="22"/>
        </w:rPr>
      </w:pPr>
      <w:r w:rsidRPr="00D42B04">
        <w:rPr>
          <w:rFonts w:ascii="Cambria" w:eastAsia="Calibri" w:hAnsi="Cambria" w:cs="Calibri"/>
          <w:sz w:val="22"/>
          <w:szCs w:val="22"/>
        </w:rPr>
        <w:t>Technickú infraštruktúru – Oracle DB, MS SQL/TOLAP a PowerBI</w:t>
      </w:r>
    </w:p>
    <w:p w14:paraId="100D24A8" w14:textId="77777777" w:rsidR="00D42B04" w:rsidRPr="00D42B04" w:rsidRDefault="00D42B04" w:rsidP="00D42B04">
      <w:pPr>
        <w:numPr>
          <w:ilvl w:val="0"/>
          <w:numId w:val="98"/>
        </w:numPr>
        <w:spacing w:before="120" w:after="120" w:line="240" w:lineRule="atLeast"/>
        <w:contextualSpacing/>
        <w:jc w:val="both"/>
        <w:rPr>
          <w:rFonts w:ascii="Cambria" w:eastAsia="Calibri" w:hAnsi="Cambria" w:cs="Calibri"/>
          <w:sz w:val="22"/>
          <w:szCs w:val="22"/>
        </w:rPr>
      </w:pPr>
      <w:r w:rsidRPr="00D42B04">
        <w:rPr>
          <w:rFonts w:ascii="Cambria" w:eastAsia="Calibri" w:hAnsi="Cambria" w:cs="Calibri"/>
          <w:sz w:val="22"/>
          <w:szCs w:val="22"/>
        </w:rPr>
        <w:t>Know-how pri extrakcii dát zo ŠZP a RBUZ</w:t>
      </w:r>
    </w:p>
    <w:p w14:paraId="6343F22F" w14:textId="77777777" w:rsidR="00D42B04" w:rsidRPr="00D42B04" w:rsidRDefault="00D42B04" w:rsidP="00D42B04">
      <w:pPr>
        <w:numPr>
          <w:ilvl w:val="0"/>
          <w:numId w:val="98"/>
        </w:numPr>
        <w:spacing w:before="120" w:after="120" w:line="240" w:lineRule="atLeast"/>
        <w:contextualSpacing/>
        <w:jc w:val="both"/>
        <w:rPr>
          <w:rFonts w:ascii="Cambria" w:eastAsia="Calibri" w:hAnsi="Cambria" w:cs="Calibri"/>
          <w:sz w:val="22"/>
          <w:szCs w:val="22"/>
        </w:rPr>
      </w:pPr>
      <w:r w:rsidRPr="00D42B04">
        <w:rPr>
          <w:rFonts w:ascii="Cambria" w:eastAsia="Calibri" w:hAnsi="Cambria" w:cs="Calibri"/>
          <w:sz w:val="22"/>
          <w:szCs w:val="22"/>
        </w:rPr>
        <w:t>Oracle Data Integrator ako ETL nástroj pre NBS DWH ako výsledok interného výberu.</w:t>
      </w:r>
    </w:p>
    <w:p w14:paraId="40AED4E8"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98" w:name="_Toc110518772"/>
      <w:r w:rsidRPr="00D42B04">
        <w:rPr>
          <w:rFonts w:ascii="Cambria" w:eastAsia="Yu Gothic Light" w:hAnsi="Cambria"/>
          <w:b/>
          <w:bCs/>
          <w:color w:val="2F5496"/>
          <w:sz w:val="26"/>
          <w:szCs w:val="26"/>
        </w:rPr>
        <w:t>Rozsah dodávky</w:t>
      </w:r>
      <w:bookmarkEnd w:id="98"/>
    </w:p>
    <w:p w14:paraId="0E2AAE5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Súčasťou dodávky uchádzača je splnenie a dodávka nasledovných úloh:</w:t>
      </w:r>
    </w:p>
    <w:p w14:paraId="166EDBDB"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Vypracovať detailnú analýzu požiadaviek</w:t>
      </w:r>
    </w:p>
    <w:p w14:paraId="35F52665"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Vypracovať návrh dátového modelu na základe detailnej analýzy biznisových požiadaviek</w:t>
      </w:r>
    </w:p>
    <w:p w14:paraId="18CEAF42"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Dodať riešenie, ktoré bude v prípade spracovania osobných údajov pokrývať celý životný cyklus administrácie osobných údajov od evidencie až po ich likvidáciu (vrátane vymazania osobných údajov na základe žiadosti dotknutej osoby).    </w:t>
      </w:r>
    </w:p>
    <w:p w14:paraId="4C264427"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Realizácia integrácie na zdrojové systémy, vrátane pravidelného nahrávania dát do dátového skladu (kap. 3.3.1)</w:t>
      </w:r>
    </w:p>
    <w:p w14:paraId="73116973"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Vypracovať návrh kapacitného plánu</w:t>
      </w:r>
    </w:p>
    <w:p w14:paraId="7E076672"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Dodať odporučenia konfigurácie DataLake a dodávka všetkých potrebných licencií tejto časti. </w:t>
      </w:r>
    </w:p>
    <w:p w14:paraId="7CF22569"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Inštalácia SW zabezpečenia (DataLake časť DWH, Frameworky, ETL nástroja).</w:t>
      </w:r>
    </w:p>
    <w:p w14:paraId="7092330A"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Prevádzka a podpora SW zabezpečenia (DataLake časť DWH, Frameworky) počas trvania projektu.</w:t>
      </w:r>
    </w:p>
    <w:p w14:paraId="33BCF740"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Vypracovať návrh a implemenovať nové </w:t>
      </w:r>
      <w:r w:rsidRPr="00D42B04">
        <w:rPr>
          <w:rFonts w:ascii="Cambria" w:eastAsia="Calibri" w:hAnsi="Cambria" w:cs="Arial"/>
          <w:sz w:val="22"/>
          <w:szCs w:val="22"/>
          <w:lang w:val="en-US"/>
        </w:rPr>
        <w:t>Knowledge</w:t>
      </w:r>
      <w:r w:rsidRPr="00D42B04">
        <w:rPr>
          <w:rFonts w:ascii="Cambria" w:eastAsia="Calibri" w:hAnsi="Cambria" w:cs="Arial"/>
          <w:sz w:val="22"/>
          <w:szCs w:val="22"/>
        </w:rPr>
        <w:t xml:space="preserve"> Modulov ODI</w:t>
      </w:r>
    </w:p>
    <w:p w14:paraId="73662C63"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Implementovať dátový model a dodať inštalačné scripty</w:t>
      </w:r>
    </w:p>
    <w:p w14:paraId="31C1BF83"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Implementovať ETL úlohy a dodať inštalačné nastavenia</w:t>
      </w:r>
    </w:p>
    <w:p w14:paraId="70DCCDA4"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Implementovať reporty a analýzy (kap. 3.3.2)</w:t>
      </w:r>
    </w:p>
    <w:p w14:paraId="61CA109A"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Implementovať OUT objekty a transformácie dát do požadovaného formátu pre koncového odberateľa (kap. 3.3.3)</w:t>
      </w:r>
    </w:p>
    <w:p w14:paraId="1FEBBFE2"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Dodať nastavenia BI nástroja</w:t>
      </w:r>
    </w:p>
    <w:p w14:paraId="322D1612"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Dodať nasledovné frameworky a nastavanie metadát týchto frameworkov</w:t>
      </w:r>
      <w:r w:rsidRPr="00D42B04" w:rsidDel="43780F29">
        <w:rPr>
          <w:rFonts w:ascii="Cambria" w:eastAsia="Calibri" w:hAnsi="Cambria" w:cs="Arial"/>
          <w:sz w:val="22"/>
          <w:szCs w:val="22"/>
        </w:rPr>
        <w:t>:</w:t>
      </w:r>
    </w:p>
    <w:p w14:paraId="06B489A2"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podporu správu, riadenie a monitoring aktualizačných úloh</w:t>
      </w:r>
    </w:p>
    <w:p w14:paraId="5710BE34"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správu číselníkov, mostíkov, referenčných dát,  hierarchií jednotlivých dimenzií a manuálnych vstupov</w:t>
      </w:r>
    </w:p>
    <w:p w14:paraId="385DAD21"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nahrávanie veľkého počtu a rôznych súborov</w:t>
      </w:r>
    </w:p>
    <w:p w14:paraId="7CC79577"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správu, automatické spúšťanie a vyhodnocovanie dátovej kvality</w:t>
      </w:r>
    </w:p>
    <w:p w14:paraId="0FBDE534"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pre správu prístupov (riadenie bezpečnosti) k dátam</w:t>
      </w:r>
    </w:p>
    <w:p w14:paraId="030EAFD2" w14:textId="77777777" w:rsidR="00D42B04" w:rsidRPr="00D42B04" w:rsidRDefault="00D42B04" w:rsidP="00D42B04">
      <w:pPr>
        <w:numPr>
          <w:ilvl w:val="1"/>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správu dokumentácie k DWH a iných metadát (o modeli, o reportoch, mapovaní zdroj-cieľ) pre správu riadenia dátovej retencie</w:t>
      </w:r>
    </w:p>
    <w:p w14:paraId="657BBA0B"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projektové riadenie zastrešujúce dodávku dátového skladu</w:t>
      </w:r>
    </w:p>
    <w:p w14:paraId="569D1F06"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Vytvoriť a odovzdať technickú dokumentáciu implementovaného riešenia (kap. 3.4.6)</w:t>
      </w:r>
    </w:p>
    <w:p w14:paraId="64BC10A7"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Zaškoliť obsluhu a používateľov DWH (kap. 3.4.6)</w:t>
      </w:r>
    </w:p>
    <w:p w14:paraId="1DD7D0F4"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Poskytnúť súčinnosť pri inštalácii a prevádzke neprodukčných prostredí DEV a TEST dodávaného informačného systému </w:t>
      </w:r>
    </w:p>
    <w:p w14:paraId="7B77E4E6"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súčinnosť pre podporu produkčného prostredia PROD informačného systému dátový sklad (súčasťou dodávky uchádzača je aj prevádzkový manuál) -  (kap. 4.2 a 4.3)</w:t>
      </w:r>
    </w:p>
    <w:p w14:paraId="4195379A"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súčinnosť pri inštalácii riešenia na PROD prostredia (relačná časť, DataLake časť, aplikačné servery). Pod pojmom poskytnúť súčinnosť sa pre účely tejto zákazky myslí aj dodávka inštalačných materiálov pre NBS prostredie.</w:t>
      </w:r>
    </w:p>
    <w:p w14:paraId="1482E617"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Dodať licencie pre SW špecifikáciu pracovnej stanice vývojára (rozšírenie oproti poskytnutým licenciám NBS)</w:t>
      </w:r>
    </w:p>
    <w:p w14:paraId="7CC1BD58" w14:textId="77777777" w:rsidR="00D42B04" w:rsidRPr="00D42B04" w:rsidRDefault="00D42B04" w:rsidP="00D42B04">
      <w:pPr>
        <w:numPr>
          <w:ilvl w:val="0"/>
          <w:numId w:val="3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Ďalšie podľa detailného popisu v kapitole 3.2 (technické požiadavky)</w:t>
      </w:r>
    </w:p>
    <w:p w14:paraId="2F89D3A1" w14:textId="77777777" w:rsidR="00D42B04" w:rsidRPr="00D42B04" w:rsidRDefault="00D42B04" w:rsidP="00D42B04">
      <w:pPr>
        <w:spacing w:before="120" w:after="120"/>
        <w:jc w:val="both"/>
        <w:rPr>
          <w:rFonts w:ascii="Cambria" w:eastAsia="Yu Mincho" w:hAnsi="Cambria" w:cs="Arial"/>
          <w:sz w:val="22"/>
          <w:szCs w:val="22"/>
        </w:rPr>
      </w:pPr>
      <w:r w:rsidRPr="00D42B04">
        <w:rPr>
          <w:rFonts w:ascii="Cambria" w:eastAsia="Calibri" w:hAnsi="Cambria" w:cs="Arial"/>
          <w:sz w:val="22"/>
          <w:szCs w:val="22"/>
        </w:rPr>
        <w:t>Súčasťou dodávky uchádzača NIE sú nasledov</w:t>
      </w:r>
      <w:r w:rsidRPr="00D42B04">
        <w:rPr>
          <w:rFonts w:ascii="Cambria" w:eastAsia="Yu Mincho" w:hAnsi="Cambria" w:cs="Arial"/>
          <w:sz w:val="22"/>
          <w:szCs w:val="22"/>
        </w:rPr>
        <w:t>né časti:</w:t>
      </w:r>
    </w:p>
    <w:p w14:paraId="5588884D"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Dodávka HW serverov – zabezpečí NBS v konfigurácií po dohode s vybratým uchádzačom.</w:t>
      </w:r>
    </w:p>
    <w:p w14:paraId="71E1D061"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Dodávka licencií produktov Oracle (DB, ODI) a Microsoft (DB, PoweBI). Zabezpečí NBS, alebo už existujú v NBS.</w:t>
      </w:r>
    </w:p>
    <w:p w14:paraId="7F041458"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Inštaláciu databázy pre relačnú časť DWH zabezpečí NBS (ako DB, tak aj PowerBI)</w:t>
      </w:r>
    </w:p>
    <w:p w14:paraId="5A8D5E97"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Inštaláciu a prevádzku virtuálnych strojov s Linux OS zabezpečí NBS (pre DataLake časť DWH).</w:t>
      </w:r>
    </w:p>
    <w:p w14:paraId="7C72B2F9"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Inštaláciu a prevádzku virtuálneho stroja s Tomcat aplikačnom serverom zabezpečí NBS.</w:t>
      </w:r>
    </w:p>
    <w:p w14:paraId="5748FEC8"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Dodávka licencií aplikácie pre Dátového modelovanie.</w:t>
      </w:r>
    </w:p>
    <w:p w14:paraId="2663101B" w14:textId="77777777" w:rsidR="00D42B04" w:rsidRPr="00D42B04" w:rsidRDefault="00D42B04" w:rsidP="00D42B04">
      <w:pPr>
        <w:numPr>
          <w:ilvl w:val="0"/>
          <w:numId w:val="10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Inštalácia riešenia na PROD prostredia je kompetencii NBS na základe súčinnosti uchádzača.</w:t>
      </w:r>
    </w:p>
    <w:p w14:paraId="416DA04B"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99" w:name="_Toc105624001"/>
      <w:bookmarkStart w:id="100" w:name="_Toc110518773"/>
      <w:bookmarkEnd w:id="99"/>
      <w:r w:rsidRPr="00D42B04">
        <w:rPr>
          <w:rFonts w:ascii="Cambria" w:eastAsia="Yu Gothic Light" w:hAnsi="Cambria"/>
          <w:b/>
          <w:bCs/>
          <w:color w:val="2F5496"/>
          <w:sz w:val="26"/>
          <w:szCs w:val="26"/>
        </w:rPr>
        <w:t>Realizácia riešenia NBS DWH</w:t>
      </w:r>
      <w:bookmarkEnd w:id="100"/>
    </w:p>
    <w:p w14:paraId="25AB37D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Verejný obstarávateľ požaduje realizáciu riešenia NBS DWH do 36 mesiacov odo dňa nadobudnutia účinnosti zmluvy o dielo. Realizácia bude mať definované fázy dodávky s jednotlivými iteráciami (biznis výstup) s postupným pribúdaním funkcionality. Fázovanie dodávky je navrhnuté v kapitole 3.4, uchádzač je povinný toto fázovanie odborne pripomienkovať.</w:t>
      </w:r>
    </w:p>
    <w:p w14:paraId="3489D75F" w14:textId="77777777" w:rsidR="00D42B04" w:rsidRPr="00D42B04" w:rsidRDefault="00D42B04" w:rsidP="00D42B04">
      <w:pPr>
        <w:spacing w:before="120" w:after="120"/>
        <w:jc w:val="both"/>
        <w:rPr>
          <w:rFonts w:ascii="Cambria" w:eastAsia="Calibri" w:hAnsi="Cambria" w:cs="Arial"/>
          <w:sz w:val="22"/>
          <w:szCs w:val="22"/>
        </w:rPr>
      </w:pPr>
    </w:p>
    <w:p w14:paraId="27182E0E" w14:textId="77777777" w:rsidR="00D42B04" w:rsidRPr="00D42B04" w:rsidRDefault="00D42B04" w:rsidP="00D42B04">
      <w:pPr>
        <w:spacing w:before="120" w:after="120"/>
        <w:jc w:val="both"/>
        <w:rPr>
          <w:rFonts w:ascii="Cambria" w:eastAsia="Calibri" w:hAnsi="Cambria" w:cs="Arial"/>
          <w:sz w:val="22"/>
          <w:szCs w:val="22"/>
          <w:highlight w:val="yellow"/>
        </w:rPr>
      </w:pPr>
    </w:p>
    <w:p w14:paraId="65ABA10E" w14:textId="77777777" w:rsidR="00D42B04" w:rsidRPr="00D42B04" w:rsidRDefault="00D42B04" w:rsidP="00D42B04">
      <w:pPr>
        <w:keepNext/>
        <w:pageBreakBefore/>
        <w:spacing w:before="240" w:after="240"/>
        <w:ind w:left="432" w:hanging="432"/>
        <w:jc w:val="both"/>
        <w:outlineLvl w:val="0"/>
        <w:rPr>
          <w:rFonts w:ascii="Cambria" w:eastAsia="Yu Gothic Light" w:hAnsi="Cambria" w:cs="Calibri"/>
          <w:color w:val="2F5496"/>
          <w:sz w:val="32"/>
          <w:szCs w:val="32"/>
        </w:rPr>
      </w:pPr>
      <w:bookmarkStart w:id="101" w:name="_Toc110518774"/>
      <w:r w:rsidRPr="00D42B04">
        <w:rPr>
          <w:rFonts w:ascii="Cambria" w:eastAsia="Yu Gothic Light" w:hAnsi="Cambria" w:cs="Calibri"/>
          <w:color w:val="2F5496"/>
          <w:sz w:val="32"/>
          <w:szCs w:val="32"/>
        </w:rPr>
        <w:lastRenderedPageBreak/>
        <w:t>Opis predmetu zákazky</w:t>
      </w:r>
      <w:bookmarkEnd w:id="101"/>
    </w:p>
    <w:p w14:paraId="044E8B5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Táto kapitola opisuje celkový predmet zákazky a delí informácie do týchto častí:</w:t>
      </w:r>
    </w:p>
    <w:p w14:paraId="5444B96F" w14:textId="77777777" w:rsidR="00D42B04" w:rsidRPr="00D42B04" w:rsidRDefault="00D42B04" w:rsidP="00D42B04">
      <w:pPr>
        <w:numPr>
          <w:ilvl w:val="0"/>
          <w:numId w:val="3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Východiská situácia – opis stavu prípravy a zberu dát pre štatistické účely v NBS</w:t>
      </w:r>
    </w:p>
    <w:p w14:paraId="6B8ACAF0" w14:textId="77777777" w:rsidR="00D42B04" w:rsidRPr="00D42B04" w:rsidRDefault="00D42B04" w:rsidP="00D42B04">
      <w:pPr>
        <w:numPr>
          <w:ilvl w:val="0"/>
          <w:numId w:val="3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Požiadavky na riešenie NBS DWH:</w:t>
      </w:r>
    </w:p>
    <w:p w14:paraId="46983D71" w14:textId="77777777" w:rsidR="00D42B04" w:rsidRPr="00D42B04" w:rsidRDefault="00D42B04" w:rsidP="00D42B04">
      <w:pPr>
        <w:numPr>
          <w:ilvl w:val="1"/>
          <w:numId w:val="34"/>
        </w:numPr>
        <w:spacing w:before="120" w:after="120" w:line="240" w:lineRule="atLeast"/>
        <w:ind w:left="1134"/>
        <w:contextualSpacing/>
        <w:jc w:val="both"/>
        <w:rPr>
          <w:rFonts w:ascii="Cambria" w:eastAsia="Calibri" w:hAnsi="Cambria" w:cs="Arial"/>
          <w:sz w:val="22"/>
          <w:szCs w:val="22"/>
        </w:rPr>
      </w:pPr>
      <w:r w:rsidRPr="00D42B04">
        <w:rPr>
          <w:rFonts w:ascii="Cambria" w:eastAsia="Calibri" w:hAnsi="Cambria" w:cs="Arial"/>
          <w:sz w:val="22"/>
          <w:szCs w:val="22"/>
        </w:rPr>
        <w:t>Technické požiadavky</w:t>
      </w:r>
    </w:p>
    <w:p w14:paraId="5979F363"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Požiadavky na Relačnú časť a DataLake DWH</w:t>
      </w:r>
    </w:p>
    <w:p w14:paraId="367B06EA"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Požiadavky na podporné frameworky (podpora prevádzky a správy dát)</w:t>
      </w:r>
    </w:p>
    <w:p w14:paraId="28C512B4"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Bezpečnostné požiadavky</w:t>
      </w:r>
    </w:p>
    <w:p w14:paraId="2B6B591C" w14:textId="77777777" w:rsidR="00D42B04" w:rsidRPr="00D42B04" w:rsidRDefault="00D42B04" w:rsidP="00D42B04">
      <w:pPr>
        <w:numPr>
          <w:ilvl w:val="1"/>
          <w:numId w:val="34"/>
        </w:numPr>
        <w:spacing w:before="120" w:after="120" w:line="240" w:lineRule="atLeast"/>
        <w:ind w:left="1134"/>
        <w:contextualSpacing/>
        <w:jc w:val="both"/>
        <w:rPr>
          <w:rFonts w:ascii="Cambria" w:eastAsia="Calibri" w:hAnsi="Cambria" w:cs="Arial"/>
          <w:sz w:val="22"/>
          <w:szCs w:val="22"/>
        </w:rPr>
      </w:pPr>
      <w:r w:rsidRPr="00D42B04">
        <w:rPr>
          <w:rFonts w:ascii="Cambria" w:eastAsia="Calibri" w:hAnsi="Cambria" w:cs="Arial"/>
          <w:sz w:val="22"/>
          <w:szCs w:val="22"/>
        </w:rPr>
        <w:t>Biznisové požiadavky</w:t>
      </w:r>
    </w:p>
    <w:p w14:paraId="50465938"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Integrácie zdrojov</w:t>
      </w:r>
    </w:p>
    <w:p w14:paraId="35D98F36"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Interný reporting NBS</w:t>
      </w:r>
    </w:p>
    <w:p w14:paraId="7657EA99"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Výstupné oblasti NBS DWH pre tretie strany</w:t>
      </w:r>
    </w:p>
    <w:p w14:paraId="25CFE393" w14:textId="77777777" w:rsidR="00D42B04" w:rsidRPr="00D42B04" w:rsidRDefault="00D42B04" w:rsidP="00D42B04">
      <w:pPr>
        <w:numPr>
          <w:ilvl w:val="1"/>
          <w:numId w:val="34"/>
        </w:numPr>
        <w:spacing w:before="120" w:after="120" w:line="240" w:lineRule="atLeast"/>
        <w:ind w:left="1134"/>
        <w:contextualSpacing/>
        <w:jc w:val="both"/>
        <w:rPr>
          <w:rFonts w:ascii="Cambria" w:eastAsia="Calibri" w:hAnsi="Cambria" w:cs="Arial"/>
          <w:sz w:val="22"/>
          <w:szCs w:val="22"/>
        </w:rPr>
      </w:pPr>
      <w:r w:rsidRPr="00D42B04">
        <w:rPr>
          <w:rFonts w:ascii="Cambria" w:eastAsia="Calibri" w:hAnsi="Cambria" w:cs="Arial"/>
          <w:sz w:val="22"/>
          <w:szCs w:val="22"/>
        </w:rPr>
        <w:t>Projektové požiadavky, t. j. požiadavky na organizáciu a výstupy projektu</w:t>
      </w:r>
    </w:p>
    <w:p w14:paraId="335A38C6"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Projektový plán</w:t>
      </w:r>
    </w:p>
    <w:p w14:paraId="2740CA84" w14:textId="77777777" w:rsidR="00D42B04" w:rsidRPr="00D42B04" w:rsidRDefault="00D42B04" w:rsidP="00D42B04">
      <w:pPr>
        <w:numPr>
          <w:ilvl w:val="2"/>
          <w:numId w:val="34"/>
        </w:numPr>
        <w:spacing w:before="120" w:after="120" w:line="240" w:lineRule="atLeast"/>
        <w:ind w:left="1560"/>
        <w:contextualSpacing/>
        <w:jc w:val="both"/>
        <w:rPr>
          <w:rFonts w:ascii="Cambria" w:eastAsia="Calibri" w:hAnsi="Cambria" w:cs="Arial"/>
          <w:sz w:val="22"/>
          <w:szCs w:val="22"/>
        </w:rPr>
      </w:pPr>
      <w:r w:rsidRPr="00D42B04">
        <w:rPr>
          <w:rFonts w:ascii="Cambria" w:eastAsia="Calibri" w:hAnsi="Cambria" w:cs="Arial"/>
          <w:sz w:val="22"/>
          <w:szCs w:val="22"/>
        </w:rPr>
        <w:t>Požadovaná dokumentácia a výstupy projektového manažmentu</w:t>
      </w:r>
    </w:p>
    <w:p w14:paraId="7BA5E179"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02" w:name="_Toc110518775"/>
      <w:r w:rsidRPr="00D42B04">
        <w:rPr>
          <w:rFonts w:ascii="Cambria" w:eastAsia="Yu Gothic Light" w:hAnsi="Cambria"/>
          <w:b/>
          <w:bCs/>
          <w:color w:val="2F5496"/>
          <w:sz w:val="26"/>
          <w:szCs w:val="26"/>
        </w:rPr>
        <w:t>Východisková situácia</w:t>
      </w:r>
      <w:bookmarkEnd w:id="102"/>
    </w:p>
    <w:p w14:paraId="25C7CFA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Východiskový stav je ďalej popísaný z pohľadu procesov spracovania dát, hlavných systémov využívaných v NBS v súvislosti so spracovaním dát. Zvláštna pozornosť je venovaná popisu aktuálnej architektúry systémov a nástrojov používaných pre prácu s integrovanými dátami, ich reportingom a analýzou. Dôležitým faktorom pre budovanie cieľového riešenia je potom existujúce pilotné riešenie dátového skladu, ktorého niektoré komponenty sú k dispozícii pre ďalšie využitie.</w:t>
      </w:r>
    </w:p>
    <w:p w14:paraId="7D75F45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03" w:name="_Toc110518776"/>
      <w:r w:rsidRPr="00D42B04">
        <w:rPr>
          <w:rFonts w:ascii="Cambria" w:eastAsia="Yu Gothic Light" w:hAnsi="Cambria"/>
          <w:b/>
          <w:bCs/>
          <w:color w:val="2F5496"/>
          <w:szCs w:val="24"/>
        </w:rPr>
        <w:t>Procesy a systémy pre spracovanie dát</w:t>
      </w:r>
      <w:bookmarkEnd w:id="103"/>
    </w:p>
    <w:p w14:paraId="312B69B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NBS je pre výkon svojej činnosti v prevažujúcej miere závislá na množstve externých dát zbieraných od subjektov na finančnom a nefinančnom trhu a externých poskytovateľov ekonomických informácií, a to na mikroekonomickej úrovni (dáta o konkrétnych subjektoch a finančných inštrumentoch), ako aj makroekonomickej úrovni (makro dáta – agregované ukazovatele o ekonomickej situácii a trendoch v jednotlivých sektoroch trhu). Tieto dáta sú zbierané, analyzované, čiastočne sa odvodzujú nové dáta ako produkt makroekonomických prognóz a výskumov. Niektoré dáta sú ďalej zdieľané v rámci medzinárodných inštitúcií (najmä ESAs, v rámci Eurosystému alebo Jednotného mechanizmu dohľadu) alebo aj s verejnosťou. Menšia časť dát vzniká primárne v NBS ako produkt vlastných aktivít NBS, napr. registre o subjektoch na trhu v rámci dohľadu a ďalšie dáta v rámci obchodných procesov, riadenia peňažnej hotovosti alebo finančného riadenia spoločnosti. Preto ďalej popisujeme spracovanie dát v týchto oblastiach, ktoré majú osobitný prístup k spracovaniu dát:</w:t>
      </w:r>
    </w:p>
    <w:p w14:paraId="6982C593" w14:textId="77777777" w:rsidR="00D42B04" w:rsidRPr="00D42B04" w:rsidRDefault="00D42B04" w:rsidP="00D42B04">
      <w:pPr>
        <w:numPr>
          <w:ilvl w:val="0"/>
          <w:numId w:val="5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Produkcia štatistických dát</w:t>
      </w:r>
    </w:p>
    <w:p w14:paraId="58E29887" w14:textId="77777777" w:rsidR="00D42B04" w:rsidRPr="00D42B04" w:rsidRDefault="00D42B04" w:rsidP="00D42B04">
      <w:pPr>
        <w:numPr>
          <w:ilvl w:val="0"/>
          <w:numId w:val="5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Hlavné procesy produkujúce dáta</w:t>
      </w:r>
    </w:p>
    <w:p w14:paraId="0802641D" w14:textId="77777777" w:rsidR="00D42B04" w:rsidRPr="00D42B04" w:rsidRDefault="00D42B04" w:rsidP="00D42B04">
      <w:pPr>
        <w:numPr>
          <w:ilvl w:val="0"/>
          <w:numId w:val="5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Analytické procesy</w:t>
      </w:r>
    </w:p>
    <w:p w14:paraId="5EC763AE" w14:textId="77777777" w:rsidR="00D42B04" w:rsidRPr="00D42B04" w:rsidRDefault="00D42B04" w:rsidP="00D42B04">
      <w:pPr>
        <w:numPr>
          <w:ilvl w:val="0"/>
          <w:numId w:val="5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Podporné procesy</w:t>
      </w:r>
    </w:p>
    <w:p w14:paraId="2247FE6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Produkcia štatistických dát</w:t>
      </w:r>
    </w:p>
    <w:p w14:paraId="3EF86ADF"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Zber dát pre štatistické spracovanie sa deje v NBS niekoľkými kanálmi:</w:t>
      </w:r>
    </w:p>
    <w:p w14:paraId="5B28CD98" w14:textId="77777777" w:rsidR="00D42B04" w:rsidRPr="00D42B04" w:rsidRDefault="00D42B04" w:rsidP="00D42B04">
      <w:pPr>
        <w:numPr>
          <w:ilvl w:val="0"/>
          <w:numId w:val="9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Proces zberu a produkcie štatistických dát je v NBS riešený primárne v systéme </w:t>
      </w:r>
      <w:r w:rsidRPr="00D42B04">
        <w:rPr>
          <w:rFonts w:ascii="Cambria" w:eastAsia="Calibri" w:hAnsi="Cambria" w:cs="Arial"/>
          <w:b/>
          <w:bCs/>
          <w:sz w:val="22"/>
          <w:szCs w:val="22"/>
        </w:rPr>
        <w:t>ŠZP</w:t>
      </w:r>
      <w:r w:rsidRPr="00D42B04">
        <w:rPr>
          <w:rFonts w:ascii="Cambria" w:eastAsia="Calibri" w:hAnsi="Cambria" w:cs="Arial"/>
          <w:sz w:val="22"/>
          <w:szCs w:val="22"/>
        </w:rPr>
        <w:t xml:space="preserve"> (Štatistický zberový portál), pričom je za tento proces zodpovedný predovšetkým Odbor štatistiky. Systém ŠZP je zákazkové riešenie od externého zhotoviteľa na mieru pre potreby NBS. Štatistické dáta sú však zbierané aj formou e-mailových príloh, systémom RBÚZ a RS, ktoré sú vyčlenené z pôsobnosti odboru štatistiky – viď ďalej.</w:t>
      </w:r>
    </w:p>
    <w:p w14:paraId="47641F3A" w14:textId="77777777" w:rsidR="00D42B04" w:rsidRPr="00D42B04" w:rsidRDefault="00D42B04" w:rsidP="00D42B04">
      <w:pPr>
        <w:numPr>
          <w:ilvl w:val="0"/>
          <w:numId w:val="9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 xml:space="preserve">ŠZP umožňuje definovanie používateľských, štandardných výstupov s exportom do CSV a XLSX pre ďalšie spracovanie (typicky pre zabezpečenie lokálnych požiadaviek) a automatizovanú výmenu niektorých dát s ESMA (XML štandard) a EBA/EIOPA (v štandarde </w:t>
      </w:r>
      <w:r w:rsidRPr="00D42B04">
        <w:rPr>
          <w:rFonts w:ascii="Cambria" w:eastAsia="Calibri" w:hAnsi="Cambria" w:cs="Arial"/>
          <w:b/>
          <w:bCs/>
          <w:sz w:val="22"/>
          <w:szCs w:val="22"/>
        </w:rPr>
        <w:t>XBRL</w:t>
      </w:r>
      <w:r w:rsidRPr="00D42B04">
        <w:rPr>
          <w:rFonts w:ascii="Cambria" w:eastAsia="Calibri" w:hAnsi="Cambria" w:cs="Arial"/>
          <w:sz w:val="22"/>
          <w:szCs w:val="22"/>
        </w:rPr>
        <w:t>).</w:t>
      </w:r>
    </w:p>
    <w:p w14:paraId="670EDA32" w14:textId="77777777" w:rsidR="00D42B04" w:rsidRPr="00D42B04" w:rsidRDefault="00D42B04" w:rsidP="00D42B04">
      <w:pPr>
        <w:numPr>
          <w:ilvl w:val="0"/>
          <w:numId w:val="9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Pre účely dohľadu nad finančným sprostredkovaním a finančným poradenstvom sa pre zber dát využíva aj systém </w:t>
      </w:r>
      <w:r w:rsidRPr="00D42B04">
        <w:rPr>
          <w:rFonts w:ascii="Cambria" w:eastAsia="Calibri" w:hAnsi="Cambria" w:cs="Arial"/>
          <w:b/>
          <w:bCs/>
          <w:sz w:val="22"/>
          <w:szCs w:val="22"/>
        </w:rPr>
        <w:t>RegFAP</w:t>
      </w:r>
      <w:r w:rsidRPr="00D42B04">
        <w:rPr>
          <w:rFonts w:ascii="Cambria" w:eastAsia="Calibri" w:hAnsi="Cambria" w:cs="Arial"/>
          <w:sz w:val="22"/>
          <w:szCs w:val="22"/>
        </w:rPr>
        <w:t>, ktorého vlastníkom je odbor ODK a je vyvíjaný na odbore OFI.</w:t>
      </w:r>
    </w:p>
    <w:p w14:paraId="3FD5A01B" w14:textId="77777777" w:rsidR="00D42B04" w:rsidRPr="00D42B04" w:rsidRDefault="00D42B04" w:rsidP="00D42B04">
      <w:pPr>
        <w:numPr>
          <w:ilvl w:val="0"/>
          <w:numId w:val="9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Zber dát pre niektoré agendy je však stále riešený aj manuálne cez e-mail a dáta v </w:t>
      </w:r>
      <w:r w:rsidRPr="00D42B04">
        <w:rPr>
          <w:rFonts w:ascii="Cambria" w:eastAsia="Calibri" w:hAnsi="Cambria" w:cs="Arial"/>
          <w:b/>
          <w:bCs/>
          <w:sz w:val="22"/>
          <w:szCs w:val="22"/>
        </w:rPr>
        <w:t>MS Excel</w:t>
      </w:r>
      <w:r w:rsidRPr="00D42B04">
        <w:rPr>
          <w:rFonts w:ascii="Cambria" w:eastAsia="Calibri" w:hAnsi="Cambria" w:cs="Arial"/>
          <w:sz w:val="22"/>
          <w:szCs w:val="22"/>
        </w:rPr>
        <w:t>.</w:t>
      </w:r>
    </w:p>
    <w:p w14:paraId="016C13E3" w14:textId="77777777" w:rsidR="00D42B04" w:rsidRPr="00D42B04" w:rsidRDefault="00D42B04" w:rsidP="00D42B04">
      <w:pPr>
        <w:numPr>
          <w:ilvl w:val="0"/>
          <w:numId w:val="9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Zber detailných dát pre AnaCredit a ich výmena s ECB sú riešené samostatným systémom </w:t>
      </w:r>
      <w:r w:rsidRPr="00D42B04">
        <w:rPr>
          <w:rFonts w:ascii="Cambria" w:eastAsia="Calibri" w:hAnsi="Cambria" w:cs="Arial"/>
          <w:b/>
          <w:bCs/>
          <w:sz w:val="22"/>
          <w:szCs w:val="22"/>
        </w:rPr>
        <w:t>RBUZ/RS</w:t>
      </w:r>
      <w:r w:rsidRPr="00D42B04">
        <w:rPr>
          <w:rFonts w:ascii="Cambria" w:eastAsia="Calibri" w:hAnsi="Cambria" w:cs="Arial"/>
          <w:sz w:val="22"/>
          <w:szCs w:val="22"/>
        </w:rPr>
        <w:t xml:space="preserve"> (Register bankových úverov a záruk / Register subjektov). Tento systém bol vytvorený pre účely dohľadu, nie štatistiky, ale z povahy pravidelného spracovania dát od vykazujúcich subjektov sleduje rovnaký proces. Z pohľadu ECB je AnaCredit tiež štatistický systém, no v NBS nebol takto implementovaný.</w:t>
      </w:r>
    </w:p>
    <w:p w14:paraId="2A43AA68" w14:textId="77777777" w:rsidR="00D42B04" w:rsidRPr="00D42B04" w:rsidRDefault="00D42B04" w:rsidP="00D42B04">
      <w:pPr>
        <w:spacing w:before="120" w:after="120"/>
        <w:jc w:val="center"/>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20626F51" wp14:editId="7B553D88">
            <wp:extent cx="4310743" cy="22860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5490" cy="2299131"/>
                    </a:xfrm>
                    <a:prstGeom prst="rect">
                      <a:avLst/>
                    </a:prstGeom>
                    <a:noFill/>
                    <a:ln>
                      <a:noFill/>
                    </a:ln>
                  </pic:spPr>
                </pic:pic>
              </a:graphicData>
            </a:graphic>
          </wp:inline>
        </w:drawing>
      </w:r>
    </w:p>
    <w:p w14:paraId="00ED2171" w14:textId="77777777" w:rsidR="00D42B04" w:rsidRPr="00D42B04" w:rsidRDefault="00D42B04" w:rsidP="00D42B04">
      <w:pPr>
        <w:spacing w:before="120" w:after="200"/>
        <w:jc w:val="center"/>
        <w:rPr>
          <w:rFonts w:ascii="Cambria" w:eastAsia="Calibri" w:hAnsi="Cambria" w:cs="Arial"/>
          <w:i/>
          <w:iCs/>
          <w:color w:val="44546A"/>
          <w:sz w:val="18"/>
          <w:szCs w:val="18"/>
        </w:rPr>
      </w:pPr>
      <w:bookmarkStart w:id="104" w:name="_Toc96439364"/>
      <w:bookmarkStart w:id="105" w:name="_Toc104211893"/>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Oblasť spracovania dát – Produkcia štatistických dát</w:t>
      </w:r>
      <w:bookmarkEnd w:id="104"/>
      <w:bookmarkEnd w:id="105"/>
    </w:p>
    <w:p w14:paraId="242899D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Uvedené riešenia pre zber dát od vykazujúcich subjektov a ich ďalšie spracovanie však nezahŕňajú nástroje pre reporting, analýzy a systematickú distribúciu výstupov. Za týmto účelom vyvinul odbor štatistiky pre svoje vlastné potreby riešenie Apoštol s analytickým nástrojom Qlik Sense, ktoré malo za cieľ suplovať neexistujúcu analytickú platformu (resp. DWH/BI).</w:t>
      </w:r>
    </w:p>
    <w:p w14:paraId="44A3C97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Existujú používatelia, ktorí pristupujú k dátam priamo cez SQL, R resp. Python.</w:t>
      </w:r>
    </w:p>
    <w:p w14:paraId="5A7549A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NBS prebiehajú alebo sa plánujú tieto súvisiace aktivity:</w:t>
      </w:r>
    </w:p>
    <w:p w14:paraId="60966613"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Moderná štatistika – konsolidácia agendy zberu dát na OST do systému ŠZP</w:t>
      </w:r>
    </w:p>
    <w:p w14:paraId="04D6D6C6"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Upgrade ŠZP (vyššia flexibilita definovania štatistických výkazov a výstupov, zlepšenie výstupného rozhrania pre dátovú integráciu a ďalšie...)</w:t>
      </w:r>
    </w:p>
    <w:p w14:paraId="40FA24AC"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Zber detailných dát o úveroch fyzických osôb a vytvorenie riešenia pre register fyzických osôb</w:t>
      </w:r>
    </w:p>
    <w:p w14:paraId="575DC3E8"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ŠZP ESAs - presun časti funkcionality štatistického procesu zameraného na výkazy vo formáte XBRL zo ŠZP do nového dedikovaného systému ŠZP ESAs</w:t>
      </w:r>
    </w:p>
    <w:p w14:paraId="43318AE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bookmarkStart w:id="106" w:name="_Toc1906740509"/>
      <w:bookmarkStart w:id="107" w:name="_Toc96439316"/>
      <w:r w:rsidRPr="00D42B04">
        <w:rPr>
          <w:rFonts w:ascii="Cambria" w:eastAsia="Yu Gothic Light" w:hAnsi="Cambria"/>
          <w:i/>
          <w:iCs/>
          <w:color w:val="2F5496"/>
          <w:sz w:val="22"/>
          <w:szCs w:val="22"/>
        </w:rPr>
        <w:t>Ďalšie procesy produkujúce dáta</w:t>
      </w:r>
      <w:bookmarkEnd w:id="106"/>
      <w:bookmarkEnd w:id="107"/>
    </w:p>
    <w:p w14:paraId="5EAB724C"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Niektoré dáta vznikajú vnútri NBS pri výkone niektorých hlavných činností, ktoré nespadajú do oblasti produkcie štatistických dát, ako sú:</w:t>
      </w:r>
    </w:p>
    <w:p w14:paraId="724CC365" w14:textId="77777777" w:rsidR="00D42B04" w:rsidRPr="00D42B04" w:rsidRDefault="00D42B04" w:rsidP="00D42B04">
      <w:pPr>
        <w:keepNext/>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Dohľad (zodpovednosť za vedenie rôznych registrov a údaje o individuálnych procesoch/konaniach so subjektmi)</w:t>
      </w:r>
    </w:p>
    <w:p w14:paraId="05F0E837"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Bankové operácie (údaje o vykonaných obchodoch – systém IBFO/WSS)</w:t>
      </w:r>
    </w:p>
    <w:p w14:paraId="06093677"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rizika (analytické systémy Riskhouse, Credit Manager a Risk Manager)</w:t>
      </w:r>
    </w:p>
    <w:p w14:paraId="2A7B145A" w14:textId="77777777" w:rsidR="00D42B04" w:rsidRPr="00D42B04" w:rsidRDefault="00D42B04" w:rsidP="00D42B04">
      <w:pPr>
        <w:numPr>
          <w:ilvl w:val="0"/>
          <w:numId w:val="54"/>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Riadenie hotovosti (údaje o stave a obehu hotovosti – systém EZO)</w:t>
      </w:r>
    </w:p>
    <w:p w14:paraId="4EC87F1C"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Platobné systémy (údaje o transakciách – systémy SIPS, Target2)</w:t>
      </w:r>
    </w:p>
    <w:p w14:paraId="7CC13AC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každú agendu existuje špecializovaný informačný systém, ktorý poskytuje aj operatívne výstupy. V prípade využívania spoločných informačných systémov na úrovni Európskej únie (IMAS pre procesy dohľadu nad významnými bankami, Target2 – zúčtovanie veľkých platieb) sú k dispozícii súčasne aj analytické reporty a výstupy pre uspokojenie dátových potrieb relevantných odborov.</w:t>
      </w:r>
    </w:p>
    <w:p w14:paraId="1BF8A37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 </w:t>
      </w:r>
      <w:r w:rsidRPr="00D42B04">
        <w:rPr>
          <w:rFonts w:ascii="Cambria" w:eastAsia="Calibri" w:hAnsi="Cambria" w:cs="Arial"/>
          <w:noProof/>
          <w:sz w:val="22"/>
          <w:szCs w:val="22"/>
        </w:rPr>
        <w:drawing>
          <wp:inline distT="0" distB="0" distL="0" distR="0" wp14:anchorId="102672B6" wp14:editId="2E0B5D9A">
            <wp:extent cx="4197600" cy="387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7600" cy="3870000"/>
                    </a:xfrm>
                    <a:prstGeom prst="rect">
                      <a:avLst/>
                    </a:prstGeom>
                    <a:noFill/>
                    <a:ln>
                      <a:noFill/>
                    </a:ln>
                  </pic:spPr>
                </pic:pic>
              </a:graphicData>
            </a:graphic>
          </wp:inline>
        </w:drawing>
      </w:r>
    </w:p>
    <w:p w14:paraId="2CA39E24"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08" w:name="_Toc96439365"/>
      <w:bookmarkStart w:id="109" w:name="_Toc104211894"/>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Oblasť spracovania dát – Hlavné procesy produkujúce dáta</w:t>
      </w:r>
      <w:bookmarkEnd w:id="108"/>
      <w:bookmarkEnd w:id="109"/>
    </w:p>
    <w:p w14:paraId="1BF68E5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jednotlivých odborov (hlavných procesných oblastí) sú spracúvané a využívané viac menej pre vlastné potreby každého príslušného odboru a sú zdieľané iba obmedzene. Výnimkou sú spolupracujúce odbory Bankových operácií a Riadenia rizika, ktoré majú vytvorený vlastný analytický systém Riskhouse, ktorý napĺňa požiadavky týchto odborov bez potreby ďalšej konsolidácie s inými systémami.</w:t>
      </w:r>
    </w:p>
    <w:p w14:paraId="5CC063F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Napriek malému prieniku týchto dátových oblastí prináša neexistencia jednotnej integrovanej (resp. analytickej) platformy komplikácie užívateľom niektorých odborov v oblastiach:</w:t>
      </w:r>
    </w:p>
    <w:p w14:paraId="5BC8074B"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Manuálna a netransparentná príprava dát pre reporting (mimo existujúcich analytických platforiem)</w:t>
      </w:r>
    </w:p>
    <w:p w14:paraId="23CCBF29"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Chýbajúci nástroj pre tvorbu vlastných reportov a analýz</w:t>
      </w:r>
    </w:p>
    <w:p w14:paraId="00CE457D"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Duplicitné spracovanie externých dát</w:t>
      </w:r>
    </w:p>
    <w:p w14:paraId="044C8BBB"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Neznalosť a nemožnosť analyzovať dáta v kontexte dát z iných odborov</w:t>
      </w:r>
    </w:p>
    <w:p w14:paraId="079924B5"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Chýbajúce prepojenie registrov a IDAS/ASDR s vykazovanými údajmi dohliadaných subjektov z oblasti štatistiky</w:t>
      </w:r>
    </w:p>
    <w:p w14:paraId="1921F35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Aktuálne strategické aktivity NBS v tejto oblasti sú:</w:t>
      </w:r>
    </w:p>
    <w:p w14:paraId="4680A13B"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ASDR – Implementácia jednotného agendového systému pre dohľad a reguláciu (proces manažment dohľadu), ktorý má nahradiť IDAS </w:t>
      </w:r>
    </w:p>
    <w:p w14:paraId="4FB63DEA" w14:textId="77777777" w:rsidR="00D42B04" w:rsidRPr="00D42B04" w:rsidRDefault="00D42B04" w:rsidP="00D42B04">
      <w:pPr>
        <w:numPr>
          <w:ilvl w:val="0"/>
          <w:numId w:val="5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DMS / ECM – Implementácia integrovaného systému pre správu dokumentov (DMS) a Enterprise Content Managementu</w:t>
      </w:r>
    </w:p>
    <w:p w14:paraId="1D721220"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bookmarkStart w:id="110" w:name="_Toc1112694723"/>
      <w:bookmarkStart w:id="111" w:name="_Toc96439317"/>
      <w:r w:rsidRPr="00D42B04">
        <w:rPr>
          <w:rFonts w:ascii="Cambria" w:eastAsia="Yu Gothic Light" w:hAnsi="Cambria"/>
          <w:i/>
          <w:iCs/>
          <w:color w:val="2F5496"/>
          <w:sz w:val="22"/>
          <w:szCs w:val="22"/>
        </w:rPr>
        <w:lastRenderedPageBreak/>
        <w:t>Analytické procesy</w:t>
      </w:r>
      <w:bookmarkEnd w:id="110"/>
      <w:bookmarkEnd w:id="111"/>
    </w:p>
    <w:p w14:paraId="3C2E207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Osobitná skupina procesov z pohľadu spracovania dát sú:</w:t>
      </w:r>
    </w:p>
    <w:p w14:paraId="50A0D3C4"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Finančná stabilita</w:t>
      </w:r>
    </w:p>
    <w:p w14:paraId="44E8F22D"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Menová politika</w:t>
      </w:r>
    </w:p>
    <w:p w14:paraId="379F785F"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Výskum</w:t>
      </w:r>
    </w:p>
    <w:p w14:paraId="7BD9AE0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Tieto procesy sú konzumentom dát publikovaných z procesu štatistiky a ďalej množstva externých ekonomických dát a zdrojov, ktoré sú predmetom rôznych analýz, modelovaní a predikcií. V každom prípade sú tieto procesy životne závislé na integrovaných dátach a súčasne poskytujú nové dáta, respektíve obohacujú agregované štatistické dáta o odvodené ukazovatele a predikcie.</w:t>
      </w:r>
    </w:p>
    <w:p w14:paraId="68F704E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 </w:t>
      </w:r>
      <w:r w:rsidRPr="00D42B04">
        <w:rPr>
          <w:rFonts w:ascii="Cambria" w:eastAsia="Calibri" w:hAnsi="Cambria" w:cs="Arial"/>
          <w:noProof/>
          <w:sz w:val="22"/>
          <w:szCs w:val="22"/>
        </w:rPr>
        <w:drawing>
          <wp:inline distT="0" distB="0" distL="0" distR="0" wp14:anchorId="05129A3E" wp14:editId="35B3DFF7">
            <wp:extent cx="4197600" cy="27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7600" cy="2714400"/>
                    </a:xfrm>
                    <a:prstGeom prst="rect">
                      <a:avLst/>
                    </a:prstGeom>
                    <a:noFill/>
                    <a:ln>
                      <a:noFill/>
                    </a:ln>
                  </pic:spPr>
                </pic:pic>
              </a:graphicData>
            </a:graphic>
          </wp:inline>
        </w:drawing>
      </w:r>
    </w:p>
    <w:p w14:paraId="67833C1F"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12" w:name="_Toc96439366"/>
      <w:bookmarkStart w:id="113" w:name="_Toc104211895"/>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3</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Oblasť spracovania dát – Analytické proces</w:t>
      </w:r>
      <w:bookmarkEnd w:id="112"/>
      <w:bookmarkEnd w:id="113"/>
    </w:p>
    <w:p w14:paraId="30A6724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Dnes sú činnosti príslušných útvarov závislé na manuálnej príprave dát cez MS Excel a štatistických nástrojoch.</w:t>
      </w:r>
    </w:p>
    <w:p w14:paraId="7C7B527A"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bookmarkStart w:id="114" w:name="_Toc332984721"/>
      <w:bookmarkStart w:id="115" w:name="_Toc96439318"/>
      <w:r w:rsidRPr="00D42B04">
        <w:rPr>
          <w:rFonts w:ascii="Cambria" w:eastAsia="Yu Gothic Light" w:hAnsi="Cambria"/>
          <w:i/>
          <w:iCs/>
          <w:color w:val="2F5496"/>
          <w:sz w:val="22"/>
          <w:szCs w:val="22"/>
        </w:rPr>
        <w:t>Podporné činnosti</w:t>
      </w:r>
      <w:bookmarkEnd w:id="114"/>
      <w:bookmarkEnd w:id="115"/>
    </w:p>
    <w:p w14:paraId="22180B1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Medzi podporné činnosti sú v NBS radené procesy:</w:t>
      </w:r>
    </w:p>
    <w:p w14:paraId="0F6EDD28"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účtovníctvo a finančné riadenie (SAP FINU/HRO + BW)</w:t>
      </w:r>
    </w:p>
    <w:p w14:paraId="2B2712E9"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hospodársko-prevádzkové činnosti a služby (SAP FINU/HRO + BW)</w:t>
      </w:r>
    </w:p>
    <w:p w14:paraId="150D4425"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interný audit</w:t>
      </w:r>
    </w:p>
    <w:p w14:paraId="38FC0E91"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legislatívno-právna agenda</w:t>
      </w:r>
    </w:p>
    <w:p w14:paraId="38C7A353"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IT</w:t>
      </w:r>
    </w:p>
    <w:p w14:paraId="5DD1680A"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ochrana a bezpečnosť</w:t>
      </w:r>
    </w:p>
    <w:p w14:paraId="45912D03"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medzinárodné vzťahy</w:t>
      </w:r>
    </w:p>
    <w:p w14:paraId="6D789CB6"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komunikácia</w:t>
      </w:r>
    </w:p>
    <w:p w14:paraId="4720DD0A"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ľudských zdrojov</w:t>
      </w:r>
    </w:p>
    <w:p w14:paraId="52CCAA43" w14:textId="77777777" w:rsidR="00D42B04" w:rsidRPr="00D42B04" w:rsidRDefault="00D42B04" w:rsidP="00D42B04">
      <w:pPr>
        <w:numPr>
          <w:ilvl w:val="0"/>
          <w:numId w:val="5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agenda riadiacich orgánov</w:t>
      </w:r>
    </w:p>
    <w:p w14:paraId="10ACC02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rámci týchto procesov vzniká iba obmedzené množstvo údajov, ktoré prakticky nemajú využitie v hlavných procesoch NBS.</w:t>
      </w:r>
    </w:p>
    <w:p w14:paraId="4E55778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lastRenderedPageBreak/>
        <w:drawing>
          <wp:inline distT="0" distB="0" distL="0" distR="0" wp14:anchorId="50A3DD59" wp14:editId="396F7846">
            <wp:extent cx="4251600" cy="1314000"/>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1600" cy="1314000"/>
                    </a:xfrm>
                    <a:prstGeom prst="rect">
                      <a:avLst/>
                    </a:prstGeom>
                    <a:noFill/>
                    <a:ln>
                      <a:noFill/>
                    </a:ln>
                  </pic:spPr>
                </pic:pic>
              </a:graphicData>
            </a:graphic>
          </wp:inline>
        </w:drawing>
      </w:r>
    </w:p>
    <w:p w14:paraId="3FD6850D"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16" w:name="_Toc96439367"/>
      <w:bookmarkStart w:id="117" w:name="_Toc104211896"/>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4</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Oblasť spracovania dát – Podporné procesy</w:t>
      </w:r>
      <w:bookmarkEnd w:id="116"/>
      <w:bookmarkEnd w:id="117"/>
    </w:p>
    <w:p w14:paraId="23BB20DC" w14:textId="77777777" w:rsidR="00D42B04" w:rsidRPr="00D42B04" w:rsidRDefault="00D42B04" w:rsidP="00D42B04">
      <w:pPr>
        <w:spacing w:before="120" w:after="120"/>
        <w:jc w:val="both"/>
        <w:rPr>
          <w:rFonts w:ascii="Cambria" w:eastAsia="Calibri" w:hAnsi="Cambria" w:cs="Arial"/>
          <w:sz w:val="22"/>
          <w:szCs w:val="22"/>
        </w:rPr>
      </w:pPr>
    </w:p>
    <w:p w14:paraId="5CE8694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Aktuálne strategické aktivity NBS v tejto oblasti sú:</w:t>
      </w:r>
    </w:p>
    <w:p w14:paraId="5B1C4620" w14:textId="77777777" w:rsidR="00D42B04" w:rsidRPr="00D42B04" w:rsidRDefault="00D42B04" w:rsidP="00D42B04">
      <w:pPr>
        <w:numPr>
          <w:ilvl w:val="0"/>
          <w:numId w:val="5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Migrácia SAP FINU/HRO na technológiu S4HANA</w:t>
      </w:r>
    </w:p>
    <w:p w14:paraId="66BB185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18" w:name="_Toc110518777"/>
      <w:r w:rsidRPr="00D42B04">
        <w:rPr>
          <w:rFonts w:ascii="Cambria" w:eastAsia="Yu Gothic Light" w:hAnsi="Cambria"/>
          <w:b/>
          <w:bCs/>
          <w:color w:val="2F5496"/>
          <w:szCs w:val="24"/>
        </w:rPr>
        <w:lastRenderedPageBreak/>
        <w:t>Súčasná architektúra aplikačnej vrstvy práce s dátami</w:t>
      </w:r>
      <w:bookmarkEnd w:id="118"/>
      <w:r w:rsidRPr="00D42B04">
        <w:rPr>
          <w:rFonts w:ascii="Cambria" w:eastAsia="Yu Gothic Light" w:hAnsi="Cambria"/>
          <w:b/>
          <w:bCs/>
          <w:color w:val="2F5496"/>
          <w:szCs w:val="24"/>
        </w:rPr>
        <w:t xml:space="preserve"> </w:t>
      </w:r>
    </w:p>
    <w:p w14:paraId="32A1657F"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Nasledujúci obrázok znázorňuje relevantnú časť súčasnej architektúry aplikácií a systémov v NBS, pričom tieto sú zoskupené do logických skupín podľa účelu.</w:t>
      </w:r>
    </w:p>
    <w:p w14:paraId="74BF933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0465E036" wp14:editId="535735BB">
            <wp:extent cx="5395595" cy="70015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5595" cy="7001510"/>
                    </a:xfrm>
                    <a:prstGeom prst="rect">
                      <a:avLst/>
                    </a:prstGeom>
                    <a:noFill/>
                    <a:ln>
                      <a:noFill/>
                    </a:ln>
                  </pic:spPr>
                </pic:pic>
              </a:graphicData>
            </a:graphic>
          </wp:inline>
        </w:drawing>
      </w:r>
    </w:p>
    <w:p w14:paraId="747EF21A"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19" w:name="_Toc97562252"/>
      <w:bookmarkStart w:id="120" w:name="_Toc104211897"/>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5</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Aplikačná vrstva – súčasný stav</w:t>
      </w:r>
      <w:bookmarkEnd w:id="119"/>
      <w:bookmarkEnd w:id="120"/>
    </w:p>
    <w:p w14:paraId="451AC2E9" w14:textId="77777777" w:rsidR="00D42B04" w:rsidRPr="00D42B04" w:rsidRDefault="00D42B04" w:rsidP="00D42B04">
      <w:pPr>
        <w:numPr>
          <w:ilvl w:val="0"/>
          <w:numId w:val="4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Externé zdroje</w:t>
      </w:r>
      <w:r w:rsidRPr="00D42B04">
        <w:rPr>
          <w:rFonts w:ascii="Cambria" w:eastAsia="Calibri" w:hAnsi="Cambria" w:cs="Arial"/>
          <w:sz w:val="22"/>
          <w:szCs w:val="22"/>
        </w:rPr>
        <w:t xml:space="preserve"> – zdroje dát a informácií využívané pri analýzach a reportingu. Vo väčšine prípadov sú dáta z týchto zdrojov získavané manuálne, prípadne dochádza k výmene dát cez zdieľané úložisko.</w:t>
      </w:r>
    </w:p>
    <w:p w14:paraId="2EB43B0A" w14:textId="77777777" w:rsidR="00D42B04" w:rsidRPr="00D42B04" w:rsidRDefault="00D42B04" w:rsidP="00D42B04">
      <w:pPr>
        <w:numPr>
          <w:ilvl w:val="0"/>
          <w:numId w:val="4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Primárne systémy</w:t>
      </w:r>
      <w:r w:rsidRPr="00D42B04">
        <w:rPr>
          <w:rFonts w:ascii="Cambria" w:eastAsia="Calibri" w:hAnsi="Cambria" w:cs="Arial"/>
          <w:sz w:val="22"/>
          <w:szCs w:val="22"/>
        </w:rPr>
        <w:t xml:space="preserve"> – aplikačné systémy a registre prevádzkované NBS pre podporu primárnych a podporných procesov a úloh. Ich dáta sú čiastočne integrované v rôznych </w:t>
      </w:r>
      <w:r w:rsidRPr="00D42B04">
        <w:rPr>
          <w:rFonts w:ascii="Cambria" w:eastAsia="Calibri" w:hAnsi="Cambria" w:cs="Arial"/>
          <w:sz w:val="22"/>
          <w:szCs w:val="22"/>
        </w:rPr>
        <w:lastRenderedPageBreak/>
        <w:t>lokálnych databázach (</w:t>
      </w:r>
      <w:r w:rsidRPr="00D42B04">
        <w:rPr>
          <w:rFonts w:ascii="Cambria" w:eastAsia="Calibri" w:hAnsi="Cambria" w:cs="Arial"/>
          <w:i/>
          <w:iCs/>
          <w:sz w:val="22"/>
          <w:szCs w:val="22"/>
        </w:rPr>
        <w:t>viď Integračná vrstva</w:t>
      </w:r>
      <w:r w:rsidRPr="00D42B04">
        <w:rPr>
          <w:rFonts w:ascii="Cambria" w:eastAsia="Calibri" w:hAnsi="Cambria" w:cs="Arial"/>
          <w:sz w:val="22"/>
          <w:szCs w:val="22"/>
        </w:rPr>
        <w:t>), resp. sú exportované do Excelov pre ďalší reporting a analýzy. Medzi zdrojové systémy z tohto pohľadu zahŕňame aj Makroekonomickú databázu, ktorá je iba zdieľaným úložiskom časových radov v MS Excel.</w:t>
      </w:r>
    </w:p>
    <w:p w14:paraId="5349B2AB" w14:textId="77777777" w:rsidR="00D42B04" w:rsidRPr="00D42B04" w:rsidRDefault="00D42B04" w:rsidP="00D42B04">
      <w:pPr>
        <w:numPr>
          <w:ilvl w:val="0"/>
          <w:numId w:val="4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Integračná vrstva</w:t>
      </w:r>
      <w:r w:rsidRPr="00D42B04">
        <w:rPr>
          <w:rFonts w:ascii="Cambria" w:eastAsia="Calibri" w:hAnsi="Cambria" w:cs="Arial"/>
          <w:sz w:val="22"/>
          <w:szCs w:val="22"/>
        </w:rPr>
        <w:t xml:space="preserve"> – riešenia pre integráciu dát NBS, ktoré vznikli v priebehu histórie pre podporu individuálnych potrieb jednotlivých odborov NBS; zahŕňajú ETL procesy pre plnenie integrovanej dátovej základne a prípadné data marty. V NBS sa využívajú databázové systémy Oracle (Pilot DWH, SAP BW) a Microsoft SQL Server (Apoštol databáza, Riskhouse, AŠI) + ETL systém MS Integration Services.</w:t>
      </w:r>
    </w:p>
    <w:p w14:paraId="4D582143" w14:textId="77777777" w:rsidR="00D42B04" w:rsidRPr="00D42B04" w:rsidRDefault="00D42B04" w:rsidP="00D42B04">
      <w:pPr>
        <w:numPr>
          <w:ilvl w:val="0"/>
          <w:numId w:val="4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Prezentačná / Analytická vrstva</w:t>
      </w:r>
      <w:r w:rsidRPr="00D42B04">
        <w:rPr>
          <w:rFonts w:ascii="Cambria" w:eastAsia="Calibri" w:hAnsi="Cambria" w:cs="Arial"/>
          <w:sz w:val="22"/>
          <w:szCs w:val="22"/>
        </w:rPr>
        <w:t xml:space="preserve"> – obsahuje nástroje a služby Business Intelligence, ktoré sprostredkovávajú prístup k dátam pre koncových užívateľov (Qlik Sense v prípade Apoštol, MS Analysis Services Tabular Model pre Pilot DWH, resp. MS Reporting Services pre Riskhouse)</w:t>
      </w:r>
    </w:p>
    <w:p w14:paraId="4900EAB2" w14:textId="77777777" w:rsidR="00D42B04" w:rsidRPr="00D42B04" w:rsidRDefault="00D42B04" w:rsidP="00D42B04">
      <w:pPr>
        <w:numPr>
          <w:ilvl w:val="0"/>
          <w:numId w:val="4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Aplikačná vrstva BI</w:t>
      </w:r>
      <w:r w:rsidRPr="00D42B04">
        <w:rPr>
          <w:rFonts w:ascii="Cambria" w:eastAsia="Calibri" w:hAnsi="Cambria" w:cs="Arial"/>
          <w:sz w:val="22"/>
          <w:szCs w:val="22"/>
        </w:rPr>
        <w:t xml:space="preserve"> – predstavuje koncové klientske nástroje pre prístup k integrovaným dátam</w:t>
      </w:r>
    </w:p>
    <w:p w14:paraId="433882F5"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Externé zdroje</w:t>
      </w:r>
    </w:p>
    <w:p w14:paraId="6A04D81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Rôzne odbory využívajú nasledujúce externé zdroje:</w:t>
      </w:r>
    </w:p>
    <w:p w14:paraId="56E35B4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Štátna správa</w:t>
      </w:r>
    </w:p>
    <w:tbl>
      <w:tblPr>
        <w:tblStyle w:val="GridTable4-Accent52"/>
        <w:tblW w:w="8500" w:type="dxa"/>
        <w:tblLayout w:type="fixed"/>
        <w:tblLook w:val="04A0" w:firstRow="1" w:lastRow="0" w:firstColumn="1" w:lastColumn="0" w:noHBand="0" w:noVBand="1"/>
      </w:tblPr>
      <w:tblGrid>
        <w:gridCol w:w="1555"/>
        <w:gridCol w:w="2835"/>
        <w:gridCol w:w="4110"/>
      </w:tblGrid>
      <w:tr w:rsidR="00D42B04" w:rsidRPr="00D42B04" w14:paraId="4E498149" w14:textId="77777777" w:rsidTr="00D42B04">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6B307F1D" w14:textId="77777777" w:rsidR="00D42B04" w:rsidRPr="00D42B04" w:rsidRDefault="00D42B04" w:rsidP="00D42B04">
            <w:pPr>
              <w:spacing w:before="120" w:after="120"/>
              <w:jc w:val="both"/>
              <w:rPr>
                <w:rFonts w:ascii="Cambria" w:hAnsi="Cambria"/>
                <w:sz w:val="22"/>
              </w:rPr>
            </w:pPr>
            <w:r w:rsidRPr="00D42B04">
              <w:rPr>
                <w:rFonts w:ascii="Cambria" w:hAnsi="Cambria"/>
                <w:sz w:val="22"/>
              </w:rPr>
              <w:t>Označenie</w:t>
            </w:r>
          </w:p>
        </w:tc>
        <w:tc>
          <w:tcPr>
            <w:tcW w:w="2835" w:type="dxa"/>
          </w:tcPr>
          <w:p w14:paraId="3E8965B5"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c>
          <w:tcPr>
            <w:tcW w:w="4110" w:type="dxa"/>
          </w:tcPr>
          <w:p w14:paraId="380FB96E"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Komentár k používaným dátam</w:t>
            </w:r>
          </w:p>
        </w:tc>
      </w:tr>
      <w:tr w:rsidR="00D42B04" w:rsidRPr="00D42B04" w14:paraId="4F920304"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4F19C9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ŠÚ SR</w:t>
            </w:r>
          </w:p>
        </w:tc>
        <w:tc>
          <w:tcPr>
            <w:tcW w:w="2835" w:type="dxa"/>
          </w:tcPr>
          <w:p w14:paraId="741058B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Štatistický úrad SR</w:t>
            </w:r>
          </w:p>
        </w:tc>
        <w:tc>
          <w:tcPr>
            <w:tcW w:w="4110" w:type="dxa"/>
          </w:tcPr>
          <w:p w14:paraId="3228500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vybrané datasety podľa požiadaviek odborov</w:t>
            </w:r>
            <w:r w:rsidRPr="00D42B04">
              <w:rPr>
                <w:rFonts w:ascii="Cambria" w:hAnsi="Cambria"/>
                <w:sz w:val="16"/>
                <w:szCs w:val="16"/>
              </w:rPr>
              <w:br/>
            </w:r>
            <w:r w:rsidRPr="00D42B04">
              <w:rPr>
                <w:rFonts w:ascii="Cambria" w:hAnsi="Cambria"/>
                <w:sz w:val="16"/>
                <w:szCs w:val="16"/>
                <w:lang w:eastAsia="sk-SK"/>
              </w:rPr>
              <w:t>https://data.statistics.sk/api/html/help-sk.html</w:t>
            </w:r>
          </w:p>
        </w:tc>
      </w:tr>
      <w:tr w:rsidR="00D42B04" w:rsidRPr="00D42B04" w14:paraId="4D04643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F8A835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KaPor</w:t>
            </w:r>
          </w:p>
        </w:tc>
        <w:tc>
          <w:tcPr>
            <w:tcW w:w="2835" w:type="dxa"/>
          </w:tcPr>
          <w:p w14:paraId="6FDCDCF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Katastrálny portál</w:t>
            </w:r>
          </w:p>
        </w:tc>
        <w:tc>
          <w:tcPr>
            <w:tcW w:w="4110" w:type="dxa"/>
          </w:tcPr>
          <w:p w14:paraId="071508E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D42B04" w:rsidRPr="00D42B04" w14:paraId="64C8D8B5"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C85259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FR SR</w:t>
            </w:r>
          </w:p>
        </w:tc>
        <w:tc>
          <w:tcPr>
            <w:tcW w:w="2835" w:type="dxa"/>
          </w:tcPr>
          <w:p w14:paraId="5B00C22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Finančné riaditeľstvo SR</w:t>
            </w:r>
          </w:p>
        </w:tc>
        <w:tc>
          <w:tcPr>
            <w:tcW w:w="4110" w:type="dxa"/>
          </w:tcPr>
          <w:p w14:paraId="4724AB3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súbory údajov z daňových výkazov a z registrov daňových subjektov</w:t>
            </w:r>
          </w:p>
        </w:tc>
      </w:tr>
      <w:tr w:rsidR="00D42B04" w:rsidRPr="00D42B04" w14:paraId="4EE9AAEE"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82E8A6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Sociálna poisťovňa</w:t>
            </w:r>
          </w:p>
        </w:tc>
        <w:tc>
          <w:tcPr>
            <w:tcW w:w="2835" w:type="dxa"/>
          </w:tcPr>
          <w:p w14:paraId="7C801B1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Sociálna poisťovňa</w:t>
            </w:r>
          </w:p>
        </w:tc>
        <w:tc>
          <w:tcPr>
            <w:tcW w:w="4110" w:type="dxa"/>
          </w:tcPr>
          <w:p w14:paraId="599BDF0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 súčasnosti veľmi obmedzený prístup k dátam, vo vyjednávaní je dohodnutie prístupu k širším anonymizovaným dátam</w:t>
            </w:r>
          </w:p>
          <w:p w14:paraId="4BC7E6A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lang w:eastAsia="sk-SK"/>
              </w:rPr>
            </w:pPr>
            <w:r w:rsidRPr="00D42B04">
              <w:rPr>
                <w:rFonts w:ascii="Cambria" w:hAnsi="Cambria"/>
                <w:sz w:val="16"/>
                <w:szCs w:val="16"/>
                <w:lang w:eastAsia="sk-SK"/>
              </w:rPr>
              <w:t>(počty zamestnancov vo firmách, mikrodáta o poistencoch a poberateľoch dávok)</w:t>
            </w:r>
          </w:p>
        </w:tc>
      </w:tr>
      <w:tr w:rsidR="00D42B04" w:rsidRPr="00D42B04" w14:paraId="290D942D"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54F40C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Finančná správa</w:t>
            </w:r>
          </w:p>
        </w:tc>
        <w:tc>
          <w:tcPr>
            <w:tcW w:w="2835" w:type="dxa"/>
          </w:tcPr>
          <w:p w14:paraId="7C74133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Dáta z Finančnej správy na základe zmluvy </w:t>
            </w:r>
          </w:p>
        </w:tc>
        <w:tc>
          <w:tcPr>
            <w:tcW w:w="4110" w:type="dxa"/>
          </w:tcPr>
          <w:p w14:paraId="0C11FC6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u w:val="single"/>
                <w:lang w:eastAsia="sk-SK"/>
              </w:rPr>
            </w:pPr>
            <w:r w:rsidRPr="00D42B04">
              <w:rPr>
                <w:rFonts w:ascii="Cambria" w:hAnsi="Cambria"/>
                <w:sz w:val="16"/>
                <w:szCs w:val="16"/>
                <w:lang w:eastAsia="sk-SK"/>
              </w:rPr>
              <w:t>mesačné agregáty, daňové priznania PO a FO k dani z príjmov – mikrodáta - ročné, daňové priznania DPH mikrodáta – mesačné a kvartálne</w:t>
            </w:r>
          </w:p>
        </w:tc>
      </w:tr>
      <w:tr w:rsidR="00D42B04" w:rsidRPr="00D42B04" w14:paraId="3FBB8FC8"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8FA4D21"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Register trestov</w:t>
            </w:r>
          </w:p>
        </w:tc>
        <w:tc>
          <w:tcPr>
            <w:tcW w:w="2835" w:type="dxa"/>
          </w:tcPr>
          <w:p w14:paraId="056DA91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oversi.gov.sk</w:t>
            </w:r>
          </w:p>
        </w:tc>
        <w:tc>
          <w:tcPr>
            <w:tcW w:w="4110" w:type="dxa"/>
          </w:tcPr>
          <w:p w14:paraId="5AFD3A8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D42B04" w:rsidRPr="00D42B04" w14:paraId="319DC7CD"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987C8B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 xml:space="preserve">Štátna pokladnica </w:t>
            </w:r>
          </w:p>
        </w:tc>
        <w:tc>
          <w:tcPr>
            <w:tcW w:w="2835" w:type="dxa"/>
          </w:tcPr>
          <w:p w14:paraId="092C054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 </w:t>
            </w:r>
          </w:p>
        </w:tc>
        <w:tc>
          <w:tcPr>
            <w:tcW w:w="4110" w:type="dxa"/>
          </w:tcPr>
          <w:p w14:paraId="78D229E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i/>
                <w:iCs/>
                <w:sz w:val="16"/>
                <w:szCs w:val="16"/>
                <w:lang w:eastAsia="sk-SK"/>
              </w:rPr>
            </w:pPr>
            <w:r w:rsidRPr="00D42B04">
              <w:rPr>
                <w:rFonts w:ascii="Cambria" w:hAnsi="Cambria"/>
                <w:sz w:val="16"/>
                <w:szCs w:val="16"/>
                <w:lang w:eastAsia="sk-SK"/>
              </w:rPr>
              <w:t>dáta o plnení verejných rozpočtov, ručne sťahované a integrované v AŠI databáze</w:t>
            </w:r>
          </w:p>
        </w:tc>
      </w:tr>
      <w:tr w:rsidR="00D42B04" w:rsidRPr="00D42B04" w14:paraId="0D73EDB9"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D06D15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Ardal</w:t>
            </w:r>
          </w:p>
        </w:tc>
        <w:tc>
          <w:tcPr>
            <w:tcW w:w="2835" w:type="dxa"/>
          </w:tcPr>
          <w:p w14:paraId="59992C6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Agentúra pre riadenie dlhu a likvidity</w:t>
            </w:r>
          </w:p>
        </w:tc>
        <w:tc>
          <w:tcPr>
            <w:tcW w:w="4110" w:type="dxa"/>
          </w:tcPr>
          <w:p w14:paraId="644A322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Výmena údajov na základe zmluvy cez SFTP úložisko</w:t>
            </w:r>
          </w:p>
        </w:tc>
      </w:tr>
      <w:tr w:rsidR="00D42B04" w:rsidRPr="00D42B04" w14:paraId="17FFF159"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37391F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Eurofondy</w:t>
            </w:r>
          </w:p>
        </w:tc>
        <w:tc>
          <w:tcPr>
            <w:tcW w:w="2835" w:type="dxa"/>
          </w:tcPr>
          <w:p w14:paraId="73B3C70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Systém ITMS 2014+</w:t>
            </w:r>
          </w:p>
        </w:tc>
        <w:tc>
          <w:tcPr>
            <w:tcW w:w="4110" w:type="dxa"/>
          </w:tcPr>
          <w:p w14:paraId="52E78C5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OEM využíva 1 dataset cez API prevolávané z Matlab a odkladané do lokálnej databázy</w:t>
            </w:r>
          </w:p>
        </w:tc>
      </w:tr>
      <w:tr w:rsidR="00D42B04" w:rsidRPr="00D42B04" w14:paraId="33D6C4AC"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0DAB3F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SILC</w:t>
            </w:r>
          </w:p>
        </w:tc>
        <w:tc>
          <w:tcPr>
            <w:tcW w:w="2835" w:type="dxa"/>
          </w:tcPr>
          <w:p w14:paraId="7136829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Survey of Income and Living Conditions</w:t>
            </w:r>
          </w:p>
        </w:tc>
        <w:tc>
          <w:tcPr>
            <w:tcW w:w="4110" w:type="dxa"/>
          </w:tcPr>
          <w:p w14:paraId="533BAFD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Dáta prieskumu o vývoji príjmov a životných podmienok domácností od ŠÚ SR – manuálny vstup</w:t>
            </w:r>
          </w:p>
        </w:tc>
      </w:tr>
      <w:tr w:rsidR="00D42B04" w:rsidRPr="00D42B04" w14:paraId="1AFBDF37"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143B8F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Vzorka podnikov</w:t>
            </w:r>
          </w:p>
        </w:tc>
        <w:tc>
          <w:tcPr>
            <w:tcW w:w="2835" w:type="dxa"/>
          </w:tcPr>
          <w:p w14:paraId="2E1C150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Zjednodušené finančné výkazy pre vzorku cca 5000 podnikov</w:t>
            </w:r>
          </w:p>
        </w:tc>
        <w:tc>
          <w:tcPr>
            <w:tcW w:w="4110" w:type="dxa"/>
          </w:tcPr>
          <w:p w14:paraId="065F8EF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súbor posielaný zo ŠÚ SR cez SFTP</w:t>
            </w:r>
          </w:p>
        </w:tc>
      </w:tr>
      <w:tr w:rsidR="00D42B04" w:rsidRPr="00D42B04" w14:paraId="622CA848"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BAEF9C7"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eKasa</w:t>
            </w:r>
          </w:p>
        </w:tc>
        <w:tc>
          <w:tcPr>
            <w:tcW w:w="2835" w:type="dxa"/>
          </w:tcPr>
          <w:p w14:paraId="12B114F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Dáta o tržbách podnikov</w:t>
            </w:r>
            <w:r w:rsidRPr="00D42B04">
              <w:rPr>
                <w:rFonts w:ascii="Cambria" w:hAnsi="Cambria"/>
                <w:sz w:val="16"/>
                <w:szCs w:val="16"/>
                <w:lang w:eastAsia="sk-SK"/>
              </w:rPr>
              <w:br/>
              <w:t>z Finančnej správy</w:t>
            </w:r>
          </w:p>
        </w:tc>
        <w:tc>
          <w:tcPr>
            <w:tcW w:w="4110" w:type="dxa"/>
          </w:tcPr>
          <w:p w14:paraId="2E7F3BF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Atomické anonymizované dáta; dnes prenos e-mailom</w:t>
            </w:r>
          </w:p>
        </w:tc>
      </w:tr>
      <w:tr w:rsidR="00D42B04" w:rsidRPr="00D42B04" w14:paraId="55934B8B"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640B06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Počty sporiteľov</w:t>
            </w:r>
          </w:p>
        </w:tc>
        <w:tc>
          <w:tcPr>
            <w:tcW w:w="2835" w:type="dxa"/>
          </w:tcPr>
          <w:p w14:paraId="5ABCBFA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Štatistika MPSVaR o počtoch klientov a objeme príspevkov</w:t>
            </w:r>
          </w:p>
        </w:tc>
        <w:tc>
          <w:tcPr>
            <w:tcW w:w="4110" w:type="dxa"/>
          </w:tcPr>
          <w:p w14:paraId="161242A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za každú DSS polročne - manuálny vstup</w:t>
            </w:r>
          </w:p>
        </w:tc>
      </w:tr>
    </w:tbl>
    <w:p w14:paraId="0EC5F5A8"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21" w:name="_Toc97562272"/>
      <w:bookmarkStart w:id="122" w:name="_Toc103177423"/>
      <w:r w:rsidRPr="00D42B04">
        <w:rPr>
          <w:rFonts w:ascii="Cambria" w:eastAsia="Calibri" w:hAnsi="Cambria" w:cs="Arial"/>
          <w:i/>
          <w:iCs/>
          <w:color w:val="44546A"/>
          <w:sz w:val="18"/>
          <w:szCs w:val="18"/>
        </w:rPr>
        <w:lastRenderedPageBreak/>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5</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externých zdrojov – štátna správa</w:t>
      </w:r>
      <w:bookmarkEnd w:id="121"/>
      <w:bookmarkEnd w:id="122"/>
    </w:p>
    <w:p w14:paraId="5B6DDF8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Verejné registre</w:t>
      </w:r>
    </w:p>
    <w:tbl>
      <w:tblPr>
        <w:tblStyle w:val="GridTable4-Accent52"/>
        <w:tblW w:w="8500" w:type="dxa"/>
        <w:tblLayout w:type="fixed"/>
        <w:tblLook w:val="04A0" w:firstRow="1" w:lastRow="0" w:firstColumn="1" w:lastColumn="0" w:noHBand="0" w:noVBand="1"/>
      </w:tblPr>
      <w:tblGrid>
        <w:gridCol w:w="1555"/>
        <w:gridCol w:w="2835"/>
        <w:gridCol w:w="4110"/>
      </w:tblGrid>
      <w:tr w:rsidR="00D42B04" w:rsidRPr="00D42B04" w14:paraId="6FAED83C" w14:textId="77777777" w:rsidTr="00D42B0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21264D43" w14:textId="77777777" w:rsidR="00D42B04" w:rsidRPr="00D42B04" w:rsidRDefault="00D42B04" w:rsidP="00D42B04">
            <w:pPr>
              <w:spacing w:before="120" w:after="120"/>
              <w:jc w:val="both"/>
              <w:rPr>
                <w:rFonts w:ascii="Cambria" w:hAnsi="Cambria"/>
                <w:sz w:val="22"/>
              </w:rPr>
            </w:pPr>
            <w:r w:rsidRPr="00D42B04">
              <w:rPr>
                <w:rFonts w:ascii="Cambria" w:hAnsi="Cambria"/>
                <w:sz w:val="22"/>
              </w:rPr>
              <w:t>Označenie</w:t>
            </w:r>
          </w:p>
        </w:tc>
        <w:tc>
          <w:tcPr>
            <w:tcW w:w="2835" w:type="dxa"/>
          </w:tcPr>
          <w:p w14:paraId="556ED4C9"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c>
          <w:tcPr>
            <w:tcW w:w="4110" w:type="dxa"/>
          </w:tcPr>
          <w:p w14:paraId="17E60DDF"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Komentár k používaným dátam</w:t>
            </w:r>
          </w:p>
        </w:tc>
      </w:tr>
      <w:tr w:rsidR="00D42B04" w:rsidRPr="00D42B04" w14:paraId="4F2DF070"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1AA66CA"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RÚZ</w:t>
            </w:r>
          </w:p>
        </w:tc>
        <w:tc>
          <w:tcPr>
            <w:tcW w:w="2835" w:type="dxa"/>
          </w:tcPr>
          <w:p w14:paraId="213629E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Register účtovných závierok</w:t>
            </w:r>
          </w:p>
        </w:tc>
        <w:tc>
          <w:tcPr>
            <w:tcW w:w="4110" w:type="dxa"/>
          </w:tcPr>
          <w:p w14:paraId="35F33B1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1x/mesiac automatický download do RS</w:t>
            </w:r>
          </w:p>
        </w:tc>
      </w:tr>
      <w:tr w:rsidR="00D42B04" w:rsidRPr="00D42B04" w14:paraId="31E7BC0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06DDCC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 xml:space="preserve">RPO </w:t>
            </w:r>
          </w:p>
        </w:tc>
        <w:tc>
          <w:tcPr>
            <w:tcW w:w="2835" w:type="dxa"/>
          </w:tcPr>
          <w:p w14:paraId="01BC250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Register právnických osôb</w:t>
            </w:r>
          </w:p>
        </w:tc>
        <w:tc>
          <w:tcPr>
            <w:tcW w:w="4110" w:type="dxa"/>
          </w:tcPr>
          <w:p w14:paraId="29E42EE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primárny zdroj Registra subjektov (denná synchronizácia); využívané aj na jednotlivých odboroch</w:t>
            </w:r>
          </w:p>
        </w:tc>
      </w:tr>
      <w:tr w:rsidR="00D42B04" w:rsidRPr="00D42B04" w14:paraId="3951D445"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224D87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RO</w:t>
            </w:r>
          </w:p>
        </w:tc>
        <w:tc>
          <w:tcPr>
            <w:tcW w:w="2835" w:type="dxa"/>
          </w:tcPr>
          <w:p w14:paraId="7A91467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Register organizácií</w:t>
            </w:r>
          </w:p>
        </w:tc>
        <w:tc>
          <w:tcPr>
            <w:tcW w:w="4110" w:type="dxa"/>
          </w:tcPr>
          <w:p w14:paraId="3249190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zdroj Registra subjektov</w:t>
            </w:r>
          </w:p>
        </w:tc>
      </w:tr>
      <w:tr w:rsidR="00D42B04" w:rsidRPr="00D42B04" w14:paraId="31AFD13E"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34933C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Gleif</w:t>
            </w:r>
          </w:p>
        </w:tc>
        <w:tc>
          <w:tcPr>
            <w:tcW w:w="2835" w:type="dxa"/>
          </w:tcPr>
          <w:p w14:paraId="7A545BE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GLEIF - Global Legal Entity Identifier Foundation</w:t>
            </w:r>
          </w:p>
        </w:tc>
        <w:tc>
          <w:tcPr>
            <w:tcW w:w="4110" w:type="dxa"/>
          </w:tcPr>
          <w:p w14:paraId="11562AA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b/>
                <w:bCs/>
                <w:sz w:val="16"/>
                <w:szCs w:val="16"/>
                <w:lang w:eastAsia="sk-SK"/>
              </w:rPr>
            </w:pPr>
            <w:r w:rsidRPr="00D42B04">
              <w:rPr>
                <w:rFonts w:ascii="Cambria" w:hAnsi="Cambria"/>
                <w:sz w:val="16"/>
                <w:szCs w:val="16"/>
                <w:lang w:eastAsia="sk-SK"/>
              </w:rPr>
              <w:t>zdroj Registra subjektov</w:t>
            </w:r>
          </w:p>
        </w:tc>
      </w:tr>
      <w:tr w:rsidR="00D42B04" w:rsidRPr="00D42B04" w14:paraId="499BA954"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0FAF95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RPVS</w:t>
            </w:r>
          </w:p>
        </w:tc>
        <w:tc>
          <w:tcPr>
            <w:tcW w:w="2835" w:type="dxa"/>
          </w:tcPr>
          <w:p w14:paraId="773B37F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Register partnerov verejného sektora</w:t>
            </w:r>
          </w:p>
        </w:tc>
        <w:tc>
          <w:tcPr>
            <w:tcW w:w="4110" w:type="dxa"/>
          </w:tcPr>
          <w:p w14:paraId="35DF10F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aktuálne využívané pri AML validáciách protistrán</w:t>
            </w:r>
            <w:r w:rsidRPr="00D42B04">
              <w:rPr>
                <w:rFonts w:ascii="Cambria" w:hAnsi="Cambria"/>
                <w:sz w:val="16"/>
                <w:szCs w:val="16"/>
              </w:rPr>
              <w:t xml:space="preserve"> </w:t>
            </w:r>
            <w:hyperlink r:id="rId22" w:history="1">
              <w:r w:rsidRPr="00D42B04">
                <w:rPr>
                  <w:rFonts w:ascii="Cambria" w:hAnsi="Cambria"/>
                  <w:sz w:val="16"/>
                  <w:szCs w:val="16"/>
                  <w:lang w:eastAsia="sk-SK"/>
                </w:rPr>
                <w:t>https://rpvs.gov.sk/OpenData/swagger/ui/index</w:t>
              </w:r>
            </w:hyperlink>
          </w:p>
        </w:tc>
      </w:tr>
      <w:tr w:rsidR="00D42B04" w:rsidRPr="00D42B04" w14:paraId="1DBF5897"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3BBD92C"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ŽR SR</w:t>
            </w:r>
          </w:p>
        </w:tc>
        <w:tc>
          <w:tcPr>
            <w:tcW w:w="2835" w:type="dxa"/>
          </w:tcPr>
          <w:p w14:paraId="08876F2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Živnostenský register</w:t>
            </w:r>
          </w:p>
        </w:tc>
        <w:tc>
          <w:tcPr>
            <w:tcW w:w="4110" w:type="dxa"/>
          </w:tcPr>
          <w:p w14:paraId="4EBF58D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bl>
    <w:p w14:paraId="50B66CB3"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23" w:name="_Toc97562273"/>
      <w:bookmarkStart w:id="124" w:name="_Toc103177424"/>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6</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externých zdrojov – verejné registre</w:t>
      </w:r>
      <w:bookmarkEnd w:id="123"/>
      <w:bookmarkEnd w:id="124"/>
    </w:p>
    <w:p w14:paraId="0174F2B0"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EÚ</w:t>
      </w:r>
    </w:p>
    <w:tbl>
      <w:tblPr>
        <w:tblStyle w:val="GridTable4-Accent52"/>
        <w:tblW w:w="8500" w:type="dxa"/>
        <w:tblLayout w:type="fixed"/>
        <w:tblLook w:val="04A0" w:firstRow="1" w:lastRow="0" w:firstColumn="1" w:lastColumn="0" w:noHBand="0" w:noVBand="1"/>
      </w:tblPr>
      <w:tblGrid>
        <w:gridCol w:w="1555"/>
        <w:gridCol w:w="2835"/>
        <w:gridCol w:w="4110"/>
      </w:tblGrid>
      <w:tr w:rsidR="00D42B04" w:rsidRPr="00D42B04" w14:paraId="1B409F5D" w14:textId="77777777" w:rsidTr="00D42B0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7E8EED60" w14:textId="77777777" w:rsidR="00D42B04" w:rsidRPr="00D42B04" w:rsidRDefault="00D42B04" w:rsidP="00D42B04">
            <w:pPr>
              <w:spacing w:before="120" w:after="120"/>
              <w:jc w:val="both"/>
              <w:rPr>
                <w:rFonts w:ascii="Cambria" w:hAnsi="Cambria"/>
                <w:sz w:val="22"/>
              </w:rPr>
            </w:pPr>
            <w:r w:rsidRPr="00D42B04">
              <w:rPr>
                <w:rFonts w:ascii="Cambria" w:hAnsi="Cambria"/>
                <w:sz w:val="22"/>
              </w:rPr>
              <w:t>Označenie</w:t>
            </w:r>
          </w:p>
        </w:tc>
        <w:tc>
          <w:tcPr>
            <w:tcW w:w="2835" w:type="dxa"/>
          </w:tcPr>
          <w:p w14:paraId="4C3578DB"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c>
          <w:tcPr>
            <w:tcW w:w="4110" w:type="dxa"/>
          </w:tcPr>
          <w:p w14:paraId="3A6A4E0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Komentár k používaným dátam</w:t>
            </w:r>
          </w:p>
        </w:tc>
      </w:tr>
      <w:tr w:rsidR="00D42B04" w:rsidRPr="00D42B04" w14:paraId="59485F26"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92E8270" w14:textId="77777777" w:rsidR="00D42B04" w:rsidRPr="00D42B04" w:rsidRDefault="00D42B04" w:rsidP="00D42B04">
            <w:pPr>
              <w:spacing w:before="120" w:after="120"/>
              <w:jc w:val="both"/>
              <w:rPr>
                <w:rFonts w:ascii="Cambria" w:hAnsi="Cambria" w:cs="Calibri"/>
                <w:sz w:val="16"/>
                <w:szCs w:val="16"/>
              </w:rPr>
            </w:pPr>
            <w:r w:rsidRPr="00D42B04">
              <w:rPr>
                <w:rFonts w:ascii="Cambria" w:hAnsi="Cambria"/>
                <w:sz w:val="16"/>
                <w:szCs w:val="16"/>
                <w:lang w:eastAsia="sk-SK"/>
              </w:rPr>
              <w:t>ECB SDW</w:t>
            </w:r>
          </w:p>
        </w:tc>
        <w:tc>
          <w:tcPr>
            <w:tcW w:w="2835" w:type="dxa"/>
          </w:tcPr>
          <w:p w14:paraId="284EB96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b/>
                <w:sz w:val="16"/>
                <w:szCs w:val="16"/>
              </w:rPr>
            </w:pPr>
            <w:r w:rsidRPr="00D42B04">
              <w:rPr>
                <w:rFonts w:ascii="Cambria" w:hAnsi="Cambria"/>
                <w:sz w:val="16"/>
                <w:szCs w:val="16"/>
                <w:lang w:eastAsia="sk-SK"/>
              </w:rPr>
              <w:t>ECB Statistical Data Warehouse</w:t>
            </w:r>
          </w:p>
        </w:tc>
        <w:tc>
          <w:tcPr>
            <w:tcW w:w="4110" w:type="dxa"/>
          </w:tcPr>
          <w:p w14:paraId="6F2AD55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b/>
                <w:sz w:val="16"/>
                <w:szCs w:val="16"/>
              </w:rPr>
            </w:pPr>
            <w:r w:rsidRPr="00D42B04">
              <w:rPr>
                <w:rFonts w:ascii="Cambria" w:hAnsi="Cambria"/>
                <w:sz w:val="16"/>
                <w:szCs w:val="16"/>
                <w:lang w:eastAsia="sk-SK"/>
              </w:rPr>
              <w:t>všetky datasety kde figuruje krajina "SK"</w:t>
            </w:r>
          </w:p>
        </w:tc>
      </w:tr>
      <w:tr w:rsidR="00D42B04" w:rsidRPr="00D42B04" w14:paraId="57D338FD"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8771324" w14:textId="77777777" w:rsidR="00D42B04" w:rsidRPr="00D42B04" w:rsidRDefault="00D42B04" w:rsidP="00D42B04">
            <w:pPr>
              <w:spacing w:before="120" w:after="120"/>
              <w:jc w:val="both"/>
              <w:rPr>
                <w:rFonts w:ascii="Cambria" w:hAnsi="Cambria" w:cs="Calibri"/>
                <w:sz w:val="16"/>
                <w:szCs w:val="16"/>
              </w:rPr>
            </w:pPr>
            <w:r w:rsidRPr="00D42B04">
              <w:rPr>
                <w:rFonts w:ascii="Cambria" w:hAnsi="Cambria"/>
                <w:sz w:val="16"/>
                <w:szCs w:val="16"/>
                <w:lang w:eastAsia="sk-SK"/>
              </w:rPr>
              <w:t>KL</w:t>
            </w:r>
          </w:p>
        </w:tc>
        <w:tc>
          <w:tcPr>
            <w:tcW w:w="2835" w:type="dxa"/>
          </w:tcPr>
          <w:p w14:paraId="1B2619D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b/>
                <w:sz w:val="16"/>
                <w:szCs w:val="16"/>
              </w:rPr>
            </w:pPr>
            <w:r w:rsidRPr="00D42B04">
              <w:rPr>
                <w:rFonts w:ascii="Cambria" w:hAnsi="Cambria"/>
                <w:sz w:val="16"/>
                <w:szCs w:val="16"/>
                <w:lang w:eastAsia="sk-SK"/>
              </w:rPr>
              <w:t>Kurzový lístok ECB</w:t>
            </w:r>
          </w:p>
        </w:tc>
        <w:tc>
          <w:tcPr>
            <w:tcW w:w="4110" w:type="dxa"/>
          </w:tcPr>
          <w:p w14:paraId="1FBAAED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D42B04" w:rsidRPr="00D42B04" w14:paraId="6065D353"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D3E208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ESMA</w:t>
            </w:r>
          </w:p>
        </w:tc>
        <w:tc>
          <w:tcPr>
            <w:tcW w:w="2835" w:type="dxa"/>
          </w:tcPr>
          <w:p w14:paraId="33735E2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European Securities and Market Authority</w:t>
            </w:r>
          </w:p>
        </w:tc>
        <w:tc>
          <w:tcPr>
            <w:tcW w:w="4110" w:type="dxa"/>
          </w:tcPr>
          <w:p w14:paraId="6BEF8FA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údaje zo systémov TREM, FIRDS, FITRS, EMIR a SFTR  (XML ISO 200022) + shortselling, Registre ESMA (XML dáta) – veľké dáta, v súčasnosti prebieha problematické ručné spracovanie</w:t>
            </w:r>
          </w:p>
        </w:tc>
      </w:tr>
      <w:tr w:rsidR="00D42B04" w:rsidRPr="00D42B04" w14:paraId="0E83EF3D"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D690E1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CSDB</w:t>
            </w:r>
          </w:p>
        </w:tc>
        <w:tc>
          <w:tcPr>
            <w:tcW w:w="2835" w:type="dxa"/>
          </w:tcPr>
          <w:p w14:paraId="024D5FC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Centralised Securities Database - databáza cenných papierov</w:t>
            </w:r>
          </w:p>
        </w:tc>
        <w:tc>
          <w:tcPr>
            <w:tcW w:w="4110" w:type="dxa"/>
          </w:tcPr>
          <w:p w14:paraId="6D5FC7E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4x CSV export manuálne stiahnutý 1x/mesiac do Apoštol</w:t>
            </w:r>
          </w:p>
        </w:tc>
      </w:tr>
      <w:tr w:rsidR="00D42B04" w:rsidRPr="00D42B04" w14:paraId="2E82A89A"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67DC24F"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Eurostat</w:t>
            </w:r>
          </w:p>
        </w:tc>
        <w:tc>
          <w:tcPr>
            <w:tcW w:w="2835" w:type="dxa"/>
          </w:tcPr>
          <w:p w14:paraId="5194580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Štatistický úrad EÚ</w:t>
            </w:r>
          </w:p>
        </w:tc>
        <w:tc>
          <w:tcPr>
            <w:tcW w:w="4110" w:type="dxa"/>
          </w:tcPr>
          <w:p w14:paraId="4301937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b/>
                <w:bCs/>
                <w:color w:val="FF0000"/>
                <w:sz w:val="16"/>
                <w:szCs w:val="16"/>
                <w:lang w:eastAsia="sk-SK"/>
              </w:rPr>
            </w:pPr>
            <w:r w:rsidRPr="00D42B04">
              <w:rPr>
                <w:rFonts w:ascii="Cambria" w:hAnsi="Cambria"/>
                <w:sz w:val="16"/>
                <w:szCs w:val="16"/>
                <w:lang w:eastAsia="sk-SK"/>
              </w:rPr>
              <w:t>štatistiky na európskej úrovni, ktoré umožňujú porovnávanie medzi krajinami a regiónmi</w:t>
            </w:r>
          </w:p>
        </w:tc>
      </w:tr>
      <w:tr w:rsidR="00D42B04" w:rsidRPr="00D42B04" w14:paraId="7E8D7349"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58ADF27"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SHSDB</w:t>
            </w:r>
          </w:p>
        </w:tc>
        <w:tc>
          <w:tcPr>
            <w:tcW w:w="2835" w:type="dxa"/>
          </w:tcPr>
          <w:p w14:paraId="1B9FD8C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 xml:space="preserve">Securities Holdings Statistics Database - </w:t>
            </w:r>
            <w:r w:rsidRPr="00D42B04">
              <w:rPr>
                <w:rFonts w:ascii="Cambria" w:hAnsi="Cambria"/>
                <w:color w:val="000000"/>
                <w:sz w:val="16"/>
                <w:szCs w:val="16"/>
                <w:lang w:eastAsia="sk-SK"/>
              </w:rPr>
              <w:t>databáza držby cenných papierov</w:t>
            </w:r>
          </w:p>
        </w:tc>
        <w:tc>
          <w:tcPr>
            <w:tcW w:w="4110" w:type="dxa"/>
          </w:tcPr>
          <w:p w14:paraId="5E4B01B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dáta zo SHSDB 1x za mesiac stiahnuté ručne cez Lotus Notes a nahraté do Apoštolu</w:t>
            </w:r>
          </w:p>
        </w:tc>
      </w:tr>
      <w:tr w:rsidR="00D42B04" w:rsidRPr="00D42B04" w14:paraId="0777C903"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38CC55D"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ECB/FIS</w:t>
            </w:r>
          </w:p>
        </w:tc>
        <w:tc>
          <w:tcPr>
            <w:tcW w:w="2835" w:type="dxa"/>
          </w:tcPr>
          <w:p w14:paraId="1A7C2E6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 </w:t>
            </w:r>
          </w:p>
        </w:tc>
        <w:tc>
          <w:tcPr>
            <w:tcW w:w="4110" w:type="dxa"/>
          </w:tcPr>
          <w:p w14:paraId="290D8A1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bl>
    <w:p w14:paraId="19672918"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25" w:name="_Toc97562274"/>
      <w:bookmarkStart w:id="126" w:name="_Toc103177425"/>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7</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externých zdrojov – EÚ</w:t>
      </w:r>
      <w:bookmarkEnd w:id="125"/>
      <w:bookmarkEnd w:id="126"/>
    </w:p>
    <w:p w14:paraId="25A04F9E"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Zdroje ekonomických informácií</w:t>
      </w:r>
    </w:p>
    <w:tbl>
      <w:tblPr>
        <w:tblStyle w:val="GridTable4-Accent52"/>
        <w:tblW w:w="8500" w:type="dxa"/>
        <w:tblLayout w:type="fixed"/>
        <w:tblLook w:val="04A0" w:firstRow="1" w:lastRow="0" w:firstColumn="1" w:lastColumn="0" w:noHBand="0" w:noVBand="1"/>
      </w:tblPr>
      <w:tblGrid>
        <w:gridCol w:w="1555"/>
        <w:gridCol w:w="2835"/>
        <w:gridCol w:w="4110"/>
      </w:tblGrid>
      <w:tr w:rsidR="00D42B04" w:rsidRPr="00D42B04" w14:paraId="3E3D2655" w14:textId="77777777" w:rsidTr="00D42B0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121B2855" w14:textId="77777777" w:rsidR="00D42B04" w:rsidRPr="00D42B04" w:rsidRDefault="00D42B04" w:rsidP="00D42B04">
            <w:pPr>
              <w:keepNext/>
              <w:spacing w:before="120" w:after="120"/>
              <w:jc w:val="both"/>
              <w:rPr>
                <w:rFonts w:ascii="Cambria" w:hAnsi="Cambria"/>
                <w:sz w:val="22"/>
              </w:rPr>
            </w:pPr>
            <w:r w:rsidRPr="00D42B04">
              <w:rPr>
                <w:rFonts w:ascii="Cambria" w:hAnsi="Cambria"/>
                <w:sz w:val="22"/>
              </w:rPr>
              <w:t>Označenie</w:t>
            </w:r>
          </w:p>
        </w:tc>
        <w:tc>
          <w:tcPr>
            <w:tcW w:w="2835" w:type="dxa"/>
          </w:tcPr>
          <w:p w14:paraId="36E706BE"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c>
          <w:tcPr>
            <w:tcW w:w="4110" w:type="dxa"/>
          </w:tcPr>
          <w:p w14:paraId="57FA73E6"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Komentár k používaným dátam</w:t>
            </w:r>
          </w:p>
        </w:tc>
      </w:tr>
      <w:tr w:rsidR="00D42B04" w:rsidRPr="00D42B04" w14:paraId="2DC8531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AF4544F"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Bloomberg</w:t>
            </w:r>
          </w:p>
        </w:tc>
        <w:tc>
          <w:tcPr>
            <w:tcW w:w="2835" w:type="dxa"/>
          </w:tcPr>
          <w:p w14:paraId="1A5334D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Bloomberg</w:t>
            </w:r>
          </w:p>
        </w:tc>
        <w:tc>
          <w:tcPr>
            <w:tcW w:w="4110" w:type="dxa"/>
          </w:tcPr>
          <w:p w14:paraId="051EE34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prístup cez Excel plug-in</w:t>
            </w:r>
          </w:p>
          <w:p w14:paraId="0D0256C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očakáva sa možnosť flexibilného rozširovania požiadaviek na preberanie údajov z Bloomberg (API)</w:t>
            </w:r>
          </w:p>
        </w:tc>
      </w:tr>
      <w:tr w:rsidR="00D42B04" w:rsidRPr="00D42B04" w14:paraId="3B3E8629"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92916D6"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Bisnode</w:t>
            </w:r>
          </w:p>
        </w:tc>
        <w:tc>
          <w:tcPr>
            <w:tcW w:w="2835" w:type="dxa"/>
          </w:tcPr>
          <w:p w14:paraId="385DFC6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Bisnode - poskytovateľ digitálnych obchodných informácií</w:t>
            </w:r>
          </w:p>
        </w:tc>
        <w:tc>
          <w:tcPr>
            <w:tcW w:w="4110" w:type="dxa"/>
          </w:tcPr>
          <w:p w14:paraId="08A84A7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u w:val="single"/>
                <w:lang w:eastAsia="sk-SK"/>
              </w:rPr>
            </w:pPr>
            <w:r w:rsidRPr="00D42B04">
              <w:rPr>
                <w:rFonts w:ascii="Cambria" w:hAnsi="Cambria"/>
                <w:sz w:val="16"/>
                <w:szCs w:val="16"/>
                <w:lang w:eastAsia="sk-SK"/>
              </w:rPr>
              <w:t>závierky vo formáte CSV cez http; 1x/mesiac do platformy Apoštol; ďalej údaje o konkurzoch a iné podnikové mikrodáta</w:t>
            </w:r>
          </w:p>
        </w:tc>
      </w:tr>
      <w:tr w:rsidR="00D42B04" w:rsidRPr="00D42B04" w14:paraId="4F55D461"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8ADAA2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CRIBIS</w:t>
            </w:r>
          </w:p>
        </w:tc>
        <w:tc>
          <w:tcPr>
            <w:tcW w:w="2835" w:type="dxa"/>
          </w:tcPr>
          <w:p w14:paraId="6966BE5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CRIBIS - Register informácií o firmách, majetkové a personálne prepojenia</w:t>
            </w:r>
          </w:p>
        </w:tc>
        <w:tc>
          <w:tcPr>
            <w:tcW w:w="4110" w:type="dxa"/>
          </w:tcPr>
          <w:p w14:paraId="25A1E83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D42B04" w:rsidRPr="00D42B04" w14:paraId="62088188"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AC15DA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Reuters / Refinitiv</w:t>
            </w:r>
          </w:p>
        </w:tc>
        <w:tc>
          <w:tcPr>
            <w:tcW w:w="2835" w:type="dxa"/>
          </w:tcPr>
          <w:p w14:paraId="57320C3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Najväčší poskytovateľ multimediálneho spravodajstva na svete</w:t>
            </w:r>
          </w:p>
        </w:tc>
        <w:tc>
          <w:tcPr>
            <w:tcW w:w="4110" w:type="dxa"/>
          </w:tcPr>
          <w:p w14:paraId="360C215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Používaný pre monitoring spravodajstva.</w:t>
            </w:r>
          </w:p>
          <w:p w14:paraId="0A68657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nie sú k dispozícii konkrétne požiadavky na integráciu</w:t>
            </w:r>
          </w:p>
        </w:tc>
      </w:tr>
      <w:tr w:rsidR="00D42B04" w:rsidRPr="00D42B04" w14:paraId="44E33D59"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B5E244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Tradeweb</w:t>
            </w:r>
          </w:p>
        </w:tc>
        <w:tc>
          <w:tcPr>
            <w:tcW w:w="2835" w:type="dxa"/>
          </w:tcPr>
          <w:p w14:paraId="65A3C5B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elektronické mimoburzové trhy na obchodovanie s produktmi s pevným výnosom, ETF a derivátmi</w:t>
            </w:r>
          </w:p>
        </w:tc>
        <w:tc>
          <w:tcPr>
            <w:tcW w:w="4110" w:type="dxa"/>
          </w:tcPr>
          <w:p w14:paraId="56E5B1C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D42B04" w:rsidRPr="00D42B04" w14:paraId="35E59F1A"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CB54F6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Macrobond</w:t>
            </w:r>
          </w:p>
        </w:tc>
        <w:tc>
          <w:tcPr>
            <w:tcW w:w="2835" w:type="dxa"/>
          </w:tcPr>
          <w:p w14:paraId="32B50F7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Integrátor finančných a ekonomických dát</w:t>
            </w:r>
          </w:p>
        </w:tc>
        <w:tc>
          <w:tcPr>
            <w:tcW w:w="4110" w:type="dxa"/>
          </w:tcPr>
          <w:p w14:paraId="671F46A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Ad-hoc dáta pre potreby ekonomických analýz pre OEM</w:t>
            </w:r>
          </w:p>
        </w:tc>
      </w:tr>
      <w:tr w:rsidR="00D42B04" w:rsidRPr="00D42B04" w14:paraId="34744788"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51571A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CRN</w:t>
            </w:r>
          </w:p>
        </w:tc>
        <w:tc>
          <w:tcPr>
            <w:tcW w:w="2835" w:type="dxa"/>
          </w:tcPr>
          <w:p w14:paraId="62B5D8E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Ceny rezidenčných nehnuteľností</w:t>
            </w:r>
          </w:p>
        </w:tc>
        <w:tc>
          <w:tcPr>
            <w:tcW w:w="4110" w:type="dxa"/>
          </w:tcPr>
          <w:p w14:paraId="754EE97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XLS, štruktúrované dáta, cca 100 záznamov,</w:t>
            </w:r>
          </w:p>
          <w:p w14:paraId="6F5F420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manuálne poskytované / kvartálne</w:t>
            </w:r>
          </w:p>
        </w:tc>
      </w:tr>
      <w:tr w:rsidR="00D42B04" w:rsidRPr="00D42B04" w14:paraId="18E4C3E7"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BE8E92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United Classifieds</w:t>
            </w:r>
          </w:p>
        </w:tc>
        <w:tc>
          <w:tcPr>
            <w:tcW w:w="2835" w:type="dxa"/>
          </w:tcPr>
          <w:p w14:paraId="614622B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Spoločnosť poskytujúca online inzerciu (nehnuteľnosti)</w:t>
            </w:r>
          </w:p>
        </w:tc>
        <w:tc>
          <w:tcPr>
            <w:tcW w:w="4110" w:type="dxa"/>
          </w:tcPr>
          <w:p w14:paraId="5AAF79E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Dáta o cenách nehnuteľností na sekundárnom trhu, štruktúrované dáta v CSV</w:t>
            </w:r>
          </w:p>
        </w:tc>
      </w:tr>
    </w:tbl>
    <w:p w14:paraId="1B3C29BF"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27" w:name="_Toc97562275"/>
      <w:bookmarkStart w:id="128" w:name="_Toc103177426"/>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8</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externých zdrojov – zdroje ekonomických informácií</w:t>
      </w:r>
      <w:bookmarkEnd w:id="127"/>
      <w:bookmarkEnd w:id="128"/>
    </w:p>
    <w:p w14:paraId="6E1A3A08"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Primárne systémy</w:t>
      </w:r>
    </w:p>
    <w:p w14:paraId="7F31473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Hlavné interné systémy a dátové zdroje relevantné pre dátovú integráciu sú nasledujúce:</w:t>
      </w:r>
    </w:p>
    <w:tbl>
      <w:tblPr>
        <w:tblStyle w:val="GridTable4-Accent52"/>
        <w:tblW w:w="8500" w:type="dxa"/>
        <w:tblLayout w:type="fixed"/>
        <w:tblLook w:val="04A0" w:firstRow="1" w:lastRow="0" w:firstColumn="1" w:lastColumn="0" w:noHBand="0" w:noVBand="1"/>
      </w:tblPr>
      <w:tblGrid>
        <w:gridCol w:w="1555"/>
        <w:gridCol w:w="2409"/>
        <w:gridCol w:w="4536"/>
      </w:tblGrid>
      <w:tr w:rsidR="00D42B04" w:rsidRPr="00D42B04" w14:paraId="470646FB" w14:textId="77777777" w:rsidTr="00D42B04">
        <w:trPr>
          <w:cnfStyle w:val="100000000000" w:firstRow="1" w:lastRow="0" w:firstColumn="0" w:lastColumn="0" w:oddVBand="0" w:evenVBand="0" w:oddHBand="0" w:evenHBand="0" w:firstRowFirstColumn="0" w:firstRowLastColumn="0" w:lastRowFirstColumn="0" w:lastRowLastColumn="0"/>
          <w:trHeight w:val="335"/>
          <w:tblHeader/>
        </w:trPr>
        <w:tc>
          <w:tcPr>
            <w:cnfStyle w:val="001000000000" w:firstRow="0" w:lastRow="0" w:firstColumn="1" w:lastColumn="0" w:oddVBand="0" w:evenVBand="0" w:oddHBand="0" w:evenHBand="0" w:firstRowFirstColumn="0" w:firstRowLastColumn="0" w:lastRowFirstColumn="0" w:lastRowLastColumn="0"/>
            <w:tcW w:w="1555" w:type="dxa"/>
          </w:tcPr>
          <w:p w14:paraId="2085914D" w14:textId="77777777" w:rsidR="00D42B04" w:rsidRPr="00D42B04" w:rsidRDefault="00D42B04" w:rsidP="00D42B04">
            <w:pPr>
              <w:spacing w:before="120" w:after="120"/>
              <w:jc w:val="both"/>
              <w:rPr>
                <w:rFonts w:ascii="Cambria" w:hAnsi="Cambria"/>
                <w:sz w:val="22"/>
              </w:rPr>
            </w:pPr>
            <w:r w:rsidRPr="00D42B04">
              <w:rPr>
                <w:rFonts w:ascii="Cambria" w:hAnsi="Cambria"/>
                <w:sz w:val="22"/>
              </w:rPr>
              <w:t>Označenie</w:t>
            </w:r>
          </w:p>
        </w:tc>
        <w:tc>
          <w:tcPr>
            <w:tcW w:w="2409" w:type="dxa"/>
          </w:tcPr>
          <w:p w14:paraId="3F23F0BE"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c>
          <w:tcPr>
            <w:tcW w:w="4536" w:type="dxa"/>
          </w:tcPr>
          <w:p w14:paraId="60D78496"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Hlavná funkcia</w:t>
            </w:r>
          </w:p>
        </w:tc>
      </w:tr>
      <w:tr w:rsidR="00D42B04" w:rsidRPr="00D42B04" w14:paraId="59606A73"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6DDF8E1"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ŠZP</w:t>
            </w:r>
          </w:p>
        </w:tc>
        <w:tc>
          <w:tcPr>
            <w:tcW w:w="2409" w:type="dxa"/>
          </w:tcPr>
          <w:p w14:paraId="1CA1A69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Štatistický zberový portál</w:t>
            </w:r>
          </w:p>
        </w:tc>
        <w:tc>
          <w:tcPr>
            <w:tcW w:w="4536" w:type="dxa"/>
          </w:tcPr>
          <w:p w14:paraId="0080699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Centrálny systém pre výkazy a hlásenia od subjektov finančného trhu pre štatistické účely a výkon funkcie dohľadu - core systém pre povinné výkazníctvo, zber dát od cca 7000 subjektov</w:t>
            </w:r>
          </w:p>
        </w:tc>
      </w:tr>
      <w:tr w:rsidR="00D42B04" w:rsidRPr="00D42B04" w14:paraId="08201ACC"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62E0A361"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ŠZP ESAS</w:t>
            </w:r>
            <w:r w:rsidRPr="00D42B04">
              <w:rPr>
                <w:rFonts w:ascii="Cambria" w:hAnsi="Cambria" w:cs="Calibri"/>
                <w:sz w:val="16"/>
                <w:szCs w:val="16"/>
                <w:lang w:eastAsia="sk-SK"/>
              </w:rPr>
              <w:br/>
              <w:t>(Fujitsu XBRL)</w:t>
            </w:r>
          </w:p>
        </w:tc>
        <w:tc>
          <w:tcPr>
            <w:tcW w:w="2409" w:type="dxa"/>
          </w:tcPr>
          <w:p w14:paraId="5EE8B13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Štatistický zberový portál (European Supervisory Authorities)</w:t>
            </w:r>
          </w:p>
        </w:tc>
        <w:tc>
          <w:tcPr>
            <w:tcW w:w="4536" w:type="dxa"/>
          </w:tcPr>
          <w:p w14:paraId="1FE3FAF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Nový systém pre výkazníctvo subjektov vo formáte XBRL (EIOPA, EBA) – v súčasnosti riešené samostatným modulom ŠZP</w:t>
            </w:r>
          </w:p>
        </w:tc>
      </w:tr>
      <w:tr w:rsidR="00D42B04" w:rsidRPr="00D42B04" w14:paraId="7A2A43E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2B0ACA5" w14:textId="77777777" w:rsidR="00D42B04" w:rsidRPr="00D42B04" w:rsidRDefault="00D42B04" w:rsidP="00D42B04">
            <w:pPr>
              <w:spacing w:before="120" w:after="120"/>
              <w:jc w:val="both"/>
              <w:rPr>
                <w:rFonts w:ascii="Cambria" w:hAnsi="Cambria" w:cs="Calibri"/>
                <w:color w:val="000000"/>
                <w:sz w:val="16"/>
                <w:szCs w:val="16"/>
                <w:lang w:eastAsia="sk-SK"/>
              </w:rPr>
            </w:pPr>
            <w:r w:rsidRPr="00D42B04">
              <w:rPr>
                <w:rFonts w:ascii="Cambria" w:hAnsi="Cambria" w:cs="Calibri"/>
                <w:sz w:val="16"/>
                <w:szCs w:val="16"/>
                <w:lang w:eastAsia="sk-SK"/>
              </w:rPr>
              <w:t>RBÚZ</w:t>
            </w:r>
          </w:p>
        </w:tc>
        <w:tc>
          <w:tcPr>
            <w:tcW w:w="2409" w:type="dxa"/>
          </w:tcPr>
          <w:p w14:paraId="5EDC1A0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Register bankových úverov a záruk</w:t>
            </w:r>
          </w:p>
        </w:tc>
        <w:tc>
          <w:tcPr>
            <w:tcW w:w="4536" w:type="dxa"/>
          </w:tcPr>
          <w:p w14:paraId="3CE00B9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Lokálna implementácia AnaCredit - zber údajov o bankových úveroch a zárukách – prepojený s Registrom subjektov a systémom AnaCredit</w:t>
            </w:r>
          </w:p>
        </w:tc>
      </w:tr>
      <w:tr w:rsidR="00D42B04" w:rsidRPr="00D42B04" w14:paraId="1B6C51D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27CB649"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RS</w:t>
            </w:r>
          </w:p>
        </w:tc>
        <w:tc>
          <w:tcPr>
            <w:tcW w:w="2409" w:type="dxa"/>
          </w:tcPr>
          <w:p w14:paraId="4569EA9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Register subjektov</w:t>
            </w:r>
          </w:p>
        </w:tc>
        <w:tc>
          <w:tcPr>
            <w:tcW w:w="4536" w:type="dxa"/>
          </w:tcPr>
          <w:p w14:paraId="0B5A1F3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Master systém pre subjekty, ktorých úvery sú vykazované cez RBÚZ (právnické osoby a podnikatelia) – založený na dátach ŠÚSR, RPO, RO a ďalších zdrojoch</w:t>
            </w:r>
          </w:p>
        </w:tc>
      </w:tr>
      <w:tr w:rsidR="00D42B04" w:rsidRPr="00D42B04" w14:paraId="742FFDD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58C0B7B" w14:textId="77777777" w:rsidR="00D42B04" w:rsidRPr="00D42B04" w:rsidRDefault="00D42B04" w:rsidP="00D42B04">
            <w:pPr>
              <w:spacing w:before="120" w:after="120"/>
              <w:jc w:val="both"/>
              <w:rPr>
                <w:rFonts w:ascii="Cambria" w:hAnsi="Cambria" w:cs="Calibri"/>
                <w:color w:val="000000"/>
                <w:sz w:val="16"/>
                <w:szCs w:val="16"/>
                <w:lang w:eastAsia="sk-SK"/>
              </w:rPr>
            </w:pPr>
            <w:r w:rsidRPr="00D42B04">
              <w:rPr>
                <w:rFonts w:ascii="Cambria" w:hAnsi="Cambria" w:cs="Calibri"/>
                <w:sz w:val="16"/>
                <w:szCs w:val="16"/>
                <w:lang w:eastAsia="sk-SK"/>
              </w:rPr>
              <w:t>Subjekty 2.0</w:t>
            </w:r>
          </w:p>
        </w:tc>
        <w:tc>
          <w:tcPr>
            <w:tcW w:w="2409" w:type="dxa"/>
          </w:tcPr>
          <w:p w14:paraId="08A142E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Subjekty 2.0</w:t>
            </w:r>
          </w:p>
        </w:tc>
        <w:tc>
          <w:tcPr>
            <w:tcW w:w="4536" w:type="dxa"/>
          </w:tcPr>
          <w:p w14:paraId="2D8F795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Systém pre správu statických údajov o subjektoch finančného trhu pre účely dohľadu</w:t>
            </w:r>
          </w:p>
        </w:tc>
      </w:tr>
      <w:tr w:rsidR="00D42B04" w:rsidRPr="00D42B04" w14:paraId="0BD70E69"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02AE4A5"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REGFAP</w:t>
            </w:r>
          </w:p>
        </w:tc>
        <w:tc>
          <w:tcPr>
            <w:tcW w:w="2409" w:type="dxa"/>
          </w:tcPr>
          <w:p w14:paraId="3892745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Register finančných agentov a finančných poradcov</w:t>
            </w:r>
          </w:p>
        </w:tc>
        <w:tc>
          <w:tcPr>
            <w:tcW w:w="4536" w:type="dxa"/>
          </w:tcPr>
          <w:p w14:paraId="65871FA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Systém pre evidenciu dohliadaných subjektov a pre zber dát a hlásení o ich činnosti. Evidenčné informácie sa plánujú integrovať do Subjekty 2.0, zber dát do ŠZP</w:t>
            </w:r>
          </w:p>
        </w:tc>
      </w:tr>
      <w:tr w:rsidR="00D42B04" w:rsidRPr="00D42B04" w14:paraId="7F5E07A1"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4508E76" w14:textId="77777777" w:rsidR="00D42B04" w:rsidRPr="00D42B04" w:rsidRDefault="00D42B04" w:rsidP="00D42B04">
            <w:pPr>
              <w:spacing w:before="120" w:after="120"/>
              <w:jc w:val="both"/>
              <w:rPr>
                <w:rFonts w:ascii="Cambria" w:hAnsi="Cambria" w:cs="Calibri"/>
                <w:color w:val="000000"/>
                <w:sz w:val="16"/>
                <w:szCs w:val="16"/>
                <w:lang w:eastAsia="sk-SK"/>
              </w:rPr>
            </w:pPr>
            <w:r w:rsidRPr="00D42B04">
              <w:rPr>
                <w:rFonts w:ascii="Cambria" w:hAnsi="Cambria" w:cs="Calibri"/>
                <w:sz w:val="16"/>
                <w:szCs w:val="16"/>
                <w:lang w:eastAsia="sk-SK"/>
              </w:rPr>
              <w:t>CERI</w:t>
            </w:r>
          </w:p>
        </w:tc>
        <w:tc>
          <w:tcPr>
            <w:tcW w:w="2409" w:type="dxa"/>
          </w:tcPr>
          <w:p w14:paraId="3176272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CERI - Centrálna evidencia regulovaných informácií</w:t>
            </w:r>
          </w:p>
        </w:tc>
        <w:tc>
          <w:tcPr>
            <w:tcW w:w="4536" w:type="dxa"/>
          </w:tcPr>
          <w:p w14:paraId="1CC9A8D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Databáza regulovaných informácií, ktorými sú emitenti cenných papierov - neštruktúrované informácie - prospekty k emisiám cenných papierov, oznámenia, výročné správy, pre reporting sa požadujú iba metadáta o dokumentoch pre štatistiky</w:t>
            </w:r>
          </w:p>
        </w:tc>
      </w:tr>
      <w:tr w:rsidR="00D42B04" w:rsidRPr="00D42B04" w14:paraId="6BC75343"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557A40C"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Register OFV</w:t>
            </w:r>
          </w:p>
        </w:tc>
        <w:tc>
          <w:tcPr>
            <w:tcW w:w="2409" w:type="dxa"/>
          </w:tcPr>
          <w:p w14:paraId="1E3D443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w:t>
            </w:r>
          </w:p>
        </w:tc>
        <w:tc>
          <w:tcPr>
            <w:tcW w:w="4536" w:type="dxa"/>
          </w:tcPr>
          <w:p w14:paraId="2F6FB6D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Odborná spôsobilosť finančných agentov a poradcov</w:t>
            </w:r>
            <w:r w:rsidRPr="00D42B04">
              <w:rPr>
                <w:rFonts w:ascii="Cambria" w:hAnsi="Cambria" w:cs="Calibri"/>
                <w:sz w:val="16"/>
                <w:szCs w:val="16"/>
                <w:lang w:eastAsia="sk-SK"/>
              </w:rPr>
              <w:br/>
              <w:t>- register osôb (cca 70.000 FO), ktoré absolvovali OFV alebo odbornú skúšku podľa zákona o finančnom sprostredkovaní</w:t>
            </w:r>
          </w:p>
        </w:tc>
      </w:tr>
      <w:tr w:rsidR="00D42B04" w:rsidRPr="00D42B04" w14:paraId="08FF8FB5"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58D231C4"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Skúšky</w:t>
            </w:r>
          </w:p>
        </w:tc>
        <w:tc>
          <w:tcPr>
            <w:tcW w:w="2409" w:type="dxa"/>
          </w:tcPr>
          <w:p w14:paraId="12CC12E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w:t>
            </w:r>
          </w:p>
        </w:tc>
        <w:tc>
          <w:tcPr>
            <w:tcW w:w="4536" w:type="dxa"/>
          </w:tcPr>
          <w:p w14:paraId="39FF0F6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Databáza otázok na skúšky, cvičné testy, ich výsledky, termíny skúšok</w:t>
            </w:r>
          </w:p>
        </w:tc>
      </w:tr>
      <w:tr w:rsidR="00D42B04" w:rsidRPr="00D42B04" w14:paraId="6050A9E2"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F38D4B1"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SIPS</w:t>
            </w:r>
          </w:p>
        </w:tc>
        <w:tc>
          <w:tcPr>
            <w:tcW w:w="2409" w:type="dxa"/>
          </w:tcPr>
          <w:p w14:paraId="52445E2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Platobný systém SIPS</w:t>
            </w:r>
          </w:p>
        </w:tc>
        <w:tc>
          <w:tcPr>
            <w:tcW w:w="4536" w:type="dxa"/>
          </w:tcPr>
          <w:p w14:paraId="23DC951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Retailový platobný systém určený na spracovanie klientskych platieb prevádzkovaný NBS</w:t>
            </w:r>
          </w:p>
        </w:tc>
      </w:tr>
      <w:tr w:rsidR="00D42B04" w:rsidRPr="00D42B04" w14:paraId="06160369"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1924016"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lastRenderedPageBreak/>
              <w:t>SAP FINU/HRO</w:t>
            </w:r>
          </w:p>
        </w:tc>
        <w:tc>
          <w:tcPr>
            <w:tcW w:w="2409" w:type="dxa"/>
          </w:tcPr>
          <w:p w14:paraId="32B13E9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Finančné účtovníctvo, hospodárenie a rozpočet, platobný styk</w:t>
            </w:r>
          </w:p>
        </w:tc>
        <w:tc>
          <w:tcPr>
            <w:tcW w:w="4536" w:type="dxa"/>
          </w:tcPr>
          <w:p w14:paraId="54BA31D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Implementácia na báze SAP s kompletnou kustomizáciou pre NBS (moduly SAP ECC v6.0 - účtovné jadro, SAP BCA - Bank Customer Accounts modul pre správu klientskych účtov, SAP FI, CO, IM, MM, SD, PO)</w:t>
            </w:r>
          </w:p>
        </w:tc>
      </w:tr>
      <w:tr w:rsidR="00D42B04" w:rsidRPr="00D42B04" w14:paraId="7712B942"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58D7683"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IDAS</w:t>
            </w:r>
          </w:p>
        </w:tc>
        <w:tc>
          <w:tcPr>
            <w:tcW w:w="2409" w:type="dxa"/>
          </w:tcPr>
          <w:p w14:paraId="6F084F3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Agendový systém dohľadu</w:t>
            </w:r>
          </w:p>
        </w:tc>
        <w:tc>
          <w:tcPr>
            <w:tcW w:w="4536" w:type="dxa"/>
          </w:tcPr>
          <w:p w14:paraId="2CD4B43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i/>
                <w:iCs/>
                <w:color w:val="FF0000"/>
                <w:sz w:val="16"/>
                <w:szCs w:val="16"/>
                <w:lang w:eastAsia="sk-SK"/>
              </w:rPr>
            </w:pPr>
            <w:r w:rsidRPr="00D42B04">
              <w:rPr>
                <w:rFonts w:ascii="Cambria" w:hAnsi="Cambria" w:cs="Calibri"/>
                <w:sz w:val="16"/>
                <w:szCs w:val="16"/>
                <w:lang w:eastAsia="sk-SK"/>
              </w:rPr>
              <w:t>Lotus Notes aplikácia pre podporu agendy dohľadu ODK, OPD a ODB pre menej významné banky</w:t>
            </w:r>
          </w:p>
        </w:tc>
      </w:tr>
      <w:tr w:rsidR="00D42B04" w:rsidRPr="00D42B04" w14:paraId="713B9180"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45A0EEA"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ASDR</w:t>
            </w:r>
          </w:p>
        </w:tc>
        <w:tc>
          <w:tcPr>
            <w:tcW w:w="2409" w:type="dxa"/>
          </w:tcPr>
          <w:p w14:paraId="2DFAFD4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Agendový systém dohľadu a regulácie</w:t>
            </w:r>
          </w:p>
        </w:tc>
        <w:tc>
          <w:tcPr>
            <w:tcW w:w="4536" w:type="dxa"/>
          </w:tcPr>
          <w:p w14:paraId="10D25CB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Tiež označovaný ako ISD (Informačný systém dohľadu) - </w:t>
            </w:r>
            <w:r w:rsidRPr="00D42B04">
              <w:rPr>
                <w:rFonts w:ascii="Cambria" w:hAnsi="Cambria" w:cs="Calibri"/>
                <w:i/>
                <w:iCs/>
                <w:sz w:val="16"/>
                <w:szCs w:val="16"/>
                <w:lang w:eastAsia="sk-SK"/>
              </w:rPr>
              <w:t>Systém vo vývoji</w:t>
            </w:r>
          </w:p>
        </w:tc>
      </w:tr>
      <w:tr w:rsidR="00D42B04" w:rsidRPr="00D42B04" w14:paraId="62DF660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549BE1C"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IBFO/WSS</w:t>
            </w:r>
          </w:p>
        </w:tc>
        <w:tc>
          <w:tcPr>
            <w:tcW w:w="2409" w:type="dxa"/>
          </w:tcPr>
          <w:p w14:paraId="490EED2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Investičné bankovníctvo a finančné obchodovanie</w:t>
            </w:r>
          </w:p>
        </w:tc>
        <w:tc>
          <w:tcPr>
            <w:tcW w:w="4536" w:type="dxa"/>
          </w:tcPr>
          <w:p w14:paraId="5CAC8E6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Kustomizovaná implementácia Wall Street Suite (WSS) pre podporu obchodných procesov NBS – t. j. realizáciu a vysporiadanie obchodných operácií realizovaných na OBO a OVO, vrátane ich účtovania na OFR.</w:t>
            </w:r>
          </w:p>
        </w:tc>
      </w:tr>
      <w:tr w:rsidR="00D42B04" w:rsidRPr="00D42B04" w14:paraId="409BEE8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F59C9E6"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Makroek. DB</w:t>
            </w:r>
          </w:p>
        </w:tc>
        <w:tc>
          <w:tcPr>
            <w:tcW w:w="2409" w:type="dxa"/>
          </w:tcPr>
          <w:p w14:paraId="22A34E9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Makroekonomická databáza</w:t>
            </w:r>
          </w:p>
        </w:tc>
        <w:tc>
          <w:tcPr>
            <w:tcW w:w="4536" w:type="dxa"/>
          </w:tcPr>
          <w:p w14:paraId="6E0B3FD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Konsolidované dáta pre tvorbu modelov na oddelení makroekonomických analýz OEM - spoločné úložisko časových radov. Kópia sa publikuje na webe NBS pre verejný prístup.</w:t>
            </w:r>
          </w:p>
        </w:tc>
      </w:tr>
      <w:tr w:rsidR="00D42B04" w:rsidRPr="00D42B04" w14:paraId="254FC840"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91B3E90"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Credit Manager</w:t>
            </w:r>
          </w:p>
        </w:tc>
        <w:tc>
          <w:tcPr>
            <w:tcW w:w="2409" w:type="dxa"/>
          </w:tcPr>
          <w:p w14:paraId="653BDBA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w:t>
            </w:r>
          </w:p>
        </w:tc>
        <w:tc>
          <w:tcPr>
            <w:tcW w:w="4536" w:type="dxa"/>
            <w:vMerge w:val="restart"/>
          </w:tcPr>
          <w:p w14:paraId="4466582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Aplikácie pre riadenie rizík na odbore ORR</w:t>
            </w:r>
          </w:p>
        </w:tc>
      </w:tr>
      <w:tr w:rsidR="00D42B04" w:rsidRPr="00D42B04" w14:paraId="79CF290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00C20610"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Risk Manager</w:t>
            </w:r>
          </w:p>
        </w:tc>
        <w:tc>
          <w:tcPr>
            <w:tcW w:w="2409" w:type="dxa"/>
          </w:tcPr>
          <w:p w14:paraId="2E6F39E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w:t>
            </w:r>
          </w:p>
        </w:tc>
        <w:tc>
          <w:tcPr>
            <w:tcW w:w="4536" w:type="dxa"/>
            <w:vMerge/>
          </w:tcPr>
          <w:p w14:paraId="7C0C2AB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p>
        </w:tc>
      </w:tr>
      <w:tr w:rsidR="00D42B04" w:rsidRPr="00D42B04" w14:paraId="39EA77F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B6697F0"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EZO</w:t>
            </w:r>
          </w:p>
        </w:tc>
        <w:tc>
          <w:tcPr>
            <w:tcW w:w="2409" w:type="dxa"/>
          </w:tcPr>
          <w:p w14:paraId="49DF9F4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Euro zásoby a obeh</w:t>
            </w:r>
          </w:p>
        </w:tc>
        <w:tc>
          <w:tcPr>
            <w:tcW w:w="4536" w:type="dxa"/>
          </w:tcPr>
          <w:p w14:paraId="22EEB03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Funkcie pre správu emisií bankoviek a mincí, evidenciu stavu hotovosti v ekonomike a na účtoch NBS, peňažné toky medzi NBS a tretími stranami. </w:t>
            </w:r>
            <w:r w:rsidRPr="00D42B04">
              <w:rPr>
                <w:rFonts w:ascii="Cambria" w:hAnsi="Cambria" w:cs="Calibri"/>
                <w:sz w:val="16"/>
                <w:szCs w:val="16"/>
                <w:lang w:eastAsia="sk-SK"/>
              </w:rPr>
              <w:br/>
              <w:t>Interný vývoj</w:t>
            </w:r>
          </w:p>
        </w:tc>
      </w:tr>
      <w:tr w:rsidR="00D42B04" w:rsidRPr="00D42B04" w14:paraId="564ECA8B"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308CD44"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HFCS</w:t>
            </w:r>
          </w:p>
        </w:tc>
        <w:tc>
          <w:tcPr>
            <w:tcW w:w="2409" w:type="dxa"/>
          </w:tcPr>
          <w:p w14:paraId="33B78CA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Zisťovanie o financiách a spotrebe domácností</w:t>
            </w:r>
          </w:p>
        </w:tc>
        <w:tc>
          <w:tcPr>
            <w:tcW w:w="4536" w:type="dxa"/>
          </w:tcPr>
          <w:p w14:paraId="239CED7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Dáta prieskumu o vývoji životných podmienok domácností – manuálny vstup - cca 6000 domácností</w:t>
            </w:r>
          </w:p>
        </w:tc>
      </w:tr>
      <w:tr w:rsidR="00D42B04" w:rsidRPr="00D42B04" w14:paraId="5F20A692"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27BD07F2"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BLS</w:t>
            </w:r>
          </w:p>
        </w:tc>
        <w:tc>
          <w:tcPr>
            <w:tcW w:w="2409" w:type="dxa"/>
          </w:tcPr>
          <w:p w14:paraId="19E6936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Bank Lending Survey</w:t>
            </w:r>
          </w:p>
        </w:tc>
        <w:tc>
          <w:tcPr>
            <w:tcW w:w="4536" w:type="dxa"/>
          </w:tcPr>
          <w:p w14:paraId="3DB18AA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Dotazník o vývoji ponuky a dopytu na trhu úverov – manuálny vstup</w:t>
            </w:r>
          </w:p>
        </w:tc>
      </w:tr>
    </w:tbl>
    <w:p w14:paraId="02A30596"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29" w:name="_Toc97562276"/>
      <w:bookmarkStart w:id="130" w:name="_Toc103177427"/>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9</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interných zdrojov – primárne systémy</w:t>
      </w:r>
      <w:bookmarkEnd w:id="129"/>
      <w:bookmarkEnd w:id="130"/>
    </w:p>
    <w:p w14:paraId="4319F71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NBS sa využívajú tiež niektoré ďalšie systémy pre podporu primárnych procesov, ktoré ale neboli identifikované ako relevantné pre dátovú integráciu (v prílohe A NBS DWH - Systemy.xlsx v stĺpce H označené ako „N“):</w:t>
      </w:r>
    </w:p>
    <w:p w14:paraId="56296F59" w14:textId="77777777" w:rsidR="00D42B04" w:rsidRPr="00D42B04" w:rsidRDefault="00D42B04" w:rsidP="00D42B04">
      <w:pPr>
        <w:numPr>
          <w:ilvl w:val="0"/>
          <w:numId w:val="49"/>
        </w:numPr>
        <w:spacing w:before="120" w:after="120" w:line="240" w:lineRule="atLeast"/>
        <w:ind w:left="720"/>
        <w:contextualSpacing/>
        <w:jc w:val="both"/>
        <w:rPr>
          <w:rFonts w:ascii="Cambria" w:eastAsia="Calibri" w:hAnsi="Cambria" w:cs="Arial"/>
          <w:sz w:val="22"/>
          <w:szCs w:val="22"/>
        </w:rPr>
      </w:pPr>
      <w:r w:rsidRPr="00D42B04">
        <w:rPr>
          <w:rFonts w:ascii="Cambria" w:eastAsia="Calibri" w:hAnsi="Cambria" w:cs="Arial"/>
          <w:b/>
          <w:bCs/>
          <w:sz w:val="22"/>
          <w:szCs w:val="22"/>
        </w:rPr>
        <w:t>Target2-SK</w:t>
      </w:r>
      <w:r w:rsidRPr="00D42B04">
        <w:rPr>
          <w:rFonts w:ascii="Cambria" w:eastAsia="Calibri" w:hAnsi="Cambria" w:cs="Arial"/>
          <w:sz w:val="22"/>
          <w:szCs w:val="22"/>
        </w:rPr>
        <w:t xml:space="preserve"> – lokálny komponent systému Target2 prevádzkovaného Eurosystémom na spracovanie veľkých platieb, externý Target2 poskytuje tiež reportingovú službu CRSS postačujúcu pre potreby OPS</w:t>
      </w:r>
    </w:p>
    <w:p w14:paraId="0EA17E14" w14:textId="77777777" w:rsidR="00D42B04" w:rsidRPr="00D42B04" w:rsidRDefault="00D42B04" w:rsidP="00D42B04">
      <w:pPr>
        <w:numPr>
          <w:ilvl w:val="0"/>
          <w:numId w:val="49"/>
        </w:numPr>
        <w:spacing w:before="120" w:after="120" w:line="240" w:lineRule="atLeast"/>
        <w:ind w:left="720"/>
        <w:contextualSpacing/>
        <w:jc w:val="both"/>
        <w:rPr>
          <w:rFonts w:ascii="Cambria" w:eastAsia="Calibri" w:hAnsi="Cambria" w:cs="Arial"/>
          <w:sz w:val="22"/>
          <w:szCs w:val="22"/>
        </w:rPr>
      </w:pPr>
      <w:r w:rsidRPr="00D42B04">
        <w:rPr>
          <w:rFonts w:ascii="Cambria" w:eastAsia="Calibri" w:hAnsi="Cambria" w:cs="Arial"/>
          <w:b/>
          <w:bCs/>
          <w:sz w:val="22"/>
          <w:szCs w:val="22"/>
        </w:rPr>
        <w:t>IMAS (</w:t>
      </w:r>
      <w:r w:rsidRPr="00D42B04">
        <w:rPr>
          <w:rFonts w:ascii="Cambria" w:eastAsia="Calibri" w:hAnsi="Cambria" w:cs="Arial"/>
          <w:sz w:val="22"/>
          <w:szCs w:val="22"/>
        </w:rPr>
        <w:t>SSM Information Management System) – spoločná európska procesná platforma pre podporu dohľadových procesov vo významných finančných inštitúciách</w:t>
      </w:r>
    </w:p>
    <w:p w14:paraId="646E8973" w14:textId="77777777" w:rsidR="00D42B04" w:rsidRPr="00D42B04" w:rsidRDefault="00D42B04" w:rsidP="00D42B04">
      <w:pPr>
        <w:numPr>
          <w:ilvl w:val="0"/>
          <w:numId w:val="49"/>
        </w:numPr>
        <w:spacing w:before="120" w:after="120" w:line="240" w:lineRule="atLeast"/>
        <w:ind w:left="720"/>
        <w:contextualSpacing/>
        <w:jc w:val="both"/>
        <w:rPr>
          <w:rFonts w:ascii="Cambria" w:eastAsia="Calibri" w:hAnsi="Cambria" w:cs="Arial"/>
          <w:sz w:val="22"/>
          <w:szCs w:val="22"/>
        </w:rPr>
      </w:pPr>
      <w:r w:rsidRPr="00D42B04">
        <w:rPr>
          <w:rFonts w:ascii="Cambria" w:eastAsia="Calibri" w:hAnsi="Cambria" w:cs="Arial"/>
          <w:b/>
          <w:bCs/>
          <w:sz w:val="22"/>
          <w:szCs w:val="22"/>
        </w:rPr>
        <w:t>IDRA</w:t>
      </w:r>
      <w:r w:rsidRPr="00D42B04">
        <w:rPr>
          <w:rFonts w:ascii="Cambria" w:eastAsia="Calibri" w:hAnsi="Cambria" w:cs="Arial"/>
          <w:sz w:val="22"/>
          <w:szCs w:val="22"/>
        </w:rPr>
        <w:t xml:space="preserve"> (IMAS Data Reporting and Analytics) - reportingová služba nad dátami IMAS</w:t>
      </w:r>
    </w:p>
    <w:p w14:paraId="7F9BE5DA"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Integračná vrstva</w:t>
      </w:r>
    </w:p>
    <w:p w14:paraId="1ACDDDA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Rôzne odbory využívajú rôzne platformy pre spracovanie dát z rôznych zdrojov. Dlhodobým cieľom je migrácia reportingu na zjednotenú platformu DWH a DataLake.</w:t>
      </w:r>
    </w:p>
    <w:tbl>
      <w:tblPr>
        <w:tblStyle w:val="GridTable4-Accent52"/>
        <w:tblW w:w="8642" w:type="dxa"/>
        <w:tblLayout w:type="fixed"/>
        <w:tblLook w:val="04A0" w:firstRow="1" w:lastRow="0" w:firstColumn="1" w:lastColumn="0" w:noHBand="0" w:noVBand="1"/>
      </w:tblPr>
      <w:tblGrid>
        <w:gridCol w:w="1555"/>
        <w:gridCol w:w="7087"/>
      </w:tblGrid>
      <w:tr w:rsidR="00D42B04" w:rsidRPr="00D42B04" w14:paraId="58858D0A" w14:textId="77777777" w:rsidTr="00D42B0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555" w:type="dxa"/>
          </w:tcPr>
          <w:p w14:paraId="66BDE487" w14:textId="77777777" w:rsidR="00D42B04" w:rsidRPr="00D42B04" w:rsidRDefault="00D42B04" w:rsidP="00D42B04">
            <w:pPr>
              <w:spacing w:before="120" w:after="120"/>
              <w:jc w:val="both"/>
              <w:rPr>
                <w:rFonts w:ascii="Cambria" w:hAnsi="Cambria"/>
                <w:sz w:val="22"/>
              </w:rPr>
            </w:pPr>
            <w:r w:rsidRPr="00D42B04">
              <w:rPr>
                <w:rFonts w:ascii="Cambria" w:hAnsi="Cambria"/>
                <w:sz w:val="22"/>
              </w:rPr>
              <w:t>Označenie</w:t>
            </w:r>
          </w:p>
        </w:tc>
        <w:tc>
          <w:tcPr>
            <w:tcW w:w="7087" w:type="dxa"/>
          </w:tcPr>
          <w:p w14:paraId="1DF4EF1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r>
      <w:tr w:rsidR="00D42B04" w:rsidRPr="00D42B04" w14:paraId="18E13778"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680953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Apoštol databáza</w:t>
            </w:r>
          </w:p>
        </w:tc>
        <w:tc>
          <w:tcPr>
            <w:tcW w:w="7087" w:type="dxa"/>
          </w:tcPr>
          <w:p w14:paraId="5DEA58D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Analytická platforma odboru štatistiky – predstavuje databázu integrovaných dát (</w:t>
            </w:r>
            <w:r w:rsidRPr="00D42B04">
              <w:rPr>
                <w:rFonts w:ascii="Cambria" w:hAnsi="Cambria"/>
                <w:b/>
                <w:bCs/>
                <w:sz w:val="16"/>
                <w:szCs w:val="16"/>
              </w:rPr>
              <w:t>MS SQL Server</w:t>
            </w:r>
            <w:r w:rsidRPr="00D42B04">
              <w:rPr>
                <w:rFonts w:ascii="Cambria" w:hAnsi="Cambria"/>
                <w:sz w:val="16"/>
                <w:szCs w:val="16"/>
              </w:rPr>
              <w:t xml:space="preserve">), kde hlavným zdrojovým systémom je </w:t>
            </w:r>
            <w:r w:rsidRPr="00D42B04">
              <w:rPr>
                <w:rFonts w:ascii="Cambria" w:hAnsi="Cambria"/>
                <w:b/>
                <w:bCs/>
                <w:sz w:val="16"/>
                <w:szCs w:val="16"/>
              </w:rPr>
              <w:t>ŠZP</w:t>
            </w:r>
            <w:r w:rsidRPr="00D42B04">
              <w:rPr>
                <w:rFonts w:ascii="Cambria" w:hAnsi="Cambria"/>
                <w:sz w:val="16"/>
                <w:szCs w:val="16"/>
              </w:rPr>
              <w:t xml:space="preserve"> a k nemu sa nahrávajú najrôznejšie ďalšie registre a manuálne vstupy. Nad touto databázou je sprevádzkovaný in-memory BI nástroj Qlik Sense, v ktorom je tiež implementované množstvo integračnej a výpočtovej logiky.</w:t>
            </w:r>
          </w:p>
          <w:p w14:paraId="025F30D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D42B04" w:rsidRPr="00D42B04" w14:paraId="1D7F5F4B"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1319B32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Pilot DWH</w:t>
            </w:r>
          </w:p>
        </w:tc>
        <w:tc>
          <w:tcPr>
            <w:tcW w:w="7087" w:type="dxa"/>
          </w:tcPr>
          <w:p w14:paraId="5BFA2D9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Hlavným cieľom pilotného projektu DWH/BI bolo vybudovanie infraštruktúry DWH/BI (</w:t>
            </w:r>
            <w:r w:rsidRPr="00D42B04">
              <w:rPr>
                <w:rFonts w:ascii="Cambria" w:hAnsi="Cambria"/>
                <w:b/>
                <w:sz w:val="16"/>
                <w:szCs w:val="16"/>
              </w:rPr>
              <w:t>Oracle + MS Analysis Services + MS Power BI</w:t>
            </w:r>
            <w:r w:rsidRPr="00D42B04">
              <w:rPr>
                <w:rFonts w:ascii="Cambria" w:hAnsi="Cambria"/>
                <w:sz w:val="16"/>
                <w:szCs w:val="16"/>
              </w:rPr>
              <w:t xml:space="preserve">) a vytvorenie riešenia pre základné procesy spojené so spracovaním dát DWH a analytickými výstupmi v podobe BI riešenia. Projekt, ktorý začal v 03/2020, sa zameral na spracovanie vybraných dát zo systémov </w:t>
            </w:r>
            <w:r w:rsidRPr="00D42B04">
              <w:rPr>
                <w:rFonts w:ascii="Cambria" w:hAnsi="Cambria"/>
                <w:b/>
                <w:bCs/>
                <w:sz w:val="16"/>
                <w:szCs w:val="16"/>
              </w:rPr>
              <w:t>RBÚZ, RS a ŠZP</w:t>
            </w:r>
            <w:r w:rsidRPr="00D42B04">
              <w:rPr>
                <w:rFonts w:ascii="Cambria" w:hAnsi="Cambria"/>
                <w:sz w:val="16"/>
                <w:szCs w:val="16"/>
              </w:rPr>
              <w:t>.</w:t>
            </w:r>
          </w:p>
          <w:p w14:paraId="27B2E41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Projekt Pilot DWH vytvoril základ pre budúce riešenie, rešpektuje štandardné prístupy pre budovanie dátových skladov a môže byť využitý ako základ pre ďalší rozvoj DWH.</w:t>
            </w:r>
          </w:p>
          <w:p w14:paraId="14E482E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D42B04" w:rsidRPr="00D42B04" w14:paraId="6EA4E6AC"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A7785A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Riskhouse</w:t>
            </w:r>
          </w:p>
        </w:tc>
        <w:tc>
          <w:tcPr>
            <w:tcW w:w="7087" w:type="dxa"/>
          </w:tcPr>
          <w:p w14:paraId="164E52F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Riskhouse predstavuje vlastný DWH systém odboru ORR (</w:t>
            </w:r>
            <w:r w:rsidRPr="00D42B04">
              <w:rPr>
                <w:rFonts w:ascii="Cambria" w:hAnsi="Cambria"/>
                <w:b/>
                <w:sz w:val="16"/>
                <w:szCs w:val="16"/>
              </w:rPr>
              <w:t>MS SQL Server)</w:t>
            </w:r>
            <w:r w:rsidRPr="00D42B04">
              <w:rPr>
                <w:rFonts w:ascii="Cambria" w:hAnsi="Cambria"/>
                <w:sz w:val="16"/>
                <w:szCs w:val="16"/>
              </w:rPr>
              <w:t xml:space="preserve">, ktorého vývoj začal v roku 2012 a ktorý bol navrhnutý s klasickým prístupom a architektúrou pre budovanie dátových skladov na podporu procesov zverených odboru ORR. Hlavným zdrojom dát je systém </w:t>
            </w:r>
            <w:r w:rsidRPr="00D42B04">
              <w:rPr>
                <w:rFonts w:ascii="Cambria" w:hAnsi="Cambria"/>
                <w:b/>
                <w:sz w:val="16"/>
                <w:szCs w:val="16"/>
              </w:rPr>
              <w:t>IBFO/WSS</w:t>
            </w:r>
            <w:r w:rsidRPr="00D42B04">
              <w:rPr>
                <w:rFonts w:ascii="Cambria" w:hAnsi="Cambria"/>
                <w:sz w:val="16"/>
                <w:szCs w:val="16"/>
              </w:rPr>
              <w:t>, ktorý poskytuje iba slabú analytickú podporu. Predpokladá sa, že riešenie Riskhouse bude v strednodobom horizontu zachované, vzhľadom k tomu, že implementuje množstvo špecifickej biznisovej logiky pre účely riadenia rizík.</w:t>
            </w:r>
          </w:p>
          <w:p w14:paraId="55D1D9F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D42B04" w:rsidRPr="00D42B04" w14:paraId="64788D99"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473248E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SAP BW</w:t>
            </w:r>
          </w:p>
        </w:tc>
        <w:tc>
          <w:tcPr>
            <w:tcW w:w="7087" w:type="dxa"/>
          </w:tcPr>
          <w:p w14:paraId="6F246A1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SAP Business Warehouse v 7.3 predstavuje komodizovaný dátový sklad (</w:t>
            </w:r>
            <w:r w:rsidRPr="00D42B04">
              <w:rPr>
                <w:rFonts w:ascii="Cambria" w:hAnsi="Cambria"/>
                <w:b/>
                <w:sz w:val="16"/>
                <w:szCs w:val="16"/>
              </w:rPr>
              <w:t>Oracle</w:t>
            </w:r>
            <w:r w:rsidRPr="00D42B04">
              <w:rPr>
                <w:rFonts w:ascii="Cambria" w:hAnsi="Cambria"/>
                <w:sz w:val="16"/>
                <w:szCs w:val="16"/>
              </w:rPr>
              <w:t>), ktorý je dodávaný ako samostatný modul balíka podnikových aplikácií SAP. V NBS je nasadený SAP BW najmä pre reportingové potreby OFR, pričom jeho kontrolingová časť je kustomizovaná pre vykazovanie podľa ESCB metodiky COMCO.</w:t>
            </w:r>
          </w:p>
          <w:p w14:paraId="6305C9F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 súvislosti s plánovaným prechodom na S4HANA bude treba zvážiť alternatívny prechod na BW4HANA, alebo pokrytie požiadaviek jednotným DWH systémom.</w:t>
            </w:r>
          </w:p>
          <w:p w14:paraId="7022072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D42B04" w:rsidRPr="00D42B04" w14:paraId="29E7D8A9" w14:textId="77777777" w:rsidTr="00D42B0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555" w:type="dxa"/>
          </w:tcPr>
          <w:p w14:paraId="7FDD164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AŠI</w:t>
            </w:r>
          </w:p>
        </w:tc>
        <w:tc>
          <w:tcPr>
            <w:tcW w:w="7087" w:type="dxa"/>
          </w:tcPr>
          <w:p w14:paraId="5FAD5B2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Databáza (MS SQL Server) o subjektoch verejnej správy, vytvorená najmä ako dátová základňa pre analytické spracovanie </w:t>
            </w:r>
            <w:r w:rsidRPr="00D42B04">
              <w:rPr>
                <w:rFonts w:ascii="Cambria" w:hAnsi="Cambria"/>
                <w:b/>
                <w:bCs/>
                <w:sz w:val="16"/>
                <w:szCs w:val="16"/>
              </w:rPr>
              <w:t>údajov zo Štátnej pokladnice</w:t>
            </w:r>
            <w:r w:rsidRPr="00D42B04">
              <w:rPr>
                <w:rFonts w:ascii="Cambria" w:hAnsi="Cambria"/>
                <w:sz w:val="16"/>
                <w:szCs w:val="16"/>
              </w:rPr>
              <w:t xml:space="preserve"> vnútri odboru OEM, oddelenia fiškálnych a štrukturálnych analýz. Databáza nebola koncipovaná ako DWH.</w:t>
            </w:r>
          </w:p>
          <w:p w14:paraId="188E65E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D42B04" w:rsidRPr="00D42B04" w14:paraId="4A0EC5C5" w14:textId="77777777" w:rsidTr="000C3B41">
        <w:trPr>
          <w:trHeight w:val="313"/>
        </w:trPr>
        <w:tc>
          <w:tcPr>
            <w:cnfStyle w:val="001000000000" w:firstRow="0" w:lastRow="0" w:firstColumn="1" w:lastColumn="0" w:oddVBand="0" w:evenVBand="0" w:oddHBand="0" w:evenHBand="0" w:firstRowFirstColumn="0" w:firstRowLastColumn="0" w:lastRowFirstColumn="0" w:lastRowLastColumn="0"/>
            <w:tcW w:w="1555" w:type="dxa"/>
          </w:tcPr>
          <w:p w14:paraId="3E6F966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Makroek. databáza</w:t>
            </w:r>
          </w:p>
        </w:tc>
        <w:tc>
          <w:tcPr>
            <w:tcW w:w="7087" w:type="dxa"/>
          </w:tcPr>
          <w:p w14:paraId="59E99A1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Úložisko v </w:t>
            </w:r>
            <w:r w:rsidRPr="00D42B04">
              <w:rPr>
                <w:rFonts w:ascii="Cambria" w:hAnsi="Cambria"/>
                <w:b/>
                <w:bCs/>
                <w:sz w:val="16"/>
                <w:szCs w:val="16"/>
              </w:rPr>
              <w:t>MS Excel</w:t>
            </w:r>
            <w:r w:rsidRPr="00D42B04">
              <w:rPr>
                <w:rFonts w:ascii="Cambria" w:hAnsi="Cambria"/>
                <w:sz w:val="16"/>
                <w:szCs w:val="16"/>
              </w:rPr>
              <w:t>, v ktorom sú konsolidované dáta pre tvorbu modelov na oddelení makroekonomických analýz OEM. Databáza nebola koncipovaná ako DWH, ale spoločné úložisko časových radov.</w:t>
            </w:r>
          </w:p>
          <w:p w14:paraId="71C8AEA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Pre prístup sa využívajú rôzne nástroje (Matlab, EViews, WinSolve, BEAR, R Studio, Python), pomocou ktorých sa aj generujú výstupy pre management a analytické správy. Databáza sa tiež kopíruje na web NBS pre prístup zo strany verejnosti.</w:t>
            </w:r>
          </w:p>
          <w:p w14:paraId="3AE04DA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bl>
    <w:p w14:paraId="33C5FDD2"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31" w:name="_Toc97562277"/>
      <w:bookmarkStart w:id="132" w:name="_Toc103177428"/>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10</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integračných platforiem v NBS</w:t>
      </w:r>
      <w:bookmarkEnd w:id="131"/>
      <w:bookmarkEnd w:id="132"/>
    </w:p>
    <w:p w14:paraId="4DA7204E" w14:textId="77777777" w:rsidR="00D42B04" w:rsidRPr="00D42B04" w:rsidRDefault="00D42B04" w:rsidP="00D42B04">
      <w:pPr>
        <w:spacing w:before="120" w:after="120"/>
        <w:jc w:val="both"/>
        <w:rPr>
          <w:rFonts w:ascii="Cambria" w:eastAsia="Calibri" w:hAnsi="Cambria" w:cs="Arial"/>
          <w:sz w:val="22"/>
          <w:szCs w:val="22"/>
        </w:rPr>
      </w:pPr>
    </w:p>
    <w:p w14:paraId="1F8F20F6" w14:textId="77777777" w:rsidR="00D42B04" w:rsidRPr="00D42B04" w:rsidRDefault="00D42B04" w:rsidP="00D42B04">
      <w:pPr>
        <w:spacing w:before="120" w:after="120"/>
        <w:jc w:val="both"/>
        <w:rPr>
          <w:rFonts w:ascii="Cambria" w:eastAsia="Calibri" w:hAnsi="Cambria" w:cs="Arial"/>
          <w:sz w:val="22"/>
          <w:szCs w:val="22"/>
        </w:rPr>
      </w:pPr>
    </w:p>
    <w:p w14:paraId="50F041E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Prezentačná / Analytická vrstva</w:t>
      </w:r>
    </w:p>
    <w:p w14:paraId="2C1E02A8"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Pre prístup k dátam v jednotlivých integračných platformách sa využívajú rôzne nástroje:</w:t>
      </w:r>
    </w:p>
    <w:tbl>
      <w:tblPr>
        <w:tblStyle w:val="GridTable4-Accent52"/>
        <w:tblW w:w="8674" w:type="dxa"/>
        <w:tblLayout w:type="fixed"/>
        <w:tblLook w:val="04A0" w:firstRow="1" w:lastRow="0" w:firstColumn="1" w:lastColumn="0" w:noHBand="0" w:noVBand="1"/>
      </w:tblPr>
      <w:tblGrid>
        <w:gridCol w:w="1696"/>
        <w:gridCol w:w="1276"/>
        <w:gridCol w:w="5702"/>
      </w:tblGrid>
      <w:tr w:rsidR="00D42B04" w:rsidRPr="00D42B04" w14:paraId="357B63A5" w14:textId="77777777" w:rsidTr="00D42B04">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696" w:type="dxa"/>
          </w:tcPr>
          <w:p w14:paraId="1658AD8B" w14:textId="77777777" w:rsidR="00D42B04" w:rsidRPr="00D42B04" w:rsidRDefault="00D42B04" w:rsidP="00D42B04">
            <w:pPr>
              <w:spacing w:before="120" w:after="120"/>
              <w:jc w:val="both"/>
              <w:rPr>
                <w:rFonts w:ascii="Cambria" w:hAnsi="Cambria"/>
                <w:sz w:val="22"/>
              </w:rPr>
            </w:pPr>
            <w:r w:rsidRPr="00D42B04">
              <w:rPr>
                <w:rFonts w:ascii="Cambria" w:hAnsi="Cambria"/>
                <w:sz w:val="22"/>
              </w:rPr>
              <w:t>Prezentačná / Analytická vrstva</w:t>
            </w:r>
          </w:p>
        </w:tc>
        <w:tc>
          <w:tcPr>
            <w:tcW w:w="1276" w:type="dxa"/>
          </w:tcPr>
          <w:p w14:paraId="63065E0C"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Integračná vrstva</w:t>
            </w:r>
          </w:p>
        </w:tc>
        <w:tc>
          <w:tcPr>
            <w:tcW w:w="5702" w:type="dxa"/>
          </w:tcPr>
          <w:p w14:paraId="0652E72D"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r>
      <w:tr w:rsidR="00D42B04" w:rsidRPr="00D42B04" w14:paraId="2C9040CC" w14:textId="77777777" w:rsidTr="00D42B0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59AA708E"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Qlik Sense</w:t>
            </w:r>
          </w:p>
        </w:tc>
        <w:tc>
          <w:tcPr>
            <w:tcW w:w="1276" w:type="dxa"/>
          </w:tcPr>
          <w:p w14:paraId="7AACD99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Apoštol databáza</w:t>
            </w:r>
          </w:p>
        </w:tc>
        <w:tc>
          <w:tcPr>
            <w:tcW w:w="5702" w:type="dxa"/>
          </w:tcPr>
          <w:p w14:paraId="5424662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Qlik Sense je self-service BI systém s in-memory analytikou a schopnosťami stavať analytické riešenia nad rôznymi dátovými zdrojmi. Aj v rámci riešenia Apoštol sa silne využíva skriptovanie pre transformácie dát a dodatočné integrovanie externých a manuálnych vstupov.</w:t>
            </w:r>
          </w:p>
          <w:p w14:paraId="13708A9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Prípravu analytických priestorov a dashboardov zabezpečuje odbor OST.</w:t>
            </w:r>
          </w:p>
          <w:p w14:paraId="5F8280B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D42B04" w:rsidRPr="00D42B04" w14:paraId="45417303" w14:textId="77777777" w:rsidTr="000C3B41">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3512AFE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MS Analysis Services</w:t>
            </w:r>
          </w:p>
        </w:tc>
        <w:tc>
          <w:tcPr>
            <w:tcW w:w="1276" w:type="dxa"/>
          </w:tcPr>
          <w:p w14:paraId="28F3B41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DWH Pilot</w:t>
            </w:r>
          </w:p>
        </w:tc>
        <w:tc>
          <w:tcPr>
            <w:tcW w:w="5702" w:type="dxa"/>
          </w:tcPr>
          <w:p w14:paraId="2850E1E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Dáta z data martov pilotného DWH sú spracúvané do tabulárnych modelov na MS SQL Serveri (in-memory OLAP), ku ktorým sa pristupuje cez MS Power BI klienta.</w:t>
            </w:r>
          </w:p>
          <w:p w14:paraId="41F60A1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Spracovanie dát zabezpečuje OIT.</w:t>
            </w:r>
          </w:p>
          <w:p w14:paraId="16EE0BA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r>
      <w:tr w:rsidR="00D42B04" w:rsidRPr="00D42B04" w14:paraId="33B351B9" w14:textId="77777777" w:rsidTr="00D42B0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7AE60B29"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MS Reporting Services</w:t>
            </w:r>
          </w:p>
        </w:tc>
        <w:tc>
          <w:tcPr>
            <w:tcW w:w="1276" w:type="dxa"/>
          </w:tcPr>
          <w:p w14:paraId="6647124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Riskhouse</w:t>
            </w:r>
          </w:p>
        </w:tc>
        <w:tc>
          <w:tcPr>
            <w:tcW w:w="5702" w:type="dxa"/>
          </w:tcPr>
          <w:p w14:paraId="4F94839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Prístup k dátam v integrovanej databáze Riskhouse je zabezpečený cez MS Reporting Services, ktoré sa využívajú pre operatívny reporting pre bežných užívateľov s obmedzenými možnosťami ďalšej manipulácie.</w:t>
            </w:r>
          </w:p>
          <w:p w14:paraId="0F89C76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Reporty pripravuje a dokumentuje odbor ORR, ktorý sa tiež stará o celé riešenie Riskhouse.</w:t>
            </w:r>
          </w:p>
        </w:tc>
      </w:tr>
    </w:tbl>
    <w:p w14:paraId="0152EC7E"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33" w:name="_Toc97562278"/>
      <w:bookmarkStart w:id="134" w:name="_Toc103177429"/>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11</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Analytické vrstvy v NBS</w:t>
      </w:r>
      <w:bookmarkEnd w:id="133"/>
      <w:bookmarkEnd w:id="134"/>
    </w:p>
    <w:p w14:paraId="65475FC9"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Aplikačná vrstva BI</w:t>
      </w:r>
    </w:p>
    <w:p w14:paraId="7E327CD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Koncové nástroje pre prístup k dátam, reportom a dashboardom boli zavedené v súvislosti s podkladovými analytickými systémami:</w:t>
      </w:r>
    </w:p>
    <w:p w14:paraId="71EBE260" w14:textId="77777777" w:rsidR="00D42B04" w:rsidRPr="00D42B04" w:rsidRDefault="00D42B04" w:rsidP="00D42B04">
      <w:pPr>
        <w:spacing w:before="120" w:after="120"/>
        <w:jc w:val="both"/>
        <w:rPr>
          <w:rFonts w:ascii="Cambria" w:eastAsia="Calibri" w:hAnsi="Cambria" w:cs="Arial"/>
          <w:sz w:val="22"/>
          <w:szCs w:val="22"/>
        </w:rPr>
      </w:pPr>
    </w:p>
    <w:tbl>
      <w:tblPr>
        <w:tblStyle w:val="GridTable4-Accent52"/>
        <w:tblW w:w="8674" w:type="dxa"/>
        <w:tblLayout w:type="fixed"/>
        <w:tblLook w:val="04A0" w:firstRow="1" w:lastRow="0" w:firstColumn="1" w:lastColumn="0" w:noHBand="0" w:noVBand="1"/>
      </w:tblPr>
      <w:tblGrid>
        <w:gridCol w:w="1696"/>
        <w:gridCol w:w="1276"/>
        <w:gridCol w:w="5702"/>
      </w:tblGrid>
      <w:tr w:rsidR="00D42B04" w:rsidRPr="00D42B04" w14:paraId="36DFBBD7" w14:textId="77777777" w:rsidTr="00D42B04">
        <w:trPr>
          <w:cnfStyle w:val="100000000000" w:firstRow="1" w:lastRow="0" w:firstColumn="0" w:lastColumn="0" w:oddVBand="0" w:evenVBand="0" w:oddHBand="0" w:evenHBand="0" w:firstRowFirstColumn="0" w:firstRowLastColumn="0" w:lastRowFirstColumn="0" w:lastRowLastColumn="0"/>
          <w:trHeight w:val="482"/>
          <w:tblHeader/>
        </w:trPr>
        <w:tc>
          <w:tcPr>
            <w:cnfStyle w:val="001000000000" w:firstRow="0" w:lastRow="0" w:firstColumn="1" w:lastColumn="0" w:oddVBand="0" w:evenVBand="0" w:oddHBand="0" w:evenHBand="0" w:firstRowFirstColumn="0" w:firstRowLastColumn="0" w:lastRowFirstColumn="0" w:lastRowLastColumn="0"/>
            <w:tcW w:w="1696" w:type="dxa"/>
          </w:tcPr>
          <w:p w14:paraId="01586567" w14:textId="77777777" w:rsidR="00D42B04" w:rsidRPr="00D42B04" w:rsidRDefault="00D42B04" w:rsidP="00D42B04">
            <w:pPr>
              <w:spacing w:before="120" w:after="120"/>
              <w:jc w:val="both"/>
              <w:rPr>
                <w:rFonts w:ascii="Cambria" w:hAnsi="Cambria"/>
                <w:sz w:val="22"/>
              </w:rPr>
            </w:pPr>
            <w:r w:rsidRPr="00D42B04">
              <w:rPr>
                <w:rFonts w:ascii="Cambria" w:hAnsi="Cambria"/>
                <w:sz w:val="22"/>
              </w:rPr>
              <w:t>Prezentačná / Analytická vrstva</w:t>
            </w:r>
          </w:p>
        </w:tc>
        <w:tc>
          <w:tcPr>
            <w:tcW w:w="1276" w:type="dxa"/>
          </w:tcPr>
          <w:p w14:paraId="3736E2E1"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Integračná / Analytická</w:t>
            </w:r>
          </w:p>
          <w:p w14:paraId="4FAAB000"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vrstva</w:t>
            </w:r>
          </w:p>
        </w:tc>
        <w:tc>
          <w:tcPr>
            <w:tcW w:w="5702" w:type="dxa"/>
          </w:tcPr>
          <w:p w14:paraId="622EC245"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Názov</w:t>
            </w:r>
          </w:p>
        </w:tc>
      </w:tr>
      <w:tr w:rsidR="00D42B04" w:rsidRPr="00D42B04" w14:paraId="67EC5E61" w14:textId="77777777" w:rsidTr="00D42B0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4035FABA"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 xml:space="preserve">Browser (webový </w:t>
            </w:r>
            <w:r w:rsidRPr="00D42B04">
              <w:rPr>
                <w:rFonts w:ascii="Cambria" w:hAnsi="Cambria"/>
                <w:iCs/>
                <w:sz w:val="16"/>
                <w:szCs w:val="16"/>
              </w:rPr>
              <w:t>prehliadač</w:t>
            </w:r>
            <w:r w:rsidRPr="00D42B04">
              <w:rPr>
                <w:rFonts w:ascii="Cambria" w:hAnsi="Cambria"/>
                <w:sz w:val="16"/>
                <w:szCs w:val="16"/>
              </w:rPr>
              <w:t>)</w:t>
            </w:r>
          </w:p>
        </w:tc>
        <w:tc>
          <w:tcPr>
            <w:tcW w:w="1276" w:type="dxa"/>
          </w:tcPr>
          <w:p w14:paraId="71E0805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Apoštol databáza / Qlik Sense</w:t>
            </w:r>
          </w:p>
        </w:tc>
        <w:tc>
          <w:tcPr>
            <w:tcW w:w="5702" w:type="dxa"/>
          </w:tcPr>
          <w:p w14:paraId="4CA79FF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Analytické dashboardy sa otvárajú cez tenkého klienta (webový prehliadač)</w:t>
            </w:r>
          </w:p>
          <w:p w14:paraId="55B04FA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D42B04" w:rsidRPr="00D42B04" w14:paraId="10D8AFB1" w14:textId="77777777" w:rsidTr="000C3B41">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71EDAF96" w14:textId="77777777" w:rsidR="00D42B04" w:rsidRPr="00D42B04" w:rsidRDefault="00D42B04" w:rsidP="00D42B04">
            <w:pPr>
              <w:spacing w:before="120" w:after="120"/>
              <w:jc w:val="both"/>
              <w:rPr>
                <w:rFonts w:ascii="Cambria" w:hAnsi="Cambria"/>
                <w:i/>
                <w:iCs/>
                <w:sz w:val="16"/>
                <w:szCs w:val="16"/>
              </w:rPr>
            </w:pPr>
            <w:r w:rsidRPr="00D42B04">
              <w:rPr>
                <w:rFonts w:ascii="Cambria" w:hAnsi="Cambria"/>
                <w:sz w:val="16"/>
                <w:szCs w:val="16"/>
              </w:rPr>
              <w:t>MS Power BI</w:t>
            </w:r>
          </w:p>
          <w:p w14:paraId="46761377"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 Power BI Report Server)</w:t>
            </w:r>
          </w:p>
        </w:tc>
        <w:tc>
          <w:tcPr>
            <w:tcW w:w="1276" w:type="dxa"/>
          </w:tcPr>
          <w:p w14:paraId="3AD58D6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DWH Pilot / MS Analysis Services</w:t>
            </w:r>
          </w:p>
        </w:tc>
        <w:tc>
          <w:tcPr>
            <w:tcW w:w="5702" w:type="dxa"/>
          </w:tcPr>
          <w:p w14:paraId="2D9D913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Dáta tabulárnych modelov sú otvárané z klienta MS Power BI, vytvárané reporty sú publikované do MS Power BI Report Servera.</w:t>
            </w:r>
          </w:p>
        </w:tc>
      </w:tr>
      <w:tr w:rsidR="00D42B04" w:rsidRPr="00D42B04" w14:paraId="7E903E15" w14:textId="77777777" w:rsidTr="00D42B0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tcPr>
          <w:p w14:paraId="63D8E26E"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 xml:space="preserve">Browser (webový </w:t>
            </w:r>
            <w:r w:rsidRPr="00D42B04">
              <w:rPr>
                <w:rFonts w:ascii="Cambria" w:hAnsi="Cambria"/>
                <w:iCs/>
                <w:sz w:val="16"/>
                <w:szCs w:val="16"/>
              </w:rPr>
              <w:t>prehliadač</w:t>
            </w:r>
            <w:r w:rsidRPr="00D42B04">
              <w:rPr>
                <w:rFonts w:ascii="Cambria" w:hAnsi="Cambria"/>
                <w:sz w:val="16"/>
                <w:szCs w:val="16"/>
              </w:rPr>
              <w:t>)</w:t>
            </w:r>
          </w:p>
        </w:tc>
        <w:tc>
          <w:tcPr>
            <w:tcW w:w="1276" w:type="dxa"/>
          </w:tcPr>
          <w:p w14:paraId="12737A9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sz w:val="16"/>
                <w:szCs w:val="16"/>
                <w:lang w:eastAsia="sk-SK"/>
              </w:rPr>
              <w:t>Riskhouse / MS Reporting Services</w:t>
            </w:r>
          </w:p>
        </w:tc>
        <w:tc>
          <w:tcPr>
            <w:tcW w:w="5702" w:type="dxa"/>
          </w:tcPr>
          <w:p w14:paraId="7332CA8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Prístup k reportom publikovaným na MS Reporting Services cez webový prehliadač.</w:t>
            </w:r>
          </w:p>
        </w:tc>
      </w:tr>
      <w:tr w:rsidR="00D42B04" w:rsidRPr="00D42B04" w14:paraId="1519239C" w14:textId="77777777" w:rsidTr="000C3B41">
        <w:trPr>
          <w:trHeight w:val="451"/>
        </w:trPr>
        <w:tc>
          <w:tcPr>
            <w:cnfStyle w:val="001000000000" w:firstRow="0" w:lastRow="0" w:firstColumn="1" w:lastColumn="0" w:oddVBand="0" w:evenVBand="0" w:oddHBand="0" w:evenHBand="0" w:firstRowFirstColumn="0" w:firstRowLastColumn="0" w:lastRowFirstColumn="0" w:lastRowLastColumn="0"/>
            <w:tcW w:w="1696" w:type="dxa"/>
          </w:tcPr>
          <w:p w14:paraId="7EAAAFE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MS Excel</w:t>
            </w:r>
          </w:p>
          <w:p w14:paraId="752A1524"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 xml:space="preserve">(Business Explorer </w:t>
            </w:r>
            <w:r w:rsidRPr="00D42B04">
              <w:rPr>
                <w:rFonts w:ascii="Cambria" w:hAnsi="Cambria"/>
                <w:iCs/>
                <w:sz w:val="16"/>
                <w:szCs w:val="16"/>
              </w:rPr>
              <w:t>add-in</w:t>
            </w:r>
            <w:r w:rsidRPr="00D42B04">
              <w:rPr>
                <w:rFonts w:ascii="Cambria" w:hAnsi="Cambria"/>
                <w:sz w:val="16"/>
                <w:szCs w:val="16"/>
              </w:rPr>
              <w:t>)</w:t>
            </w:r>
          </w:p>
        </w:tc>
        <w:tc>
          <w:tcPr>
            <w:tcW w:w="1276" w:type="dxa"/>
          </w:tcPr>
          <w:p w14:paraId="6A79EE2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SAP BW</w:t>
            </w:r>
          </w:p>
        </w:tc>
        <w:tc>
          <w:tcPr>
            <w:tcW w:w="5702" w:type="dxa"/>
          </w:tcPr>
          <w:p w14:paraId="62B2338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Prístup k dátam je realizovaný cez Business Explorer (Excel plug-in), ktorý umožňuje získanie dát zo SAP BW do Excelu, ale bez možnosti ďalšieho formátovania výstupov a tvorby grafov. Tieto výstupy sa robia následne v MS Excel ručne.</w:t>
            </w:r>
          </w:p>
          <w:p w14:paraId="6970527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D42B04" w:rsidRPr="00D42B04" w14:paraId="7B4033BA" w14:textId="77777777" w:rsidTr="00D42B0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077D2DF"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Štatistické nástroje</w:t>
            </w:r>
          </w:p>
        </w:tc>
        <w:tc>
          <w:tcPr>
            <w:tcW w:w="1276" w:type="dxa"/>
          </w:tcPr>
          <w:p w14:paraId="0FE1552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AŠI</w:t>
            </w:r>
          </w:p>
        </w:tc>
        <w:tc>
          <w:tcPr>
            <w:tcW w:w="5702" w:type="dxa"/>
            <w:vMerge w:val="restart"/>
          </w:tcPr>
          <w:p w14:paraId="528CB67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Pre prístup sa využívajú rôzne nástroje (Matlab, EViews, WinSolve, BEAR, R Studio, Python), pomocou ktorých sa aj generujú výstupy pre management a analytické správy (vo formáte pdf a MS Excel s tabuľkami a grafmi)</w:t>
            </w:r>
          </w:p>
        </w:tc>
      </w:tr>
      <w:tr w:rsidR="00D42B04" w:rsidRPr="00D42B04" w14:paraId="4F6743A0" w14:textId="77777777" w:rsidTr="000C3B41">
        <w:trPr>
          <w:trHeight w:val="451"/>
        </w:trPr>
        <w:tc>
          <w:tcPr>
            <w:cnfStyle w:val="001000000000" w:firstRow="0" w:lastRow="0" w:firstColumn="1" w:lastColumn="0" w:oddVBand="0" w:evenVBand="0" w:oddHBand="0" w:evenHBand="0" w:firstRowFirstColumn="0" w:firstRowLastColumn="0" w:lastRowFirstColumn="0" w:lastRowLastColumn="0"/>
            <w:tcW w:w="1696" w:type="dxa"/>
            <w:vMerge/>
          </w:tcPr>
          <w:p w14:paraId="690D55E9" w14:textId="77777777" w:rsidR="00D42B04" w:rsidRPr="00D42B04" w:rsidRDefault="00D42B04" w:rsidP="00D42B04">
            <w:pPr>
              <w:spacing w:before="120" w:after="120"/>
              <w:jc w:val="both"/>
              <w:rPr>
                <w:rFonts w:ascii="Cambria" w:hAnsi="Cambria"/>
                <w:sz w:val="22"/>
              </w:rPr>
            </w:pPr>
          </w:p>
        </w:tc>
        <w:tc>
          <w:tcPr>
            <w:tcW w:w="1276" w:type="dxa"/>
          </w:tcPr>
          <w:p w14:paraId="3FA5C8D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Makroek. databáza</w:t>
            </w:r>
          </w:p>
        </w:tc>
        <w:tc>
          <w:tcPr>
            <w:tcW w:w="5702" w:type="dxa"/>
            <w:vMerge/>
          </w:tcPr>
          <w:p w14:paraId="56171AA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bl>
    <w:p w14:paraId="479A36BA"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35" w:name="_Toc97562279"/>
      <w:bookmarkStart w:id="136" w:name="_Toc103177430"/>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12</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Aplikačná vrstva BI v NBS</w:t>
      </w:r>
      <w:bookmarkEnd w:id="135"/>
      <w:bookmarkEnd w:id="136"/>
    </w:p>
    <w:p w14:paraId="0232631A" w14:textId="77777777" w:rsidR="00D42B04" w:rsidRPr="00D42B04" w:rsidRDefault="00D42B04" w:rsidP="00D42B04">
      <w:pPr>
        <w:spacing w:after="120"/>
        <w:rPr>
          <w:rFonts w:ascii="Cambria" w:eastAsia="Yu Gothic Light" w:hAnsi="Cambria"/>
          <w:color w:val="1F3763"/>
          <w:szCs w:val="24"/>
        </w:rPr>
      </w:pPr>
      <w:r w:rsidRPr="00D42B04">
        <w:rPr>
          <w:rFonts w:ascii="Cambria" w:eastAsia="Calibri" w:hAnsi="Cambria" w:cs="Arial"/>
          <w:sz w:val="22"/>
          <w:szCs w:val="22"/>
        </w:rPr>
        <w:br w:type="page"/>
      </w:r>
    </w:p>
    <w:p w14:paraId="621094A4"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37" w:name="_Toc110518778"/>
      <w:r w:rsidRPr="00D42B04">
        <w:rPr>
          <w:rFonts w:ascii="Cambria" w:eastAsia="Yu Gothic Light" w:hAnsi="Cambria"/>
          <w:b/>
          <w:bCs/>
          <w:color w:val="2F5496"/>
          <w:szCs w:val="24"/>
        </w:rPr>
        <w:lastRenderedPageBreak/>
        <w:t>Pilot DWH</w:t>
      </w:r>
      <w:bookmarkEnd w:id="137"/>
    </w:p>
    <w:p w14:paraId="31233A4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Hlavným cieľom projektu Pilot DWH bolo vybudovanie infraštruktúry DWH/BI, zadefinovanie pojmov a základného data governence. Hlavným cieľom bolo otestovanie rôznych technológií a ich vhodnosť pre prostredie NBS. V neposlednom rade išlo o vytvorenie riešenia pre základné procesy spojené so spracovaním dát DWH a analytickými výstupmi v podobe BI riešenia.</w:t>
      </w:r>
    </w:p>
    <w:p w14:paraId="2F7EEF4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Projekt, ktorý začal v 03/2020, sa zameral na spracovanie vybraných dát zo systémov ŠZP, RBUZ a RS. </w:t>
      </w:r>
      <w:r w:rsidRPr="00D42B04">
        <w:rPr>
          <w:rFonts w:ascii="Cambria" w:eastAsia="Calibri" w:hAnsi="Cambria" w:cs="Calibri"/>
          <w:sz w:val="22"/>
          <w:szCs w:val="22"/>
        </w:rPr>
        <w:t>V súčasnosti zahŕňa asi 5 % rozsahu dát NBS.</w:t>
      </w:r>
    </w:p>
    <w:p w14:paraId="33AEA048"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Logická architektúra  Pilot DWH</w:t>
      </w:r>
    </w:p>
    <w:p w14:paraId="4D47BF0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53B53707" wp14:editId="6A0CD731">
            <wp:extent cx="5367130" cy="2325756"/>
            <wp:effectExtent l="0" t="0" r="0" b="0"/>
            <wp:docPr id="636533360" name="Picture 6365333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33360" name="Picture 636533360"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67130" cy="2325756"/>
                    </a:xfrm>
                    <a:prstGeom prst="rect">
                      <a:avLst/>
                    </a:prstGeom>
                  </pic:spPr>
                </pic:pic>
              </a:graphicData>
            </a:graphic>
          </wp:inline>
        </w:drawing>
      </w:r>
    </w:p>
    <w:p w14:paraId="547927D8"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38" w:name="_Toc90543133"/>
      <w:bookmarkStart w:id="139" w:name="_Toc104211898"/>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6</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DWH – Logická architektúra</w:t>
      </w:r>
      <w:bookmarkEnd w:id="138"/>
      <w:bookmarkEnd w:id="139"/>
    </w:p>
    <w:p w14:paraId="46FA664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Pre účely DWH bola zvolená 3-vrstvová architektúra, ktorá pozostáva zo Stage vrstvy (L0), Integračnej (L1) a Prezentačnej vrstvy (PL). L1 a PL sú modelované prístupom R. Kimball, pričom v L1 vrstve sú dáta perzistované a PL vrstva obsahuje dáta perzistované (oblasť ŠZP) ako aj pohľady nad L1 vrstvou. </w:t>
      </w:r>
    </w:p>
    <w:p w14:paraId="0F339A3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V rámci PL vrstvy boli logicky vytvorené viaceré star schémy nad objektami L1 vrstvy. SSAS tabulárny model </w:t>
      </w:r>
      <w:r w:rsidRPr="00D42B04">
        <w:rPr>
          <w:rFonts w:ascii="Cambria" w:eastAsia="Calibri" w:hAnsi="Cambria" w:cs="Calibri"/>
          <w:sz w:val="22"/>
          <w:szCs w:val="22"/>
        </w:rPr>
        <w:t>obsahuje objekty štrukturálne rovnaké ako sú objekty v PL vrstve a pomocou technického účtu si dáta preberá 1:1 z PL vrstvy</w:t>
      </w:r>
      <w:r w:rsidRPr="00D42B04">
        <w:rPr>
          <w:rFonts w:ascii="Cambria" w:eastAsia="Calibri" w:hAnsi="Cambria" w:cs="Arial"/>
          <w:sz w:val="22"/>
          <w:szCs w:val="22"/>
        </w:rPr>
        <w:t>. PL vrstva slúži aj pre zabezpečenie prístupov, či už riadkovú ako aj stĺpcovú.</w:t>
      </w:r>
    </w:p>
    <w:p w14:paraId="49AF6487"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Integrované dáta</w:t>
      </w:r>
    </w:p>
    <w:p w14:paraId="68B06C4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Zdrojové systémy pre Pilot DWH sú:</w:t>
      </w:r>
    </w:p>
    <w:p w14:paraId="5335D1F4" w14:textId="77777777" w:rsidR="00D42B04" w:rsidRPr="00D42B04" w:rsidRDefault="00D42B04" w:rsidP="00D42B04">
      <w:pPr>
        <w:numPr>
          <w:ilvl w:val="0"/>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ŠZP (</w:t>
      </w:r>
      <w:r w:rsidRPr="00D42B04">
        <w:rPr>
          <w:rFonts w:ascii="Cambria" w:eastAsia="Calibri" w:hAnsi="Cambria" w:cs="Arial"/>
          <w:b/>
          <w:bCs/>
          <w:sz w:val="22"/>
          <w:szCs w:val="22"/>
        </w:rPr>
        <w:t>Štatistický zberový portál</w:t>
      </w:r>
      <w:r w:rsidRPr="00D42B04">
        <w:rPr>
          <w:rFonts w:ascii="Cambria" w:eastAsia="Calibri" w:hAnsi="Cambria" w:cs="Arial"/>
          <w:sz w:val="22"/>
          <w:szCs w:val="22"/>
        </w:rPr>
        <w:t>) - Centrálny systém pre výkazy a hlásenia od subjektov finančného trhu pre štatistické účely a výkon funkcie dohľadu - core systém pre povinné výkazníctvo, zber dát od cca 7000 subjektov. Z toho integrované časti sú:</w:t>
      </w:r>
    </w:p>
    <w:p w14:paraId="52C45D66"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Menová a finančná štatistika</w:t>
      </w:r>
    </w:p>
    <w:p w14:paraId="523FF123"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Cenné papiere</w:t>
      </w:r>
    </w:p>
    <w:p w14:paraId="7A12B8CF"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Bilančná trieda</w:t>
      </w:r>
    </w:p>
    <w:p w14:paraId="3B48C906" w14:textId="77777777" w:rsidR="00D42B04" w:rsidRPr="00D42B04" w:rsidRDefault="00D42B04" w:rsidP="00D42B04">
      <w:pPr>
        <w:numPr>
          <w:ilvl w:val="0"/>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RBÚZ (</w:t>
      </w:r>
      <w:r w:rsidRPr="00D42B04">
        <w:rPr>
          <w:rFonts w:ascii="Cambria" w:eastAsia="Calibri" w:hAnsi="Cambria" w:cs="Arial"/>
          <w:b/>
          <w:bCs/>
          <w:sz w:val="22"/>
          <w:szCs w:val="22"/>
        </w:rPr>
        <w:t>Register bankových úverov a záruk</w:t>
      </w:r>
      <w:r w:rsidRPr="00D42B04">
        <w:rPr>
          <w:rFonts w:ascii="Cambria" w:eastAsia="Calibri" w:hAnsi="Cambria" w:cs="Arial"/>
          <w:sz w:val="22"/>
          <w:szCs w:val="22"/>
        </w:rPr>
        <w:t>) – Lokálna implementácia AnaCredit – zber údajov o bankových úveroch a zárukách – prepojený s Registrom subjektov a systémom AnaCredit. Do DWH sa prenášajú:</w:t>
      </w:r>
    </w:p>
    <w:p w14:paraId="7254AD57"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Údaje nástroja</w:t>
      </w:r>
    </w:p>
    <w:p w14:paraId="358ACB5B"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Údaje protistrana – nástroj</w:t>
      </w:r>
    </w:p>
    <w:p w14:paraId="28A83980"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Údaje spoločných záväzkov</w:t>
      </w:r>
    </w:p>
    <w:p w14:paraId="58B2BC5D" w14:textId="77777777" w:rsidR="00D42B04" w:rsidRPr="00D42B04" w:rsidRDefault="00D42B04" w:rsidP="00D42B04">
      <w:pPr>
        <w:numPr>
          <w:ilvl w:val="1"/>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Celkom cca 50 % atribútov.</w:t>
      </w:r>
    </w:p>
    <w:p w14:paraId="5BF125F5" w14:textId="77777777" w:rsidR="00D42B04" w:rsidRPr="00D42B04" w:rsidRDefault="00D42B04" w:rsidP="00D42B04">
      <w:pPr>
        <w:numPr>
          <w:ilvl w:val="0"/>
          <w:numId w:val="3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RS (</w:t>
      </w:r>
      <w:r w:rsidRPr="00D42B04">
        <w:rPr>
          <w:rFonts w:ascii="Cambria" w:eastAsia="Calibri" w:hAnsi="Cambria" w:cs="Arial"/>
          <w:b/>
          <w:bCs/>
          <w:sz w:val="22"/>
          <w:szCs w:val="22"/>
        </w:rPr>
        <w:t>Register subjektov</w:t>
      </w:r>
      <w:r w:rsidRPr="00D42B04">
        <w:rPr>
          <w:rFonts w:ascii="Cambria" w:eastAsia="Calibri" w:hAnsi="Cambria" w:cs="Arial"/>
          <w:sz w:val="22"/>
          <w:szCs w:val="22"/>
        </w:rPr>
        <w:t>) - Master systém pre subjekty, ktorých úvery sú vykazované cez RBÚZ (právnické osoby a podnikatelia) – založený na dátach ŠÚSR, RPO, RO a ďalších zdrojoch. Do DWH sa preberajú všetky autoritatívne záznamy.</w:t>
      </w:r>
    </w:p>
    <w:p w14:paraId="4D4A109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Tieto zdrojové systémy z pohľadu komplexnosti poskytnutých informácií celej NBS boli v projekte Pilot DWH integrované na cca 20 %.</w:t>
      </w:r>
    </w:p>
    <w:p w14:paraId="2D6BD3AA" w14:textId="77777777" w:rsidR="00D42B04" w:rsidRPr="00D42B04" w:rsidRDefault="00D42B04" w:rsidP="00D42B04">
      <w:pPr>
        <w:spacing w:before="120" w:after="120"/>
        <w:jc w:val="both"/>
        <w:rPr>
          <w:rFonts w:ascii="Cambria" w:eastAsia="Calibri" w:hAnsi="Cambria" w:cs="Arial"/>
          <w:sz w:val="22"/>
          <w:szCs w:val="22"/>
        </w:rPr>
      </w:pPr>
    </w:p>
    <w:p w14:paraId="1CA3F3EE"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Dátové oblasti L1 vrstvy</w:t>
      </w:r>
    </w:p>
    <w:p w14:paraId="58D1BCC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L1 vrstva obsahuje tieto star schémy</w:t>
      </w:r>
    </w:p>
    <w:tbl>
      <w:tblPr>
        <w:tblStyle w:val="GridTable4-Accent52"/>
        <w:tblW w:w="5000" w:type="pct"/>
        <w:tblLook w:val="04A0" w:firstRow="1" w:lastRow="0" w:firstColumn="1" w:lastColumn="0" w:noHBand="0" w:noVBand="1"/>
      </w:tblPr>
      <w:tblGrid>
        <w:gridCol w:w="1238"/>
        <w:gridCol w:w="1815"/>
        <w:gridCol w:w="6007"/>
      </w:tblGrid>
      <w:tr w:rsidR="00D42B04" w:rsidRPr="00D42B04" w14:paraId="4EA4197A" w14:textId="77777777" w:rsidTr="00D42B04">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47" w:type="pct"/>
            <w:hideMark/>
          </w:tcPr>
          <w:p w14:paraId="014373BD" w14:textId="77777777" w:rsidR="00D42B04" w:rsidRPr="00D42B04" w:rsidRDefault="00D42B04" w:rsidP="00D42B04">
            <w:pPr>
              <w:spacing w:before="120" w:after="120"/>
              <w:jc w:val="both"/>
              <w:rPr>
                <w:rFonts w:ascii="Cambria" w:hAnsi="Cambria"/>
                <w:sz w:val="22"/>
              </w:rPr>
            </w:pPr>
            <w:r w:rsidRPr="00D42B04">
              <w:rPr>
                <w:rFonts w:ascii="Cambria" w:hAnsi="Cambria"/>
                <w:sz w:val="22"/>
              </w:rPr>
              <w:t>Zdroj</w:t>
            </w:r>
          </w:p>
        </w:tc>
        <w:tc>
          <w:tcPr>
            <w:tcW w:w="1020" w:type="pct"/>
            <w:hideMark/>
          </w:tcPr>
          <w:p w14:paraId="13BBC68C"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Star schéma</w:t>
            </w:r>
          </w:p>
        </w:tc>
        <w:tc>
          <w:tcPr>
            <w:tcW w:w="3333" w:type="pct"/>
            <w:hideMark/>
          </w:tcPr>
          <w:p w14:paraId="25BC94C5"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Obsah</w:t>
            </w:r>
          </w:p>
        </w:tc>
      </w:tr>
      <w:tr w:rsidR="00D42B04" w:rsidRPr="00D42B04" w14:paraId="1A316145" w14:textId="77777777" w:rsidTr="00D42B0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08723F98" w14:textId="77777777" w:rsidR="00D42B04" w:rsidRPr="00D42B04" w:rsidRDefault="00D42B04" w:rsidP="00D42B04">
            <w:pPr>
              <w:spacing w:before="120" w:after="120"/>
              <w:jc w:val="both"/>
              <w:rPr>
                <w:rFonts w:ascii="Cambria" w:hAnsi="Cambria"/>
                <w:sz w:val="22"/>
              </w:rPr>
            </w:pPr>
            <w:r w:rsidRPr="00D42B04">
              <w:rPr>
                <w:rFonts w:ascii="Cambria" w:hAnsi="Cambria"/>
                <w:sz w:val="22"/>
              </w:rPr>
              <w:t>RBUZ</w:t>
            </w:r>
          </w:p>
        </w:tc>
        <w:tc>
          <w:tcPr>
            <w:tcW w:w="1020" w:type="pct"/>
            <w:hideMark/>
          </w:tcPr>
          <w:p w14:paraId="21FE52F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Inštrument a finančné dáta</w:t>
            </w:r>
          </w:p>
        </w:tc>
        <w:tc>
          <w:tcPr>
            <w:tcW w:w="3333" w:type="pct"/>
            <w:hideMark/>
          </w:tcPr>
          <w:p w14:paraId="34C239D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Statické a finančné údaje o inštrumentoch</w:t>
            </w:r>
          </w:p>
        </w:tc>
      </w:tr>
      <w:tr w:rsidR="00D42B04" w:rsidRPr="00D42B04" w14:paraId="6EAD788A" w14:textId="77777777" w:rsidTr="000C3B41">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736D5314" w14:textId="77777777" w:rsidR="00D42B04" w:rsidRPr="00D42B04" w:rsidRDefault="00D42B04" w:rsidP="00D42B04">
            <w:pPr>
              <w:spacing w:before="120" w:after="120"/>
              <w:jc w:val="both"/>
              <w:rPr>
                <w:rFonts w:ascii="Cambria" w:hAnsi="Cambria"/>
                <w:sz w:val="22"/>
              </w:rPr>
            </w:pPr>
            <w:r w:rsidRPr="00D42B04">
              <w:rPr>
                <w:rFonts w:ascii="Cambria" w:hAnsi="Cambria"/>
                <w:sz w:val="22"/>
              </w:rPr>
              <w:t>RBUZ/RS</w:t>
            </w:r>
          </w:p>
        </w:tc>
        <w:tc>
          <w:tcPr>
            <w:tcW w:w="1020" w:type="pct"/>
            <w:hideMark/>
          </w:tcPr>
          <w:p w14:paraId="44191D4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Subjekty</w:t>
            </w:r>
          </w:p>
        </w:tc>
        <w:tc>
          <w:tcPr>
            <w:tcW w:w="3333" w:type="pct"/>
            <w:hideMark/>
          </w:tcPr>
          <w:p w14:paraId="12840B2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Agregované finančné údaje z RBUZ na úrovni subjektu vystupujúceho v roli debtor (dlžník), informácie o subjektoch.</w:t>
            </w:r>
          </w:p>
        </w:tc>
      </w:tr>
      <w:tr w:rsidR="00D42B04" w:rsidRPr="00D42B04" w14:paraId="292F60DC" w14:textId="77777777" w:rsidTr="00D42B0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0FF63302" w14:textId="77777777" w:rsidR="00D42B04" w:rsidRPr="00D42B04" w:rsidRDefault="00D42B04" w:rsidP="00D42B04">
            <w:pPr>
              <w:spacing w:before="120" w:after="120"/>
              <w:jc w:val="both"/>
              <w:rPr>
                <w:rFonts w:ascii="Cambria" w:hAnsi="Cambria"/>
                <w:sz w:val="22"/>
              </w:rPr>
            </w:pPr>
            <w:r w:rsidRPr="00D42B04">
              <w:rPr>
                <w:rFonts w:ascii="Cambria" w:hAnsi="Cambria"/>
                <w:sz w:val="22"/>
              </w:rPr>
              <w:t>ŠZP</w:t>
            </w:r>
          </w:p>
        </w:tc>
        <w:tc>
          <w:tcPr>
            <w:tcW w:w="1020" w:type="pct"/>
            <w:hideMark/>
          </w:tcPr>
          <w:p w14:paraId="730F845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Trieda MFŠ</w:t>
            </w:r>
          </w:p>
        </w:tc>
        <w:tc>
          <w:tcPr>
            <w:tcW w:w="3333" w:type="pct"/>
            <w:hideMark/>
          </w:tcPr>
          <w:p w14:paraId="35556C7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Menová a finančná štatistika dohľadaných subjektov. Star schéma je organizovaná vo forme key-value, kde key atribút určuje významovosť hodnoty</w:t>
            </w:r>
          </w:p>
        </w:tc>
      </w:tr>
      <w:tr w:rsidR="00D42B04" w:rsidRPr="00D42B04" w14:paraId="6F20F674" w14:textId="77777777" w:rsidTr="000C3B41">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19A397EA" w14:textId="77777777" w:rsidR="00D42B04" w:rsidRPr="00D42B04" w:rsidRDefault="00D42B04" w:rsidP="00D42B04">
            <w:pPr>
              <w:spacing w:before="120" w:after="120"/>
              <w:jc w:val="both"/>
              <w:rPr>
                <w:rFonts w:ascii="Cambria" w:hAnsi="Cambria"/>
                <w:sz w:val="22"/>
              </w:rPr>
            </w:pPr>
            <w:r w:rsidRPr="00D42B04">
              <w:rPr>
                <w:rFonts w:ascii="Cambria" w:hAnsi="Cambria"/>
                <w:sz w:val="22"/>
              </w:rPr>
              <w:t>ŠZP</w:t>
            </w:r>
          </w:p>
        </w:tc>
        <w:tc>
          <w:tcPr>
            <w:tcW w:w="1020" w:type="pct"/>
            <w:hideMark/>
          </w:tcPr>
          <w:p w14:paraId="3407A42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Trieda bilancie</w:t>
            </w:r>
          </w:p>
        </w:tc>
        <w:tc>
          <w:tcPr>
            <w:tcW w:w="3333" w:type="pct"/>
            <w:hideMark/>
          </w:tcPr>
          <w:p w14:paraId="243061B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Bilančné výkazy dohľadaných subjektov. Star schéma je organizovaná vo forme key-value, kde key atribút určuje významovosť hodnoty</w:t>
            </w:r>
          </w:p>
        </w:tc>
      </w:tr>
      <w:tr w:rsidR="00D42B04" w:rsidRPr="00D42B04" w14:paraId="4925B8B6" w14:textId="77777777" w:rsidTr="00D42B0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5E9BA598" w14:textId="77777777" w:rsidR="00D42B04" w:rsidRPr="00D42B04" w:rsidRDefault="00D42B04" w:rsidP="00D42B04">
            <w:pPr>
              <w:spacing w:before="120" w:after="120"/>
              <w:jc w:val="both"/>
              <w:rPr>
                <w:rFonts w:ascii="Cambria" w:hAnsi="Cambria"/>
                <w:sz w:val="22"/>
              </w:rPr>
            </w:pPr>
            <w:r w:rsidRPr="00D42B04">
              <w:rPr>
                <w:rFonts w:ascii="Cambria" w:hAnsi="Cambria"/>
                <w:sz w:val="22"/>
              </w:rPr>
              <w:t>ŠZP</w:t>
            </w:r>
          </w:p>
        </w:tc>
        <w:tc>
          <w:tcPr>
            <w:tcW w:w="1020" w:type="pct"/>
            <w:hideMark/>
          </w:tcPr>
          <w:p w14:paraId="142C8FF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Trieda Cenné papiere</w:t>
            </w:r>
          </w:p>
        </w:tc>
        <w:tc>
          <w:tcPr>
            <w:tcW w:w="3333" w:type="pct"/>
            <w:hideMark/>
          </w:tcPr>
          <w:p w14:paraId="0C9B9EB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Výkazy cenných papierov dohľadaných subjektov. Star schéma je organizovaná vo forme key-value, kde key atribút určuje významovosť hodnoty</w:t>
            </w:r>
          </w:p>
        </w:tc>
      </w:tr>
      <w:tr w:rsidR="00D42B04" w:rsidRPr="00D42B04" w14:paraId="3A5F7789" w14:textId="77777777" w:rsidTr="000C3B41">
        <w:trPr>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472C0837" w14:textId="77777777" w:rsidR="00D42B04" w:rsidRPr="00D42B04" w:rsidRDefault="00D42B04" w:rsidP="00D42B04">
            <w:pPr>
              <w:spacing w:before="120" w:after="120"/>
              <w:jc w:val="both"/>
              <w:rPr>
                <w:rFonts w:ascii="Cambria" w:hAnsi="Cambria"/>
                <w:sz w:val="22"/>
              </w:rPr>
            </w:pPr>
            <w:r w:rsidRPr="00D42B04">
              <w:rPr>
                <w:rFonts w:ascii="Cambria" w:hAnsi="Cambria"/>
                <w:sz w:val="22"/>
              </w:rPr>
              <w:t>DWH (MFŠ, RBUZ/RS)</w:t>
            </w:r>
          </w:p>
        </w:tc>
        <w:tc>
          <w:tcPr>
            <w:tcW w:w="1020" w:type="pct"/>
            <w:hideMark/>
          </w:tcPr>
          <w:p w14:paraId="7F44079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 xml:space="preserve"> Konsolidovaný model MFŠ-RBÚZ</w:t>
            </w:r>
          </w:p>
        </w:tc>
        <w:tc>
          <w:tcPr>
            <w:tcW w:w="3333" w:type="pct"/>
            <w:hideMark/>
          </w:tcPr>
          <w:p w14:paraId="6FE4DF8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 xml:space="preserve"> Konsolidácia údajov zo štatistickej triedy MFŠ a RBUZ/RS. Porovnanie nominálnej hodnoty vykázanej ako agregát v ŠZP a napočítaného údaju z granulárnych dát RBUZ/RS podľa BSI metodiky (ECB).</w:t>
            </w:r>
          </w:p>
        </w:tc>
      </w:tr>
      <w:tr w:rsidR="00D42B04" w:rsidRPr="00D42B04" w14:paraId="2A6D7280" w14:textId="77777777" w:rsidTr="00D42B0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47" w:type="pct"/>
            <w:hideMark/>
          </w:tcPr>
          <w:p w14:paraId="7B799F9A" w14:textId="77777777" w:rsidR="00D42B04" w:rsidRPr="00D42B04" w:rsidRDefault="00D42B04" w:rsidP="00D42B04">
            <w:pPr>
              <w:spacing w:before="120" w:after="120"/>
              <w:jc w:val="both"/>
              <w:rPr>
                <w:rFonts w:ascii="Cambria" w:hAnsi="Cambria"/>
                <w:sz w:val="22"/>
              </w:rPr>
            </w:pPr>
            <w:r w:rsidRPr="00D42B04">
              <w:rPr>
                <w:rFonts w:ascii="Cambria" w:hAnsi="Cambria"/>
                <w:sz w:val="22"/>
              </w:rPr>
              <w:t>RBUZ/RS</w:t>
            </w:r>
          </w:p>
        </w:tc>
        <w:tc>
          <w:tcPr>
            <w:tcW w:w="1020" w:type="pct"/>
            <w:hideMark/>
          </w:tcPr>
          <w:p w14:paraId="03ECD92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Prepojenie subjektu a inštrumentu</w:t>
            </w:r>
          </w:p>
        </w:tc>
        <w:tc>
          <w:tcPr>
            <w:tcW w:w="3333" w:type="pct"/>
            <w:hideMark/>
          </w:tcPr>
          <w:p w14:paraId="30543B2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42B04">
              <w:rPr>
                <w:rFonts w:ascii="Cambria" w:hAnsi="Cambria"/>
                <w:sz w:val="22"/>
              </w:rPr>
              <w:t>Prepojenie inštrumentu na subjekt vystupujúci v konkretnej roli (debtor, creditor...), údaje spoločných záväzkov a nominálnej hodnoty napočítanej podľa BSI štatistiky (ECB).</w:t>
            </w:r>
          </w:p>
        </w:tc>
      </w:tr>
    </w:tbl>
    <w:p w14:paraId="43CE6899"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40" w:name="_Toc90543160"/>
      <w:bookmarkStart w:id="141" w:name="_Toc103177431"/>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13</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Star-schémy DWH – vrstvy L1</w:t>
      </w:r>
      <w:bookmarkEnd w:id="140"/>
      <w:bookmarkEnd w:id="141"/>
    </w:p>
    <w:p w14:paraId="608F9617"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lastRenderedPageBreak/>
        <w:t>Technická architektúra Pilot DWH“</w:t>
      </w:r>
    </w:p>
    <w:p w14:paraId="7F7DC86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09A84FDE" wp14:editId="190C9BB1">
            <wp:extent cx="5150386" cy="3562350"/>
            <wp:effectExtent l="0" t="0" r="0" b="0"/>
            <wp:docPr id="1120684178" name="Picture 112068417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84178" name="Picture 1120684178" descr="Graphical user interfac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150386" cy="3562350"/>
                    </a:xfrm>
                    <a:prstGeom prst="rect">
                      <a:avLst/>
                    </a:prstGeom>
                  </pic:spPr>
                </pic:pic>
              </a:graphicData>
            </a:graphic>
          </wp:inline>
        </w:drawing>
      </w:r>
      <w:r w:rsidRPr="00D42B04">
        <w:rPr>
          <w:rFonts w:ascii="Cambria" w:eastAsia="Calibri" w:hAnsi="Cambria" w:cs="Arial"/>
          <w:sz w:val="22"/>
          <w:szCs w:val="22"/>
        </w:rPr>
        <w:t xml:space="preserve"> </w:t>
      </w:r>
    </w:p>
    <w:p w14:paraId="177DB4F1"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42" w:name="_Toc90543134"/>
      <w:bookmarkStart w:id="143" w:name="_Toc104211899"/>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7</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xml:space="preserve">: DWH – Technická </w:t>
      </w:r>
      <w:r w:rsidRPr="00D42B04">
        <w:rPr>
          <w:rFonts w:ascii="Cambria" w:eastAsia="Calibri" w:hAnsi="Cambria" w:cs="Calibri"/>
          <w:i/>
          <w:iCs/>
          <w:color w:val="44546A"/>
          <w:sz w:val="18"/>
          <w:szCs w:val="18"/>
        </w:rPr>
        <w:t>architektúra</w:t>
      </w:r>
      <w:bookmarkEnd w:id="142"/>
      <w:bookmarkEnd w:id="143"/>
    </w:p>
    <w:p w14:paraId="4C934AE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Ako základ pre DWH bola zvolená databáza od firmy Oracle. Pre BI riešenie bolo zvolené Microsoft SQL Server Analysis Services s reporting platformou Power BI.</w:t>
      </w:r>
    </w:p>
    <w:p w14:paraId="49AD797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rámci DWH existujú 2 prostredia:</w:t>
      </w:r>
    </w:p>
    <w:p w14:paraId="1F192272" w14:textId="77777777" w:rsidR="00D42B04" w:rsidRPr="00D42B04" w:rsidRDefault="00D42B04" w:rsidP="00D42B04">
      <w:pPr>
        <w:numPr>
          <w:ilvl w:val="0"/>
          <w:numId w:val="5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DEV používané ako na vývoj tak aj testovanie  </w:t>
      </w:r>
    </w:p>
    <w:p w14:paraId="224B37F2" w14:textId="77777777" w:rsidR="00D42B04" w:rsidRPr="00D42B04" w:rsidRDefault="00D42B04" w:rsidP="00D42B04">
      <w:pPr>
        <w:numPr>
          <w:ilvl w:val="0"/>
          <w:numId w:val="5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Samotné produkčné prostredie. </w:t>
      </w:r>
    </w:p>
    <w:p w14:paraId="3AAE122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Každé prostredie má samostatnú databázu a samostatný HW.</w:t>
      </w:r>
    </w:p>
    <w:p w14:paraId="42FB812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Spracovanie zdrojových dát prebieha nasledujúcim spôsobom:</w:t>
      </w:r>
    </w:p>
    <w:p w14:paraId="45971308" w14:textId="77777777" w:rsidR="00D42B04" w:rsidRPr="00D42B04" w:rsidRDefault="00D42B04" w:rsidP="00D42B04">
      <w:pPr>
        <w:numPr>
          <w:ilvl w:val="0"/>
          <w:numId w:val="5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Dáta sa extrahujú cez databázovú linku Oracle-&gt;Oracle cez extrakčné pohľady, pričom z nich si berie full množinu dát. </w:t>
      </w:r>
    </w:p>
    <w:p w14:paraId="4FC1ED87" w14:textId="77777777" w:rsidR="00D42B04" w:rsidRPr="00D42B04" w:rsidRDefault="00D42B04" w:rsidP="00D42B04">
      <w:pPr>
        <w:numPr>
          <w:ilvl w:val="0"/>
          <w:numId w:val="5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Dáta sú prenesené do temporárnych tabuliek v DWH. </w:t>
      </w:r>
    </w:p>
    <w:p w14:paraId="5DC222CB" w14:textId="77777777" w:rsidR="00D42B04" w:rsidRPr="00D42B04" w:rsidRDefault="00D42B04" w:rsidP="00D42B04">
      <w:pPr>
        <w:numPr>
          <w:ilvl w:val="0"/>
          <w:numId w:val="5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L0 schéme sú však za daný deň uložené full snímky ako aj inkrementálne snímky, ktoré sú tvorené porovnaním 2 po sebe idúcich full snímkov. Tabuľky v L0 schéme sú organizované podľa zdrojového systému a samotného extrakčného pohľadu. Výnimku tvorí hlavná tabuľka výkazov ŠZP, ktorá obsahuje cez 1 mld záznamov. Z tejto tabuľky sú dáta ukladané do osobitných, štrukturálne rovnakých tabuliek podľa samotných tried. Nedochádza k transformácii dát zo zdrojových systémov.</w:t>
      </w:r>
    </w:p>
    <w:p w14:paraId="7BBD9BE9" w14:textId="77777777" w:rsidR="00D42B04" w:rsidRPr="00D42B04" w:rsidRDefault="00D42B04" w:rsidP="00D42B04">
      <w:pPr>
        <w:numPr>
          <w:ilvl w:val="0"/>
          <w:numId w:val="5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Ako posledný krok beží vloženie všetkých chýbajúcich záznamov tak, aby inkrementálne snímky zachovali referenčnú integritu.</w:t>
      </w:r>
    </w:p>
    <w:p w14:paraId="34133581" w14:textId="77777777" w:rsidR="00D42B04" w:rsidRPr="00D42B04" w:rsidRDefault="00D42B04" w:rsidP="00D42B04">
      <w:pPr>
        <w:numPr>
          <w:ilvl w:val="0"/>
          <w:numId w:val="5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Integrácia dát do L1 vrstvy je zabezpečená pomocou PL/SQL procedúr, ktorých úlohou je:</w:t>
      </w:r>
    </w:p>
    <w:p w14:paraId="5FF85314" w14:textId="77777777" w:rsidR="00D42B04" w:rsidRPr="00D42B04" w:rsidRDefault="00D42B04" w:rsidP="00D42B04">
      <w:pPr>
        <w:numPr>
          <w:ilvl w:val="0"/>
          <w:numId w:val="6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Vygenerovanie umelých kľúčov pre príslušnú tabuľku</w:t>
      </w:r>
    </w:p>
    <w:p w14:paraId="54980F77" w14:textId="77777777" w:rsidR="00D42B04" w:rsidRPr="00D42B04" w:rsidRDefault="00D42B04" w:rsidP="00D42B04">
      <w:pPr>
        <w:numPr>
          <w:ilvl w:val="0"/>
          <w:numId w:val="6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Transformovanie dát do perzistentných LD tabuliek, ktoré sú obrazom tabuliek L1.</w:t>
      </w:r>
    </w:p>
    <w:p w14:paraId="689622F7" w14:textId="77777777" w:rsidR="00D42B04" w:rsidRPr="00D42B04" w:rsidRDefault="00D42B04" w:rsidP="00D42B04">
      <w:pPr>
        <w:numPr>
          <w:ilvl w:val="0"/>
          <w:numId w:val="6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Historizácia dát z LD tabuliek do L1 v závislosti na typu tabuľky</w:t>
      </w:r>
    </w:p>
    <w:p w14:paraId="62C85CA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spracovanie dát v rámci DWH (microscheduling) sa používa custom workflow nástroj vyvinutý zhotoviteľom pilotu.</w:t>
      </w:r>
    </w:p>
    <w:p w14:paraId="3B978DB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spracovanie dát do tabulárnych modelov SSAS sa používa SQL Server Integration Services.</w:t>
      </w:r>
    </w:p>
    <w:p w14:paraId="4023B86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Dostupná dokumentácia k pilotnému DWH/BI</w:t>
      </w:r>
    </w:p>
    <w:p w14:paraId="356575D2"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Základné princípy DWH/BI - Teoretický materiál</w:t>
      </w:r>
    </w:p>
    <w:p w14:paraId="1065DA8D"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Funkčný návrh DWH/BI - Logický a funkčný návrh riešenia PL vrstvy, popisuje zvolenú metodiku modelovania podľa R.Kimballa, popis star schém (datamartov), fyzický návrh modelu PL vrstvy</w:t>
      </w:r>
    </w:p>
    <w:p w14:paraId="2E7DFDDC"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Architektúra DWH/BI - Návrh integrácie okolitých systémov, ETL architektúra a workflow manažment, BI a reporting</w:t>
      </w:r>
    </w:p>
    <w:p w14:paraId="3280A1F6"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Technické požiadavky na zabezpečenie DWH/BI - Popis HW a SW požiadaviek na zabezpečenie serverových komponentov DWH a BI, špecifikácia prostredí</w:t>
      </w:r>
    </w:p>
    <w:p w14:paraId="0BD22752"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Menné konvencie</w:t>
      </w:r>
    </w:p>
    <w:p w14:paraId="183B3D2C" w14:textId="77777777" w:rsidR="00D42B04" w:rsidRPr="00D42B04" w:rsidRDefault="00D42B04" w:rsidP="00D42B04">
      <w:pPr>
        <w:numPr>
          <w:ilvl w:val="0"/>
          <w:numId w:val="5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Technické riešenie DWH - Detailný technický popis jednotlivých vrstiev DWH/BI, ETL objektov, logovaní a zabezpečenie DWH/BI</w:t>
      </w:r>
    </w:p>
    <w:p w14:paraId="33A6864B"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Reporting</w:t>
      </w:r>
    </w:p>
    <w:p w14:paraId="167AC5C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Projekt Pilot DWH zaviedol BI infraštruktúru pre reporting postavenú na nástroji MS Power BI a MS Power BI Report Server. </w:t>
      </w:r>
    </w:p>
    <w:p w14:paraId="7F018D7F"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HW špecifikácia Pilot DWH</w:t>
      </w:r>
    </w:p>
    <w:tbl>
      <w:tblPr>
        <w:tblStyle w:val="GridTable4-Accent52"/>
        <w:tblW w:w="0" w:type="auto"/>
        <w:tblLook w:val="04A0" w:firstRow="1" w:lastRow="0" w:firstColumn="1" w:lastColumn="0" w:noHBand="0" w:noVBand="1"/>
      </w:tblPr>
      <w:tblGrid>
        <w:gridCol w:w="1413"/>
        <w:gridCol w:w="3685"/>
        <w:gridCol w:w="3389"/>
      </w:tblGrid>
      <w:tr w:rsidR="00D42B04" w:rsidRPr="00D42B04" w14:paraId="48DCA02E" w14:textId="77777777" w:rsidTr="00D42B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799E4229" w14:textId="77777777" w:rsidR="00D42B04" w:rsidRPr="00D42B04" w:rsidRDefault="00D42B04" w:rsidP="00D42B04">
            <w:pPr>
              <w:spacing w:before="120" w:after="120"/>
              <w:jc w:val="both"/>
              <w:rPr>
                <w:rFonts w:ascii="Cambria" w:hAnsi="Cambria"/>
                <w:sz w:val="22"/>
              </w:rPr>
            </w:pPr>
            <w:bookmarkStart w:id="144" w:name="_Hlk99352572"/>
            <w:r w:rsidRPr="00D42B04">
              <w:rPr>
                <w:rFonts w:ascii="Cambria" w:hAnsi="Cambria"/>
                <w:sz w:val="22"/>
              </w:rPr>
              <w:t>HW komponent</w:t>
            </w:r>
          </w:p>
        </w:tc>
        <w:tc>
          <w:tcPr>
            <w:tcW w:w="3685" w:type="dxa"/>
          </w:tcPr>
          <w:p w14:paraId="475D1701"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Typ</w:t>
            </w:r>
          </w:p>
        </w:tc>
        <w:tc>
          <w:tcPr>
            <w:tcW w:w="3389" w:type="dxa"/>
          </w:tcPr>
          <w:p w14:paraId="594861CB"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Parametre</w:t>
            </w:r>
          </w:p>
        </w:tc>
      </w:tr>
      <w:tr w:rsidR="00D42B04" w:rsidRPr="00D42B04" w14:paraId="3CD193EA"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52F9F314" w14:textId="77777777" w:rsidR="00D42B04" w:rsidRPr="00D42B04" w:rsidRDefault="00D42B04" w:rsidP="00D42B04">
            <w:pPr>
              <w:spacing w:before="120" w:after="120"/>
              <w:jc w:val="both"/>
              <w:rPr>
                <w:rFonts w:ascii="Cambria" w:hAnsi="Cambria" w:cs="Calibri"/>
                <w:sz w:val="16"/>
                <w:szCs w:val="16"/>
              </w:rPr>
            </w:pPr>
            <w:r w:rsidRPr="00D42B04">
              <w:rPr>
                <w:rFonts w:ascii="Cambria" w:hAnsi="Cambria" w:cs="Calibri"/>
                <w:sz w:val="16"/>
                <w:szCs w:val="16"/>
              </w:rPr>
              <w:t>DB server</w:t>
            </w:r>
          </w:p>
        </w:tc>
        <w:tc>
          <w:tcPr>
            <w:tcW w:w="3685" w:type="dxa"/>
          </w:tcPr>
          <w:p w14:paraId="59EF357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Výrobca/ verzia</w:t>
            </w:r>
          </w:p>
        </w:tc>
        <w:tc>
          <w:tcPr>
            <w:tcW w:w="3389" w:type="dxa"/>
          </w:tcPr>
          <w:p w14:paraId="48E2B89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Oracle 19c EE + Partitioning option</w:t>
            </w:r>
          </w:p>
        </w:tc>
      </w:tr>
      <w:tr w:rsidR="00D42B04" w:rsidRPr="00D42B04" w14:paraId="766406E6"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4F243DEA" w14:textId="77777777" w:rsidR="00D42B04" w:rsidRPr="00D42B04" w:rsidRDefault="00D42B04" w:rsidP="00D42B04">
            <w:pPr>
              <w:spacing w:before="120" w:after="120"/>
              <w:jc w:val="both"/>
              <w:rPr>
                <w:rFonts w:ascii="Cambria" w:hAnsi="Cambria" w:cs="Calibri"/>
                <w:sz w:val="16"/>
                <w:szCs w:val="16"/>
              </w:rPr>
            </w:pPr>
          </w:p>
        </w:tc>
        <w:tc>
          <w:tcPr>
            <w:tcW w:w="3685" w:type="dxa"/>
          </w:tcPr>
          <w:p w14:paraId="3C6825E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Operačný systém</w:t>
            </w:r>
          </w:p>
        </w:tc>
        <w:tc>
          <w:tcPr>
            <w:tcW w:w="3389" w:type="dxa"/>
          </w:tcPr>
          <w:p w14:paraId="0282FE5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Oracle Linux 8 (RedHat)</w:t>
            </w:r>
          </w:p>
        </w:tc>
      </w:tr>
      <w:tr w:rsidR="00D42B04" w:rsidRPr="00D42B04" w14:paraId="7AD709F6"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669A7B4" w14:textId="77777777" w:rsidR="00D42B04" w:rsidRPr="00D42B04" w:rsidRDefault="00D42B04" w:rsidP="00D42B04">
            <w:pPr>
              <w:spacing w:before="120" w:after="120"/>
              <w:jc w:val="both"/>
              <w:rPr>
                <w:rFonts w:ascii="Cambria" w:hAnsi="Cambria" w:cs="Calibri"/>
                <w:sz w:val="16"/>
                <w:szCs w:val="16"/>
              </w:rPr>
            </w:pPr>
          </w:p>
        </w:tc>
        <w:tc>
          <w:tcPr>
            <w:tcW w:w="3685" w:type="dxa"/>
          </w:tcPr>
          <w:p w14:paraId="4E53A8C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RAM (Typ, počet)</w:t>
            </w:r>
          </w:p>
        </w:tc>
        <w:tc>
          <w:tcPr>
            <w:tcW w:w="3389" w:type="dxa"/>
          </w:tcPr>
          <w:p w14:paraId="7A7F25B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512GB, DB má dedikované SGA/PGA na úrovni 50GB/40GB</w:t>
            </w:r>
          </w:p>
        </w:tc>
      </w:tr>
      <w:tr w:rsidR="00D42B04" w:rsidRPr="00D42B04" w14:paraId="1480F0F2"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26A627F7" w14:textId="77777777" w:rsidR="00D42B04" w:rsidRPr="00D42B04" w:rsidRDefault="00D42B04" w:rsidP="00D42B04">
            <w:pPr>
              <w:spacing w:before="120" w:after="120"/>
              <w:jc w:val="both"/>
              <w:rPr>
                <w:rFonts w:ascii="Cambria" w:hAnsi="Cambria" w:cs="Calibri"/>
                <w:sz w:val="16"/>
                <w:szCs w:val="16"/>
              </w:rPr>
            </w:pPr>
          </w:p>
        </w:tc>
        <w:tc>
          <w:tcPr>
            <w:tcW w:w="3685" w:type="dxa"/>
          </w:tcPr>
          <w:p w14:paraId="4F58037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CPU (Typ, počet)</w:t>
            </w:r>
          </w:p>
        </w:tc>
        <w:tc>
          <w:tcPr>
            <w:tcW w:w="3389" w:type="dxa"/>
          </w:tcPr>
          <w:p w14:paraId="7E8A238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1xCPU Xeon Gold 6244 (8 cores), 3,6 GHz; 1 slot ešte voľný</w:t>
            </w:r>
          </w:p>
        </w:tc>
      </w:tr>
      <w:tr w:rsidR="00D42B04" w:rsidRPr="00D42B04" w14:paraId="1005C435"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31A828BD" w14:textId="77777777" w:rsidR="00D42B04" w:rsidRPr="00D42B04" w:rsidRDefault="00D42B04" w:rsidP="00D42B04">
            <w:pPr>
              <w:spacing w:before="120" w:after="120"/>
              <w:jc w:val="both"/>
              <w:rPr>
                <w:rFonts w:ascii="Cambria" w:hAnsi="Cambria" w:cs="Calibri"/>
                <w:sz w:val="16"/>
                <w:szCs w:val="16"/>
              </w:rPr>
            </w:pPr>
          </w:p>
        </w:tc>
        <w:tc>
          <w:tcPr>
            <w:tcW w:w="3685" w:type="dxa"/>
          </w:tcPr>
          <w:p w14:paraId="1B2FB6A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Súčasná utilizácia CPU</w:t>
            </w:r>
          </w:p>
        </w:tc>
        <w:tc>
          <w:tcPr>
            <w:tcW w:w="3389" w:type="dxa"/>
          </w:tcPr>
          <w:p w14:paraId="107FC06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v maxime 30%</w:t>
            </w:r>
          </w:p>
        </w:tc>
      </w:tr>
      <w:tr w:rsidR="00D42B04" w:rsidRPr="00D42B04" w14:paraId="4DFD6D39"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4844D7FB" w14:textId="77777777" w:rsidR="00D42B04" w:rsidRPr="00D42B04" w:rsidRDefault="00D42B04" w:rsidP="00D42B04">
            <w:pPr>
              <w:spacing w:before="120" w:after="120"/>
              <w:jc w:val="both"/>
              <w:rPr>
                <w:rFonts w:ascii="Cambria" w:hAnsi="Cambria" w:cs="Calibri"/>
                <w:sz w:val="16"/>
                <w:szCs w:val="16"/>
              </w:rPr>
            </w:pPr>
          </w:p>
        </w:tc>
        <w:tc>
          <w:tcPr>
            <w:tcW w:w="3685" w:type="dxa"/>
          </w:tcPr>
          <w:p w14:paraId="141E90E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Veľkosť DB</w:t>
            </w:r>
          </w:p>
        </w:tc>
        <w:tc>
          <w:tcPr>
            <w:tcW w:w="3389" w:type="dxa"/>
          </w:tcPr>
          <w:p w14:paraId="73A9A3C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2TB (dáta a indexy)</w:t>
            </w:r>
          </w:p>
        </w:tc>
      </w:tr>
      <w:tr w:rsidR="00D42B04" w:rsidRPr="00D42B04" w14:paraId="6EF388EB"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0E5412D4" w14:textId="77777777" w:rsidR="00D42B04" w:rsidRPr="00D42B04" w:rsidRDefault="00D42B04" w:rsidP="00D42B04">
            <w:pPr>
              <w:spacing w:before="120" w:after="120"/>
              <w:jc w:val="both"/>
              <w:rPr>
                <w:rFonts w:ascii="Cambria" w:hAnsi="Cambria" w:cs="Calibri"/>
                <w:sz w:val="16"/>
                <w:szCs w:val="16"/>
              </w:rPr>
            </w:pPr>
          </w:p>
        </w:tc>
        <w:tc>
          <w:tcPr>
            <w:tcW w:w="3685" w:type="dxa"/>
          </w:tcPr>
          <w:p w14:paraId="4A6310C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Diskové pole  (Typ HDD, počet, veľkosť)</w:t>
            </w:r>
          </w:p>
        </w:tc>
        <w:tc>
          <w:tcPr>
            <w:tcW w:w="3389" w:type="dxa"/>
          </w:tcPr>
          <w:p w14:paraId="558874B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14x 3TB SSD lokálne disky, zapojené do RAID6, cez PCI RAID radič, je možné zriadiť prístup aj na centrálne diskové pole 3PAR, lebo server má 2x 16 Gbit FC karty</w:t>
            </w:r>
          </w:p>
        </w:tc>
      </w:tr>
      <w:tr w:rsidR="00D42B04" w:rsidRPr="00D42B04" w14:paraId="57BC6DF2"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0FD88ECB" w14:textId="77777777" w:rsidR="00D42B04" w:rsidRPr="00D42B04" w:rsidRDefault="00D42B04" w:rsidP="00D42B04">
            <w:pPr>
              <w:spacing w:before="120" w:after="120"/>
              <w:jc w:val="both"/>
              <w:rPr>
                <w:rFonts w:ascii="Cambria" w:hAnsi="Cambria" w:cs="Calibri"/>
                <w:sz w:val="16"/>
                <w:szCs w:val="16"/>
              </w:rPr>
            </w:pPr>
          </w:p>
        </w:tc>
        <w:tc>
          <w:tcPr>
            <w:tcW w:w="3685" w:type="dxa"/>
          </w:tcPr>
          <w:p w14:paraId="01EAB91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LAN na diskové pole (rýchlosť, počet)</w:t>
            </w:r>
          </w:p>
        </w:tc>
        <w:tc>
          <w:tcPr>
            <w:tcW w:w="3389" w:type="dxa"/>
          </w:tcPr>
          <w:p w14:paraId="24CC96A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w:t>
            </w:r>
          </w:p>
        </w:tc>
      </w:tr>
      <w:tr w:rsidR="00D42B04" w:rsidRPr="00D42B04" w14:paraId="165B00D6"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2D2AF42" w14:textId="77777777" w:rsidR="00D42B04" w:rsidRPr="00D42B04" w:rsidRDefault="00D42B04" w:rsidP="00D42B04">
            <w:pPr>
              <w:spacing w:before="120" w:after="120"/>
              <w:jc w:val="both"/>
              <w:rPr>
                <w:rFonts w:ascii="Cambria" w:hAnsi="Cambria" w:cs="Calibri"/>
                <w:sz w:val="16"/>
                <w:szCs w:val="16"/>
              </w:rPr>
            </w:pPr>
          </w:p>
        </w:tc>
        <w:tc>
          <w:tcPr>
            <w:tcW w:w="3685" w:type="dxa"/>
          </w:tcPr>
          <w:p w14:paraId="179A68B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LAN do siete (rýchlosť, počet)</w:t>
            </w:r>
          </w:p>
        </w:tc>
        <w:tc>
          <w:tcPr>
            <w:tcW w:w="3389" w:type="dxa"/>
          </w:tcPr>
          <w:p w14:paraId="19B02A7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4x 10GBit</w:t>
            </w:r>
          </w:p>
        </w:tc>
      </w:tr>
      <w:tr w:rsidR="00D42B04" w:rsidRPr="00D42B04" w14:paraId="53CBB3BD"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val="restart"/>
          </w:tcPr>
          <w:p w14:paraId="3C3BDC26" w14:textId="77777777" w:rsidR="00D42B04" w:rsidRPr="00D42B04" w:rsidRDefault="00D42B04" w:rsidP="00D42B04">
            <w:pPr>
              <w:spacing w:before="120" w:after="120"/>
              <w:jc w:val="both"/>
              <w:rPr>
                <w:rFonts w:ascii="Cambria" w:hAnsi="Cambria" w:cs="Calibri"/>
                <w:sz w:val="16"/>
                <w:szCs w:val="16"/>
              </w:rPr>
            </w:pPr>
            <w:r w:rsidRPr="00D42B04">
              <w:rPr>
                <w:rFonts w:ascii="Cambria" w:hAnsi="Cambria" w:cs="Calibri"/>
                <w:sz w:val="16"/>
                <w:szCs w:val="16"/>
              </w:rPr>
              <w:t>Reporting / BI server</w:t>
            </w:r>
          </w:p>
        </w:tc>
        <w:tc>
          <w:tcPr>
            <w:tcW w:w="3685" w:type="dxa"/>
          </w:tcPr>
          <w:p w14:paraId="5F795F7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Výrobca/ verzia</w:t>
            </w:r>
          </w:p>
        </w:tc>
        <w:tc>
          <w:tcPr>
            <w:tcW w:w="3389" w:type="dxa"/>
          </w:tcPr>
          <w:p w14:paraId="4E4F506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MS SQL Server 2019 Enterprise</w:t>
            </w:r>
          </w:p>
        </w:tc>
      </w:tr>
      <w:tr w:rsidR="00D42B04" w:rsidRPr="00D42B04" w14:paraId="09705579"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48BB4854" w14:textId="77777777" w:rsidR="00D42B04" w:rsidRPr="00D42B04" w:rsidRDefault="00D42B04" w:rsidP="00D42B04">
            <w:pPr>
              <w:spacing w:before="120" w:after="120"/>
              <w:jc w:val="both"/>
              <w:rPr>
                <w:rFonts w:ascii="Cambria" w:hAnsi="Cambria" w:cs="Calibri"/>
                <w:sz w:val="16"/>
                <w:szCs w:val="16"/>
              </w:rPr>
            </w:pPr>
          </w:p>
        </w:tc>
        <w:tc>
          <w:tcPr>
            <w:tcW w:w="3685" w:type="dxa"/>
          </w:tcPr>
          <w:p w14:paraId="53D2A33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Operačný systém</w:t>
            </w:r>
          </w:p>
        </w:tc>
        <w:tc>
          <w:tcPr>
            <w:tcW w:w="3389" w:type="dxa"/>
          </w:tcPr>
          <w:p w14:paraId="52CC79F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Windows Server 2022 Data Center edícia.</w:t>
            </w:r>
          </w:p>
        </w:tc>
      </w:tr>
      <w:tr w:rsidR="00D42B04" w:rsidRPr="00D42B04" w14:paraId="5935AF87"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358BBAC8" w14:textId="77777777" w:rsidR="00D42B04" w:rsidRPr="00D42B04" w:rsidRDefault="00D42B04" w:rsidP="00D42B04">
            <w:pPr>
              <w:spacing w:before="120" w:after="120"/>
              <w:jc w:val="both"/>
              <w:rPr>
                <w:rFonts w:ascii="Cambria" w:hAnsi="Cambria" w:cs="Calibri"/>
                <w:sz w:val="16"/>
                <w:szCs w:val="16"/>
              </w:rPr>
            </w:pPr>
          </w:p>
        </w:tc>
        <w:tc>
          <w:tcPr>
            <w:tcW w:w="3685" w:type="dxa"/>
          </w:tcPr>
          <w:p w14:paraId="4C894A7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RAM</w:t>
            </w:r>
          </w:p>
        </w:tc>
        <w:tc>
          <w:tcPr>
            <w:tcW w:w="3389" w:type="dxa"/>
          </w:tcPr>
          <w:p w14:paraId="49FBBAA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32 GB</w:t>
            </w:r>
          </w:p>
        </w:tc>
      </w:tr>
      <w:tr w:rsidR="00D42B04" w:rsidRPr="00D42B04" w14:paraId="5BBF930D"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7B9BB3B8" w14:textId="77777777" w:rsidR="00D42B04" w:rsidRPr="00D42B04" w:rsidRDefault="00D42B04" w:rsidP="00D42B04">
            <w:pPr>
              <w:spacing w:before="120" w:after="120"/>
              <w:jc w:val="both"/>
              <w:rPr>
                <w:rFonts w:ascii="Cambria" w:hAnsi="Cambria" w:cs="Calibri"/>
                <w:sz w:val="16"/>
                <w:szCs w:val="16"/>
              </w:rPr>
            </w:pPr>
          </w:p>
        </w:tc>
        <w:tc>
          <w:tcPr>
            <w:tcW w:w="3685" w:type="dxa"/>
          </w:tcPr>
          <w:p w14:paraId="1F4A865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CPU</w:t>
            </w:r>
          </w:p>
        </w:tc>
        <w:tc>
          <w:tcPr>
            <w:tcW w:w="3389" w:type="dxa"/>
          </w:tcPr>
          <w:p w14:paraId="0910920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4 vCPU</w:t>
            </w:r>
          </w:p>
        </w:tc>
      </w:tr>
      <w:tr w:rsidR="00D42B04" w:rsidRPr="00D42B04" w14:paraId="7D306ACB"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5F793881" w14:textId="77777777" w:rsidR="00D42B04" w:rsidRPr="00D42B04" w:rsidRDefault="00D42B04" w:rsidP="00D42B04">
            <w:pPr>
              <w:spacing w:before="120" w:after="120"/>
              <w:jc w:val="both"/>
              <w:rPr>
                <w:rFonts w:ascii="Cambria" w:hAnsi="Cambria" w:cs="Calibri"/>
                <w:sz w:val="16"/>
                <w:szCs w:val="16"/>
              </w:rPr>
            </w:pPr>
          </w:p>
        </w:tc>
        <w:tc>
          <w:tcPr>
            <w:tcW w:w="3685" w:type="dxa"/>
          </w:tcPr>
          <w:p w14:paraId="4879A47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Diskové pole</w:t>
            </w:r>
          </w:p>
        </w:tc>
        <w:tc>
          <w:tcPr>
            <w:tcW w:w="3389" w:type="dxa"/>
          </w:tcPr>
          <w:p w14:paraId="7DA6A5B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3PAR</w:t>
            </w:r>
          </w:p>
        </w:tc>
      </w:tr>
      <w:tr w:rsidR="00D42B04" w:rsidRPr="00D42B04" w14:paraId="3CB47771"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457DDDC4" w14:textId="77777777" w:rsidR="00D42B04" w:rsidRPr="00D42B04" w:rsidRDefault="00D42B04" w:rsidP="00D42B04">
            <w:pPr>
              <w:spacing w:before="120" w:after="120"/>
              <w:jc w:val="both"/>
              <w:rPr>
                <w:rFonts w:ascii="Cambria" w:hAnsi="Cambria" w:cs="Calibri"/>
                <w:sz w:val="16"/>
                <w:szCs w:val="16"/>
              </w:rPr>
            </w:pPr>
            <w:r w:rsidRPr="00D42B04">
              <w:rPr>
                <w:rFonts w:ascii="Cambria" w:hAnsi="Cambria" w:cs="Calibri"/>
                <w:sz w:val="16"/>
                <w:szCs w:val="16"/>
              </w:rPr>
              <w:t>Aplikačný server</w:t>
            </w:r>
          </w:p>
        </w:tc>
        <w:tc>
          <w:tcPr>
            <w:tcW w:w="3685" w:type="dxa"/>
          </w:tcPr>
          <w:p w14:paraId="08B170F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Výrobca/ verzia</w:t>
            </w:r>
          </w:p>
        </w:tc>
        <w:tc>
          <w:tcPr>
            <w:tcW w:w="3389" w:type="dxa"/>
          </w:tcPr>
          <w:p w14:paraId="1A474F2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Apache Tomcat/9.0.56</w:t>
            </w:r>
          </w:p>
        </w:tc>
      </w:tr>
      <w:tr w:rsidR="00D42B04" w:rsidRPr="00D42B04" w14:paraId="741067F9"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7256EF95" w14:textId="77777777" w:rsidR="00D42B04" w:rsidRPr="00D42B04" w:rsidRDefault="00D42B04" w:rsidP="00D42B04">
            <w:pPr>
              <w:spacing w:before="120" w:after="120"/>
              <w:jc w:val="both"/>
              <w:rPr>
                <w:rFonts w:ascii="Cambria" w:hAnsi="Cambria" w:cs="Calibri"/>
                <w:sz w:val="16"/>
                <w:szCs w:val="16"/>
              </w:rPr>
            </w:pPr>
          </w:p>
        </w:tc>
        <w:tc>
          <w:tcPr>
            <w:tcW w:w="3685" w:type="dxa"/>
          </w:tcPr>
          <w:p w14:paraId="0C32168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Operačný systém</w:t>
            </w:r>
          </w:p>
        </w:tc>
        <w:tc>
          <w:tcPr>
            <w:tcW w:w="3389" w:type="dxa"/>
          </w:tcPr>
          <w:p w14:paraId="7897D69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Red Hat Enterprise Linux 7.9</w:t>
            </w:r>
          </w:p>
        </w:tc>
      </w:tr>
      <w:tr w:rsidR="00D42B04" w:rsidRPr="00D42B04" w14:paraId="52F41A26"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3471A4E2" w14:textId="77777777" w:rsidR="00D42B04" w:rsidRPr="00D42B04" w:rsidRDefault="00D42B04" w:rsidP="00D42B04">
            <w:pPr>
              <w:spacing w:before="120" w:after="120"/>
              <w:jc w:val="both"/>
              <w:rPr>
                <w:rFonts w:ascii="Cambria" w:hAnsi="Cambria" w:cs="Calibri"/>
                <w:sz w:val="16"/>
                <w:szCs w:val="16"/>
              </w:rPr>
            </w:pPr>
          </w:p>
        </w:tc>
        <w:tc>
          <w:tcPr>
            <w:tcW w:w="3685" w:type="dxa"/>
          </w:tcPr>
          <w:p w14:paraId="06CF3B7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RAM</w:t>
            </w:r>
          </w:p>
        </w:tc>
        <w:tc>
          <w:tcPr>
            <w:tcW w:w="3389" w:type="dxa"/>
          </w:tcPr>
          <w:p w14:paraId="5728CAA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10 GB</w:t>
            </w:r>
          </w:p>
        </w:tc>
      </w:tr>
      <w:tr w:rsidR="00D42B04" w:rsidRPr="00D42B04" w14:paraId="7E2800BE" w14:textId="77777777" w:rsidTr="000C3B41">
        <w:tc>
          <w:tcPr>
            <w:cnfStyle w:val="001000000000" w:firstRow="0" w:lastRow="0" w:firstColumn="1" w:lastColumn="0" w:oddVBand="0" w:evenVBand="0" w:oddHBand="0" w:evenHBand="0" w:firstRowFirstColumn="0" w:firstRowLastColumn="0" w:lastRowFirstColumn="0" w:lastRowLastColumn="0"/>
            <w:tcW w:w="1413" w:type="dxa"/>
            <w:vMerge/>
          </w:tcPr>
          <w:p w14:paraId="799C12B2" w14:textId="77777777" w:rsidR="00D42B04" w:rsidRPr="00D42B04" w:rsidRDefault="00D42B04" w:rsidP="00D42B04">
            <w:pPr>
              <w:spacing w:before="120" w:after="120"/>
              <w:jc w:val="both"/>
              <w:rPr>
                <w:rFonts w:ascii="Cambria" w:hAnsi="Cambria" w:cs="Calibri"/>
                <w:sz w:val="16"/>
                <w:szCs w:val="16"/>
              </w:rPr>
            </w:pPr>
          </w:p>
        </w:tc>
        <w:tc>
          <w:tcPr>
            <w:tcW w:w="3685" w:type="dxa"/>
          </w:tcPr>
          <w:p w14:paraId="7386304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CPU</w:t>
            </w:r>
          </w:p>
        </w:tc>
        <w:tc>
          <w:tcPr>
            <w:tcW w:w="3389" w:type="dxa"/>
          </w:tcPr>
          <w:p w14:paraId="7DF6BFC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6 vCPU, Intel(R) Xeon(R) Gold 6134 CPU @ 3.20GHz</w:t>
            </w:r>
          </w:p>
        </w:tc>
      </w:tr>
      <w:tr w:rsidR="00D42B04" w:rsidRPr="00D42B04" w14:paraId="5B508AB3"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14:paraId="5FB175ED" w14:textId="77777777" w:rsidR="00D42B04" w:rsidRPr="00D42B04" w:rsidRDefault="00D42B04" w:rsidP="00D42B04">
            <w:pPr>
              <w:spacing w:before="120" w:after="120"/>
              <w:jc w:val="both"/>
              <w:rPr>
                <w:rFonts w:ascii="Cambria" w:hAnsi="Cambria" w:cs="Calibri"/>
                <w:sz w:val="16"/>
                <w:szCs w:val="16"/>
              </w:rPr>
            </w:pPr>
          </w:p>
        </w:tc>
        <w:tc>
          <w:tcPr>
            <w:tcW w:w="3685" w:type="dxa"/>
          </w:tcPr>
          <w:p w14:paraId="3605FD8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HDD</w:t>
            </w:r>
          </w:p>
        </w:tc>
        <w:tc>
          <w:tcPr>
            <w:tcW w:w="3389" w:type="dxa"/>
          </w:tcPr>
          <w:p w14:paraId="1EDB3A1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D42B04">
              <w:rPr>
                <w:rFonts w:ascii="Cambria" w:hAnsi="Cambria" w:cs="Calibri"/>
                <w:sz w:val="16"/>
                <w:szCs w:val="16"/>
              </w:rPr>
              <w:t>25 GB</w:t>
            </w:r>
          </w:p>
        </w:tc>
      </w:tr>
    </w:tbl>
    <w:bookmarkEnd w:id="144"/>
    <w:p w14:paraId="3BE5E904" w14:textId="77777777" w:rsidR="00D42B04" w:rsidRPr="00D42B04" w:rsidRDefault="00D42B04" w:rsidP="00D42B04">
      <w:pPr>
        <w:spacing w:before="120" w:after="200"/>
        <w:jc w:val="both"/>
        <w:rPr>
          <w:rFonts w:ascii="Cambria" w:eastAsia="Calibri" w:hAnsi="Cambria" w:cs="Arial"/>
          <w:b/>
          <w:bCs/>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14</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Pilot DWH  – HW špecifikácia</w:t>
      </w:r>
    </w:p>
    <w:p w14:paraId="7E291F2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Poznámka:</w:t>
      </w:r>
      <w:r w:rsidRPr="00D42B04">
        <w:rPr>
          <w:rFonts w:ascii="Cambria" w:eastAsia="Calibri" w:hAnsi="Cambria" w:cs="Arial"/>
          <w:sz w:val="22"/>
          <w:szCs w:val="22"/>
        </w:rPr>
        <w:t xml:space="preserve"> na databázovom serveri nebeží len Pilot DWH databáza, ale ďalšie produkčné databázy NBS. Súčasné vyťaženie CPU je na úrovni 30 %. Pilot DWH obsahuje cca 2TB dát.</w:t>
      </w:r>
    </w:p>
    <w:p w14:paraId="0A9E3B06" w14:textId="77777777" w:rsidR="00D42B04" w:rsidRPr="00D42B04" w:rsidRDefault="00D42B04" w:rsidP="00D42B04">
      <w:pPr>
        <w:spacing w:after="160" w:line="259" w:lineRule="auto"/>
        <w:rPr>
          <w:rFonts w:ascii="Cambria" w:eastAsia="Yu Gothic Light" w:hAnsi="Cambria"/>
          <w:b/>
          <w:bCs/>
          <w:color w:val="2F5496"/>
          <w:sz w:val="26"/>
          <w:szCs w:val="26"/>
        </w:rPr>
      </w:pPr>
      <w:r w:rsidRPr="00D42B04">
        <w:rPr>
          <w:rFonts w:ascii="Cambria" w:eastAsia="Calibri" w:hAnsi="Cambria" w:cs="Arial"/>
          <w:sz w:val="22"/>
          <w:szCs w:val="22"/>
        </w:rPr>
        <w:br w:type="page"/>
      </w:r>
    </w:p>
    <w:p w14:paraId="734B0CD9"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45" w:name="_Toc110518779"/>
      <w:r w:rsidRPr="00D42B04">
        <w:rPr>
          <w:rFonts w:ascii="Cambria" w:eastAsia="Yu Gothic Light" w:hAnsi="Cambria"/>
          <w:b/>
          <w:bCs/>
          <w:color w:val="2F5496"/>
          <w:sz w:val="26"/>
          <w:szCs w:val="26"/>
        </w:rPr>
        <w:lastRenderedPageBreak/>
        <w:t>Technické požiadavky</w:t>
      </w:r>
      <w:bookmarkEnd w:id="145"/>
      <w:r w:rsidRPr="00D42B04">
        <w:rPr>
          <w:rFonts w:ascii="Cambria" w:eastAsia="Yu Gothic Light" w:hAnsi="Cambria"/>
          <w:b/>
          <w:bCs/>
          <w:color w:val="2F5496"/>
          <w:sz w:val="26"/>
          <w:szCs w:val="26"/>
        </w:rPr>
        <w:t xml:space="preserve"> </w:t>
      </w:r>
    </w:p>
    <w:p w14:paraId="2138DF77"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46" w:name="_Toc110518780"/>
      <w:r w:rsidRPr="00D42B04">
        <w:rPr>
          <w:rFonts w:ascii="Cambria" w:eastAsia="Yu Gothic Light" w:hAnsi="Cambria"/>
          <w:b/>
          <w:bCs/>
          <w:color w:val="2F5496"/>
          <w:szCs w:val="24"/>
        </w:rPr>
        <w:t>Úvod</w:t>
      </w:r>
      <w:bookmarkEnd w:id="146"/>
    </w:p>
    <w:p w14:paraId="1DE18AC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Táto kapitola obsahuje technické požiadavky na nový systém NBS DWH. Požiadavky sú rozdelené do jednotlivých oblastí ako:</w:t>
      </w:r>
    </w:p>
    <w:p w14:paraId="7096F1FA" w14:textId="77777777" w:rsidR="00D42B04" w:rsidRPr="00D42B04" w:rsidRDefault="00D42B04" w:rsidP="00D42B04">
      <w:pPr>
        <w:numPr>
          <w:ilvl w:val="0"/>
          <w:numId w:val="7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Architektúra (logická, fyzická a aplikačná)</w:t>
      </w:r>
    </w:p>
    <w:p w14:paraId="69CDE84C" w14:textId="77777777" w:rsidR="00D42B04" w:rsidRPr="00D42B04" w:rsidRDefault="00D42B04" w:rsidP="00D42B04">
      <w:pPr>
        <w:numPr>
          <w:ilvl w:val="0"/>
          <w:numId w:val="7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Popis vlastností jednotlivých komponentov na úrovni relačnej databázy a DataLake</w:t>
      </w:r>
    </w:p>
    <w:p w14:paraId="1B559BC8" w14:textId="77777777" w:rsidR="00D42B04" w:rsidRPr="00D42B04" w:rsidRDefault="00D42B04" w:rsidP="00D42B04">
      <w:pPr>
        <w:numPr>
          <w:ilvl w:val="0"/>
          <w:numId w:val="7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Popis aplikačných vlastností podporných aplikácií DWH. </w:t>
      </w:r>
    </w:p>
    <w:p w14:paraId="3E45F7E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Rovnako sa táto kapitola zaoberá bezpečnostnými požiadavkami a požiadavkami na spustenie systému (iniciálny load).</w:t>
      </w:r>
    </w:p>
    <w:p w14:paraId="1D447E96"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47" w:name="_Toc110518781"/>
      <w:r w:rsidRPr="00D42B04">
        <w:rPr>
          <w:rFonts w:ascii="Cambria" w:eastAsia="Yu Gothic Light" w:hAnsi="Cambria"/>
          <w:b/>
          <w:bCs/>
          <w:color w:val="2F5496"/>
          <w:szCs w:val="24"/>
        </w:rPr>
        <w:t>Požadovaná architektúra aplikačnej vrstvy práce s dátami</w:t>
      </w:r>
      <w:bookmarkEnd w:id="147"/>
    </w:p>
    <w:p w14:paraId="67B90B45"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Plánované zmeny zachytáva nasledujúci diagram, ktorý vychádza zo schválenej dátovej stratégie bankovou radou NBS v apríli 2022:</w:t>
      </w:r>
    </w:p>
    <w:p w14:paraId="40F23A8C" w14:textId="77777777" w:rsidR="00D42B04" w:rsidRPr="00D42B04" w:rsidRDefault="00D42B04" w:rsidP="00D42B04">
      <w:pPr>
        <w:spacing w:before="120" w:after="120"/>
        <w:jc w:val="center"/>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13BD96F1" wp14:editId="6B545385">
            <wp:extent cx="3972153" cy="5459209"/>
            <wp:effectExtent l="0" t="0" r="952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3582" cy="5598610"/>
                    </a:xfrm>
                    <a:prstGeom prst="rect">
                      <a:avLst/>
                    </a:prstGeom>
                    <a:noFill/>
                  </pic:spPr>
                </pic:pic>
              </a:graphicData>
            </a:graphic>
          </wp:inline>
        </w:drawing>
      </w:r>
    </w:p>
    <w:p w14:paraId="27BCD697"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48" w:name="_Toc97562253"/>
      <w:bookmarkStart w:id="149" w:name="_Toc104211900"/>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8</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Aplikačná vrstva – budúci stav</w:t>
      </w:r>
      <w:bookmarkEnd w:id="148"/>
      <w:bookmarkEnd w:id="149"/>
    </w:p>
    <w:p w14:paraId="12812E82"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50" w:name="_Toc110518782"/>
      <w:r w:rsidRPr="00D42B04">
        <w:rPr>
          <w:rFonts w:ascii="Cambria" w:eastAsia="Yu Gothic Light" w:hAnsi="Cambria"/>
          <w:b/>
          <w:bCs/>
          <w:color w:val="2F5496"/>
          <w:szCs w:val="24"/>
        </w:rPr>
        <w:lastRenderedPageBreak/>
        <w:t>Logická architektúra</w:t>
      </w:r>
      <w:bookmarkEnd w:id="150"/>
    </w:p>
    <w:p w14:paraId="00E1E7E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Riešenie novej dátovej integrácie je navrhnuté ako jeden dátový ekosystém v kombinácii dvoch platforiem:</w:t>
      </w:r>
    </w:p>
    <w:p w14:paraId="758B3980" w14:textId="77777777" w:rsidR="00D42B04" w:rsidRPr="00D42B04" w:rsidRDefault="00D42B04" w:rsidP="00D42B04">
      <w:pPr>
        <w:numPr>
          <w:ilvl w:val="0"/>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w:t>
      </w:r>
    </w:p>
    <w:p w14:paraId="7929CB80" w14:textId="77777777" w:rsidR="00D42B04" w:rsidRPr="00D42B04" w:rsidRDefault="00D42B04" w:rsidP="00D42B04">
      <w:pPr>
        <w:numPr>
          <w:ilvl w:val="0"/>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Cs/>
          <w:sz w:val="22"/>
          <w:szCs w:val="22"/>
        </w:rPr>
        <w:t>Relačná časť</w:t>
      </w:r>
      <w:r w:rsidRPr="00D42B04">
        <w:rPr>
          <w:rFonts w:ascii="Cambria" w:eastAsia="Calibri" w:hAnsi="Cambria" w:cs="Arial"/>
          <w:sz w:val="22"/>
          <w:szCs w:val="22"/>
        </w:rPr>
        <w:t>, ktorý sa skladá z:</w:t>
      </w:r>
    </w:p>
    <w:p w14:paraId="5370D75F" w14:textId="77777777" w:rsidR="00D42B04" w:rsidRPr="00D42B04" w:rsidRDefault="00D42B04" w:rsidP="00D42B04">
      <w:pPr>
        <w:numPr>
          <w:ilvl w:val="1"/>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Oracle DB, ktorá rieši problematiku dát ako je atomicita, konzistencia, izolovanosť, trvanlivosť, či unikátnosť</w:t>
      </w:r>
    </w:p>
    <w:p w14:paraId="2B034AAE" w14:textId="77777777" w:rsidR="00D42B04" w:rsidRPr="00D42B04" w:rsidRDefault="00D42B04" w:rsidP="00D42B04">
      <w:pPr>
        <w:numPr>
          <w:ilvl w:val="1"/>
          <w:numId w:val="4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MS SQL DB s in-memory T-OLAP podporou pre PowerBI reporting.</w:t>
      </w:r>
    </w:p>
    <w:p w14:paraId="3854AFA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Každá z týchto platforiem nie je osobitnou aplikáciou, ale súborom technológií, nástrojov a na mieru naprogramovaných procesov a integrácií, ktoré vo svojom celku plnia úlohu dátovej integrácie a spracovania dát pre účely reportingu a pokročilých analýz. Z tohto dôvodu sú </w:t>
      </w:r>
      <w:r w:rsidRPr="00D42B04">
        <w:rPr>
          <w:rFonts w:ascii="Cambria" w:eastAsia="Calibri" w:hAnsi="Cambria" w:cs="Arial"/>
          <w:sz w:val="22"/>
          <w:szCs w:val="22"/>
          <w:u w:val="single"/>
        </w:rPr>
        <w:t xml:space="preserve">v ďalšom texte obe platformy ďalej dekomponované </w:t>
      </w:r>
      <w:r w:rsidRPr="00D42B04">
        <w:rPr>
          <w:rFonts w:ascii="Cambria" w:eastAsia="Calibri" w:hAnsi="Cambria" w:cs="Arial"/>
          <w:sz w:val="22"/>
          <w:szCs w:val="22"/>
        </w:rPr>
        <w:t>na jednotlivé dátové vrstvy, dátové toky, funkčné bloky a použité technológie.</w:t>
      </w:r>
    </w:p>
    <w:p w14:paraId="23E38D9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1D150975" wp14:editId="4B1895F6">
            <wp:extent cx="5400000" cy="546223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5462234"/>
                    </a:xfrm>
                    <a:prstGeom prst="rect">
                      <a:avLst/>
                    </a:prstGeom>
                    <a:noFill/>
                  </pic:spPr>
                </pic:pic>
              </a:graphicData>
            </a:graphic>
          </wp:inline>
        </w:drawing>
      </w:r>
    </w:p>
    <w:p w14:paraId="6BBB66E4"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51" w:name="_Toc104211901"/>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9</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Logická architektúra nového riešenia</w:t>
      </w:r>
      <w:bookmarkEnd w:id="151"/>
    </w:p>
    <w:p w14:paraId="0F6729E6" w14:textId="77777777" w:rsidR="00D42B04" w:rsidRPr="00D42B04" w:rsidRDefault="00D42B04" w:rsidP="00D42B04">
      <w:pPr>
        <w:spacing w:before="120" w:after="120"/>
        <w:jc w:val="both"/>
        <w:rPr>
          <w:rFonts w:ascii="Cambria" w:eastAsia="Calibri" w:hAnsi="Cambria" w:cs="Arial"/>
          <w:sz w:val="22"/>
          <w:szCs w:val="22"/>
        </w:rPr>
      </w:pPr>
    </w:p>
    <w:p w14:paraId="03BF13C8"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Predmetom riešenia sú tieto komponenty architektúry:</w:t>
      </w:r>
    </w:p>
    <w:p w14:paraId="54668E1C"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 xml:space="preserve">Relačná časť </w:t>
      </w:r>
      <w:r w:rsidRPr="00D42B04">
        <w:rPr>
          <w:rFonts w:ascii="Cambria" w:eastAsia="Calibri" w:hAnsi="Cambria" w:cs="Arial"/>
          <w:sz w:val="22"/>
          <w:szCs w:val="22"/>
        </w:rPr>
        <w:t>– Dátový sklad, jeho dátové vrstvy, dátové toky, metadátové nastavenia a podporné frameworky</w:t>
      </w:r>
    </w:p>
    <w:p w14:paraId="7D66B9AF"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 xml:space="preserve">DL </w:t>
      </w:r>
      <w:r w:rsidRPr="00D42B04">
        <w:rPr>
          <w:rFonts w:ascii="Cambria" w:eastAsia="Calibri" w:hAnsi="Cambria" w:cs="Arial"/>
          <w:sz w:val="22"/>
          <w:szCs w:val="22"/>
        </w:rPr>
        <w:t>– DataLake, jeho dátové vrstvy, dátové toky, metadátové nastavenia a podporné frameworky</w:t>
      </w:r>
    </w:p>
    <w:p w14:paraId="68EE75E4"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Spoločné frameworky</w:t>
      </w:r>
      <w:r w:rsidRPr="00D42B04">
        <w:rPr>
          <w:rFonts w:ascii="Cambria" w:eastAsia="Calibri" w:hAnsi="Cambria" w:cs="Arial"/>
          <w:sz w:val="22"/>
          <w:szCs w:val="22"/>
        </w:rPr>
        <w:t xml:space="preserve"> – aplikácie a nástroje, ktoré nie sú súčasťou samotných platforiem dátovej integrácie, ale využívajú sa pre celkové riadenie spracovania dát a podporu odborových používateľov.</w:t>
      </w:r>
    </w:p>
    <w:p w14:paraId="1F2DADD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Nasledujúce časti aplikačnej architektúry sú dotknuté týmto riešením:</w:t>
      </w:r>
    </w:p>
    <w:p w14:paraId="36727D7A"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BI platformy</w:t>
      </w:r>
      <w:r w:rsidRPr="00D42B04">
        <w:rPr>
          <w:rFonts w:ascii="Cambria" w:eastAsia="Calibri" w:hAnsi="Cambria" w:cs="Arial"/>
          <w:sz w:val="22"/>
          <w:szCs w:val="22"/>
        </w:rPr>
        <w:t xml:space="preserve"> – existujúce BI aplikácie, ktoré budú v rámci projektu pripojené na DWH a DataLake pre čítanie dát.</w:t>
      </w:r>
    </w:p>
    <w:p w14:paraId="61447487"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Štatistický framework</w:t>
      </w:r>
      <w:r w:rsidRPr="00D42B04">
        <w:rPr>
          <w:rFonts w:ascii="Cambria" w:eastAsia="Calibri" w:hAnsi="Cambria" w:cs="Arial"/>
          <w:sz w:val="22"/>
          <w:szCs w:val="22"/>
        </w:rPr>
        <w:t xml:space="preserve"> – existujúce portfólio štatistických nástrojov, pre ktoré budú zadefinované mechanizmy prístupu k DWH a DataLake</w:t>
      </w:r>
    </w:p>
    <w:p w14:paraId="1A375CA0"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Zdrojové systémy s priamym prístupom</w:t>
      </w:r>
      <w:r w:rsidRPr="00D42B04">
        <w:rPr>
          <w:rFonts w:ascii="Cambria" w:eastAsia="Calibri" w:hAnsi="Cambria" w:cs="Arial"/>
          <w:sz w:val="22"/>
          <w:szCs w:val="22"/>
        </w:rPr>
        <w:t xml:space="preserve"> – reprezentuje všetky systémy, ktoré budú poskytovať priamy prístup ku svojím dátam, resp. cez vyhradené databázové rozhranie</w:t>
      </w:r>
    </w:p>
    <w:p w14:paraId="58E92A15"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Externé systémy poskytujúce extrakty</w:t>
      </w:r>
      <w:r w:rsidRPr="00D42B04">
        <w:rPr>
          <w:rFonts w:ascii="Cambria" w:eastAsia="Calibri" w:hAnsi="Cambria" w:cs="Arial"/>
          <w:sz w:val="22"/>
          <w:szCs w:val="22"/>
        </w:rPr>
        <w:t xml:space="preserve"> - reprezentuje všetky systémy, ktoré budú poskytovať extrakt svojich dát, ktorý bude vymieňaný s Data Landing zónou cez SFTP server alebo extranet Sharepoint. </w:t>
      </w:r>
    </w:p>
    <w:p w14:paraId="04005E2B"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Zdrojové systémy poskytujúce služby</w:t>
      </w:r>
      <w:r w:rsidRPr="00D42B04">
        <w:rPr>
          <w:rFonts w:ascii="Cambria" w:eastAsia="Calibri" w:hAnsi="Cambria" w:cs="Arial"/>
          <w:sz w:val="22"/>
          <w:szCs w:val="22"/>
        </w:rPr>
        <w:t xml:space="preserve"> - reprezentuje všetky systémy (interné aj externé), ktoré budú poskytovať svoje dáta prostredníctvom vystavenej služby (REST API, SOAP). </w:t>
      </w:r>
    </w:p>
    <w:p w14:paraId="1D2958BC"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52" w:name="_Toc110518783"/>
      <w:bookmarkStart w:id="153" w:name="_Toc97562205"/>
      <w:r w:rsidRPr="00D42B04">
        <w:rPr>
          <w:rFonts w:ascii="Cambria" w:eastAsia="Yu Gothic Light" w:hAnsi="Cambria"/>
          <w:b/>
          <w:bCs/>
          <w:color w:val="2F5496"/>
          <w:szCs w:val="24"/>
        </w:rPr>
        <w:t>Fyzická architektúra</w:t>
      </w:r>
      <w:bookmarkEnd w:id="152"/>
    </w:p>
    <w:p w14:paraId="563DF83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Verejný obstarávateľ požaduje aby, navrhnutý datawarehouse pozostával z rozširovateľných a otvorených komponentov. Všetky logické komponenty budú prevádzkované formou „On-Premise“ v dátových centrách NBS ako fyzické či virtuálne servery.</w:t>
      </w:r>
    </w:p>
    <w:p w14:paraId="2268409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Fyzicky bude infraštruktúra rozvrhnutá nasledovne na 4 skupiny:</w:t>
      </w:r>
    </w:p>
    <w:p w14:paraId="14833FFF"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Relačná časť</w:t>
      </w:r>
    </w:p>
    <w:p w14:paraId="0A3ACA45"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w:t>
      </w:r>
    </w:p>
    <w:p w14:paraId="0C6E6820"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Aplikačný server pre podporné aplikácie</w:t>
      </w:r>
    </w:p>
    <w:p w14:paraId="029D49CD" w14:textId="77777777" w:rsidR="00D42B04" w:rsidRPr="00D42B04" w:rsidRDefault="00D42B04" w:rsidP="00D42B04">
      <w:pPr>
        <w:numPr>
          <w:ilvl w:val="0"/>
          <w:numId w:val="7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BI oblasť</w:t>
      </w:r>
    </w:p>
    <w:p w14:paraId="6724FD7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Nasledujúca tabuľka obsahuje súpis HW požiadaviek.</w:t>
      </w:r>
    </w:p>
    <w:tbl>
      <w:tblPr>
        <w:tblStyle w:val="GridTable4-Accent52"/>
        <w:tblW w:w="8618" w:type="dxa"/>
        <w:tblInd w:w="-5" w:type="dxa"/>
        <w:tblLayout w:type="fixed"/>
        <w:tblLook w:val="04A0" w:firstRow="1" w:lastRow="0" w:firstColumn="1" w:lastColumn="0" w:noHBand="0" w:noVBand="1"/>
      </w:tblPr>
      <w:tblGrid>
        <w:gridCol w:w="1276"/>
        <w:gridCol w:w="1418"/>
        <w:gridCol w:w="5924"/>
      </w:tblGrid>
      <w:tr w:rsidR="00D42B04" w:rsidRPr="00D42B04" w14:paraId="23AC4524" w14:textId="77777777" w:rsidTr="00D42B04">
        <w:trPr>
          <w:cnfStyle w:val="100000000000" w:firstRow="1" w:lastRow="0" w:firstColumn="0" w:lastColumn="0" w:oddVBand="0" w:evenVBand="0" w:oddHBand="0" w:evenHBand="0" w:firstRowFirstColumn="0" w:firstRowLastColumn="0" w:lastRowFirstColumn="0" w:lastRowLastColumn="0"/>
          <w:cantSplit/>
          <w:trHeight w:val="126"/>
          <w:tblHeader/>
        </w:trPr>
        <w:tc>
          <w:tcPr>
            <w:cnfStyle w:val="001000000000" w:firstRow="0" w:lastRow="0" w:firstColumn="1" w:lastColumn="0" w:oddVBand="0" w:evenVBand="0" w:oddHBand="0" w:evenHBand="0" w:firstRowFirstColumn="0" w:firstRowLastColumn="0" w:lastRowFirstColumn="0" w:lastRowLastColumn="0"/>
            <w:tcW w:w="1276" w:type="dxa"/>
          </w:tcPr>
          <w:p w14:paraId="111C765B" w14:textId="77777777" w:rsidR="00D42B04" w:rsidRPr="00D42B04" w:rsidRDefault="00D42B04" w:rsidP="00D42B04">
            <w:pPr>
              <w:spacing w:before="120" w:after="120"/>
              <w:jc w:val="both"/>
              <w:rPr>
                <w:rFonts w:ascii="Cambria" w:hAnsi="Cambria"/>
                <w:sz w:val="22"/>
              </w:rPr>
            </w:pPr>
            <w:r w:rsidRPr="00D42B04">
              <w:rPr>
                <w:rFonts w:ascii="Cambria" w:hAnsi="Cambria"/>
                <w:sz w:val="22"/>
              </w:rPr>
              <w:t>Platforma</w:t>
            </w:r>
          </w:p>
        </w:tc>
        <w:tc>
          <w:tcPr>
            <w:tcW w:w="1418" w:type="dxa"/>
          </w:tcPr>
          <w:p w14:paraId="0BF54D6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Uzly</w:t>
            </w:r>
          </w:p>
        </w:tc>
        <w:tc>
          <w:tcPr>
            <w:tcW w:w="5924" w:type="dxa"/>
          </w:tcPr>
          <w:p w14:paraId="5CA79281"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Navrhované riešenie</w:t>
            </w:r>
          </w:p>
        </w:tc>
      </w:tr>
      <w:tr w:rsidR="00D42B04" w:rsidRPr="00D42B04" w14:paraId="0E20ADE7" w14:textId="77777777" w:rsidTr="00D42B04">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22E54D99" w14:textId="77777777" w:rsidR="00D42B04" w:rsidRPr="00D42B04" w:rsidRDefault="00D42B04" w:rsidP="00D42B04">
            <w:pPr>
              <w:spacing w:before="120" w:after="120"/>
              <w:jc w:val="both"/>
              <w:rPr>
                <w:rFonts w:ascii="Cambria" w:hAnsi="Cambria" w:cs="Calibri"/>
                <w:color w:val="000000"/>
                <w:sz w:val="16"/>
                <w:szCs w:val="16"/>
                <w:lang w:eastAsia="sk-SK"/>
              </w:rPr>
            </w:pPr>
            <w:r w:rsidRPr="00D42B04">
              <w:rPr>
                <w:rFonts w:ascii="Cambria" w:hAnsi="Cambria" w:cs="Calibri"/>
                <w:sz w:val="16"/>
                <w:szCs w:val="16"/>
                <w:lang w:eastAsia="sk-SK"/>
              </w:rPr>
              <w:t>Relačná časť</w:t>
            </w:r>
          </w:p>
        </w:tc>
        <w:tc>
          <w:tcPr>
            <w:tcW w:w="1418" w:type="dxa"/>
          </w:tcPr>
          <w:p w14:paraId="51DEA00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PROD-DB</w:t>
            </w:r>
          </w:p>
          <w:p w14:paraId="64AEF8C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TEST-DB</w:t>
            </w:r>
          </w:p>
          <w:p w14:paraId="278AACE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DEV-DB</w:t>
            </w:r>
          </w:p>
        </w:tc>
        <w:tc>
          <w:tcPr>
            <w:tcW w:w="5924" w:type="dxa"/>
          </w:tcPr>
          <w:p w14:paraId="0E18061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NBS DWH bude nasadený na existujúcej infraštruktúre prevádzkovaný interným oddelením OIT na 2 samostatné servery v oddelených lokáciách s rovnakým výkonom v konfigurácii:</w:t>
            </w:r>
          </w:p>
          <w:p w14:paraId="4AAF6B77"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Existujúce fyzické servery:</w:t>
            </w:r>
          </w:p>
          <w:p w14:paraId="46BA8168" w14:textId="77777777" w:rsidR="00D42B04" w:rsidRPr="00D42B04" w:rsidRDefault="00D42B04" w:rsidP="00D42B04">
            <w:pPr>
              <w:numPr>
                <w:ilvl w:val="1"/>
                <w:numId w:val="44"/>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1x X86 CPU 8 cores s potencionálnym rozšírením o ďalší CPU</w:t>
            </w:r>
          </w:p>
          <w:p w14:paraId="7C035010" w14:textId="77777777" w:rsidR="00D42B04" w:rsidRPr="00D42B04" w:rsidRDefault="00D42B04" w:rsidP="00D42B04">
            <w:pPr>
              <w:numPr>
                <w:ilvl w:val="1"/>
                <w:numId w:val="44"/>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RAM: 512 GB RAM s potencionálnym rozšírením na 1 TB </w:t>
            </w:r>
          </w:p>
          <w:p w14:paraId="26237B7D" w14:textId="77777777" w:rsidR="00D42B04" w:rsidRPr="00D42B04" w:rsidRDefault="00D42B04" w:rsidP="00D42B04">
            <w:pPr>
              <w:numPr>
                <w:ilvl w:val="1"/>
                <w:numId w:val="44"/>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SSD: 4x3,2TB v RAID s potencionálnym rozšírením</w:t>
            </w:r>
          </w:p>
          <w:p w14:paraId="3A451FAF"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Na serveroch je inštalovaná Oracle 19c EE + Partitioning option  </w:t>
            </w:r>
          </w:p>
          <w:p w14:paraId="08DD5C09"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Pre zabezpečenie vysokej dostupnosti je vytvorená standby produkčná inštancia cez Oracle Data Guard na vývojový server.</w:t>
            </w:r>
          </w:p>
          <w:p w14:paraId="2F20887B"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Na serveri budú ďalej bežať RunTime ETL nástroja Oracle Data Integrator, dodané a inštalované uchádzačom.</w:t>
            </w:r>
          </w:p>
        </w:tc>
      </w:tr>
      <w:tr w:rsidR="00D42B04" w:rsidRPr="00D42B04" w14:paraId="1336CC6C" w14:textId="77777777" w:rsidTr="000C3B41">
        <w:trPr>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16BC3AE1"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lastRenderedPageBreak/>
              <w:t>DataLake</w:t>
            </w:r>
          </w:p>
        </w:tc>
        <w:tc>
          <w:tcPr>
            <w:tcW w:w="1418" w:type="dxa"/>
          </w:tcPr>
          <w:p w14:paraId="4E2B99E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Worker Node</w:t>
            </w:r>
          </w:p>
          <w:p w14:paraId="79BC671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Master Node</w:t>
            </w:r>
          </w:p>
          <w:p w14:paraId="4BCCE42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UI Node</w:t>
            </w:r>
          </w:p>
          <w:p w14:paraId="0E5AA35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Edge Node</w:t>
            </w:r>
          </w:p>
        </w:tc>
        <w:tc>
          <w:tcPr>
            <w:tcW w:w="5924" w:type="dxa"/>
          </w:tcPr>
          <w:p w14:paraId="4638DFE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Pre DataLake bude potrebné vytvoriť novú celkovú infraštruktúru cez 3 prostredia. V každom prostredí bude vytvorená sieť výpočtových uzlov, na ktorých pobežia služby Big Data.</w:t>
            </w:r>
          </w:p>
          <w:p w14:paraId="0EF35E1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Vzhľadom na predpokladanú veľkosť dát v NBS s funkciou vysokej dostupnosti sa očakáva vybudovanie infraštruktúry </w:t>
            </w:r>
            <w:r w:rsidRPr="00D42B04">
              <w:rPr>
                <w:rFonts w:ascii="Cambria" w:hAnsi="Cambria" w:cs="Calibri"/>
                <w:b/>
                <w:sz w:val="16"/>
                <w:szCs w:val="16"/>
                <w:lang w:eastAsia="sk-SK"/>
              </w:rPr>
              <w:t>vo virtuálnom prostredí NBS</w:t>
            </w:r>
            <w:r w:rsidRPr="00D42B04">
              <w:rPr>
                <w:rFonts w:ascii="Cambria" w:hAnsi="Cambria" w:cs="Calibri"/>
                <w:sz w:val="16"/>
                <w:szCs w:val="16"/>
                <w:lang w:eastAsia="sk-SK"/>
              </w:rPr>
              <w:t xml:space="preserve"> s možnosťou prechodu na fyzické servery. Virtuálne servery budú škálované podľa licenčnej politiky vybratej Enterprise softwarovej podpory. Predpoklad je v krokoch 1vCPUx8GB RAM. Budovanie jednotlivých uzlov bude postupné.</w:t>
            </w:r>
          </w:p>
          <w:p w14:paraId="296D6DC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Architektúra DataLake má charakter vysokej dostupnosti a nebude potrebné budovať standby inštanciu, ale použije sa roztiahnutie produkčných uzlov cez obe lokality.</w:t>
            </w:r>
          </w:p>
          <w:p w14:paraId="6619217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u w:val="single"/>
                <w:lang w:eastAsia="sk-SK"/>
              </w:rPr>
            </w:pPr>
            <w:r w:rsidRPr="00D42B04">
              <w:rPr>
                <w:rFonts w:ascii="Cambria" w:hAnsi="Cambria" w:cs="Calibri"/>
                <w:sz w:val="16"/>
                <w:szCs w:val="16"/>
                <w:u w:val="single"/>
                <w:lang w:eastAsia="sk-SK"/>
              </w:rPr>
              <w:t>Produkčné uzly:</w:t>
            </w:r>
          </w:p>
          <w:p w14:paraId="6D25B895"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4x Worker Node (2+2 v lokalitách)</w:t>
            </w:r>
          </w:p>
          <w:p w14:paraId="5B270A9D"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X86 8 cores</w:t>
            </w:r>
          </w:p>
          <w:p w14:paraId="03CF04D4"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64GB</w:t>
            </w:r>
          </w:p>
          <w:p w14:paraId="37F8D9AF"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20 TB</w:t>
            </w:r>
          </w:p>
          <w:p w14:paraId="60C3EFE8"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3x Master Node (1+2 v lokalitách)</w:t>
            </w:r>
          </w:p>
          <w:p w14:paraId="57D76F3F"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CPU: X86 8 cores </w:t>
            </w:r>
          </w:p>
          <w:p w14:paraId="7ED3A72A"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64GB</w:t>
            </w:r>
          </w:p>
          <w:p w14:paraId="18C0E9F3"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2 TB</w:t>
            </w:r>
          </w:p>
          <w:p w14:paraId="3BDBD423"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2x Edge Node+UI Node (1+1 v lokalitách)</w:t>
            </w:r>
          </w:p>
          <w:p w14:paraId="7B6619C7"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X86 4 cores</w:t>
            </w:r>
          </w:p>
          <w:p w14:paraId="16F7EA0C"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32GB</w:t>
            </w:r>
          </w:p>
          <w:p w14:paraId="3FDA807D"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3 TB</w:t>
            </w:r>
          </w:p>
          <w:p w14:paraId="3C8002B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u w:val="single"/>
                <w:lang w:eastAsia="sk-SK"/>
              </w:rPr>
            </w:pPr>
            <w:r w:rsidRPr="00D42B04">
              <w:rPr>
                <w:rFonts w:ascii="Cambria" w:hAnsi="Cambria" w:cs="Calibri"/>
                <w:sz w:val="16"/>
                <w:szCs w:val="16"/>
                <w:u w:val="single"/>
                <w:lang w:eastAsia="sk-SK"/>
              </w:rPr>
              <w:t>Test uzly:</w:t>
            </w:r>
          </w:p>
          <w:p w14:paraId="15F609DE"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2x Worker Node (1+1 v lokalitách)</w:t>
            </w:r>
          </w:p>
          <w:p w14:paraId="1AE55122"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X86 4 cores</w:t>
            </w:r>
          </w:p>
          <w:p w14:paraId="6A6643C4"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32 GB</w:t>
            </w:r>
          </w:p>
          <w:p w14:paraId="70429BCE"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10 TB</w:t>
            </w:r>
          </w:p>
          <w:p w14:paraId="4660135D"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2x Worker Node + Master Node+ Edge Node+UI Node (1+1 v lokalitách)</w:t>
            </w:r>
          </w:p>
          <w:p w14:paraId="6ED3B56B"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X86 4 cores</w:t>
            </w:r>
          </w:p>
          <w:p w14:paraId="4AE3B385"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32GB</w:t>
            </w:r>
          </w:p>
          <w:p w14:paraId="1C6AD3A7"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3 TB</w:t>
            </w:r>
          </w:p>
          <w:p w14:paraId="49467B7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u w:val="single"/>
                <w:lang w:eastAsia="sk-SK"/>
              </w:rPr>
            </w:pPr>
            <w:r w:rsidRPr="00D42B04">
              <w:rPr>
                <w:rFonts w:ascii="Cambria" w:hAnsi="Cambria" w:cs="Calibri"/>
                <w:sz w:val="16"/>
                <w:szCs w:val="16"/>
                <w:u w:val="single"/>
                <w:lang w:eastAsia="sk-SK"/>
              </w:rPr>
              <w:t>Vývojové uzly:</w:t>
            </w:r>
          </w:p>
          <w:p w14:paraId="2FFA8CB9"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3x Worker Node + Master Node+ Edge Node+UI Node (1 v lokalite)</w:t>
            </w:r>
          </w:p>
          <w:p w14:paraId="39F5538C"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X86 4 cores</w:t>
            </w:r>
          </w:p>
          <w:p w14:paraId="1393007F"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RAM: 32GB</w:t>
            </w:r>
          </w:p>
          <w:p w14:paraId="0986CB6D" w14:textId="77777777" w:rsidR="00D42B04" w:rsidRPr="00D42B04" w:rsidRDefault="00D42B04" w:rsidP="00D42B04">
            <w:pPr>
              <w:numPr>
                <w:ilvl w:val="1"/>
                <w:numId w:val="44"/>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3 TB</w:t>
            </w:r>
          </w:p>
        </w:tc>
      </w:tr>
      <w:tr w:rsidR="00D42B04" w:rsidRPr="00D42B04" w14:paraId="2953276B" w14:textId="77777777" w:rsidTr="00D42B04">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384D0B13"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Aplikačný server</w:t>
            </w:r>
          </w:p>
        </w:tc>
        <w:tc>
          <w:tcPr>
            <w:tcW w:w="1418" w:type="dxa"/>
          </w:tcPr>
          <w:p w14:paraId="7EAEA87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p>
        </w:tc>
        <w:tc>
          <w:tcPr>
            <w:tcW w:w="5924" w:type="dxa"/>
          </w:tcPr>
          <w:p w14:paraId="0D8127B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Existujúci aplikačný server na beh aplikácií (frameworkov DWH). Tento komponent je podobne ako BI server tvorená virtualizačnou platformou NBS .</w:t>
            </w:r>
          </w:p>
          <w:p w14:paraId="2EDE16C3"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Apache Tomcat/9.0.56 aplikačný server na Red Hat Enterprise Linux prostredí</w:t>
            </w:r>
          </w:p>
          <w:p w14:paraId="191C0AE9"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4 vCPU</w:t>
            </w:r>
          </w:p>
          <w:p w14:paraId="63DB5ED7"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RAM: 10 GB </w:t>
            </w:r>
          </w:p>
          <w:p w14:paraId="71D241E8"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Disk: 25 GB</w:t>
            </w:r>
          </w:p>
          <w:p w14:paraId="2A375F6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Vysoká dostupnosť (failover) je riešená na úrovni virtualizačnej platformy NBS.</w:t>
            </w:r>
          </w:p>
        </w:tc>
      </w:tr>
      <w:tr w:rsidR="00D42B04" w:rsidRPr="00D42B04" w14:paraId="52317211" w14:textId="77777777" w:rsidTr="000C3B41">
        <w:trPr>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761BEE2A"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lastRenderedPageBreak/>
              <w:t>Reporting / BI server</w:t>
            </w:r>
          </w:p>
        </w:tc>
        <w:tc>
          <w:tcPr>
            <w:tcW w:w="1418" w:type="dxa"/>
          </w:tcPr>
          <w:p w14:paraId="288CA73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PROD-BI</w:t>
            </w:r>
          </w:p>
          <w:p w14:paraId="36F88AE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DEV-BI</w:t>
            </w:r>
          </w:p>
          <w:p w14:paraId="77F4AAA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TEST-BI</w:t>
            </w:r>
          </w:p>
        </w:tc>
        <w:tc>
          <w:tcPr>
            <w:tcW w:w="5924" w:type="dxa"/>
          </w:tcPr>
          <w:p w14:paraId="0043F5D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Exsitujúce BI servery sú virtualizované na platforme VMware ESX, virtualizačná platforma je v správe IT NBS. Výkon je možné prideliť podľa potreby.</w:t>
            </w:r>
          </w:p>
          <w:p w14:paraId="4A3A972A"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MS SQL Server 2019 Enterprise</w:t>
            </w:r>
          </w:p>
          <w:p w14:paraId="44C5F53C"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Windows Server 2022 Data Center edícia.</w:t>
            </w:r>
          </w:p>
          <w:p w14:paraId="795DD1E4"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CPU: 4 vCPU (s možnosťou navýšiť na 8 vCPU)</w:t>
            </w:r>
          </w:p>
          <w:p w14:paraId="1F4A0287" w14:textId="77777777" w:rsidR="00D42B04" w:rsidRPr="00D42B04" w:rsidRDefault="00D42B04" w:rsidP="00D42B04">
            <w:pPr>
              <w:numPr>
                <w:ilvl w:val="0"/>
                <w:numId w:val="69"/>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RAM: 32 GB </w:t>
            </w:r>
          </w:p>
          <w:p w14:paraId="754FC1B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Vysoká dostupnosť (failover) je riešená na úrovni virtualizačnej platformy. Budú dve platformy:</w:t>
            </w:r>
          </w:p>
          <w:p w14:paraId="0FC69C8A" w14:textId="77777777" w:rsidR="00D42B04" w:rsidRPr="00D42B04" w:rsidRDefault="00D42B04" w:rsidP="00D42B04">
            <w:pPr>
              <w:numPr>
                <w:ilvl w:val="0"/>
                <w:numId w:val="82"/>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PROD-DB (produkčný BI server)</w:t>
            </w:r>
          </w:p>
          <w:p w14:paraId="517009B6" w14:textId="77777777" w:rsidR="00D42B04" w:rsidRPr="00D42B04" w:rsidRDefault="00D42B04" w:rsidP="00D42B04">
            <w:pPr>
              <w:numPr>
                <w:ilvl w:val="0"/>
                <w:numId w:val="82"/>
              </w:numPr>
              <w:spacing w:before="120" w:after="120" w:line="240" w:lineRule="atLeast"/>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DEV-DB (vývojový BI server) + TEST-BI (testovací BI server)</w:t>
            </w:r>
          </w:p>
        </w:tc>
      </w:tr>
      <w:tr w:rsidR="00D42B04" w:rsidRPr="00D42B04" w14:paraId="103A2D0E" w14:textId="77777777" w:rsidTr="00D42B04">
        <w:trPr>
          <w:cnfStyle w:val="000000100000" w:firstRow="0" w:lastRow="0" w:firstColumn="0" w:lastColumn="0" w:oddVBand="0" w:evenVBand="0" w:oddHBand="1" w:evenHBand="0" w:firstRowFirstColumn="0" w:firstRowLastColumn="0" w:lastRowFirstColumn="0" w:lastRowLastColumn="0"/>
          <w:cantSplit/>
          <w:trHeight w:val="118"/>
        </w:trPr>
        <w:tc>
          <w:tcPr>
            <w:cnfStyle w:val="001000000000" w:firstRow="0" w:lastRow="0" w:firstColumn="1" w:lastColumn="0" w:oddVBand="0" w:evenVBand="0" w:oddHBand="0" w:evenHBand="0" w:firstRowFirstColumn="0" w:firstRowLastColumn="0" w:lastRowFirstColumn="0" w:lastRowLastColumn="0"/>
            <w:tcW w:w="1276" w:type="dxa"/>
          </w:tcPr>
          <w:p w14:paraId="4DF1E60B"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PC</w:t>
            </w:r>
          </w:p>
        </w:tc>
        <w:tc>
          <w:tcPr>
            <w:tcW w:w="1418" w:type="dxa"/>
          </w:tcPr>
          <w:p w14:paraId="5413151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PC</w:t>
            </w:r>
          </w:p>
        </w:tc>
        <w:tc>
          <w:tcPr>
            <w:tcW w:w="5924" w:type="dxa"/>
          </w:tcPr>
          <w:p w14:paraId="7B1D6FD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sz w:val="16"/>
              </w:rPr>
            </w:pPr>
            <w:r w:rsidRPr="00D42B04">
              <w:rPr>
                <w:sz w:val="16"/>
              </w:rPr>
              <w:t>Inštalované komponenty</w:t>
            </w:r>
            <w:r w:rsidRPr="00D42B04">
              <w:rPr>
                <w:rFonts w:cs="Calibri"/>
                <w:sz w:val="16"/>
                <w:szCs w:val="16"/>
                <w:lang w:eastAsia="sk-SK"/>
              </w:rPr>
              <w:t>, ktoré zabezpečí NBS (do 15 pracovných staníc):</w:t>
            </w:r>
          </w:p>
          <w:p w14:paraId="3359874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cs="Calibri"/>
                <w:sz w:val="16"/>
                <w:szCs w:val="16"/>
                <w:lang w:eastAsia="sk-SK"/>
              </w:rPr>
            </w:pPr>
            <w:r w:rsidRPr="00D42B04">
              <w:rPr>
                <w:rFonts w:cs="Calibri"/>
                <w:sz w:val="16"/>
                <w:szCs w:val="16"/>
                <w:lang w:eastAsia="sk-SK"/>
              </w:rPr>
              <w:t>VMware Horizon, MS Windows 10, 4vCPU, 16GB RAM</w:t>
            </w:r>
          </w:p>
          <w:p w14:paraId="0CA8149A"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sz w:val="16"/>
              </w:rPr>
            </w:pPr>
            <w:r w:rsidRPr="00D42B04">
              <w:rPr>
                <w:sz w:val="16"/>
              </w:rPr>
              <w:t>SQL Server Data Tools - pre vývojára ETL pre spracovanie tabulárnych modelov v</w:t>
            </w:r>
            <w:r w:rsidRPr="00D42B04">
              <w:rPr>
                <w:rFonts w:cs="Calibri"/>
                <w:sz w:val="16"/>
                <w:szCs w:val="16"/>
                <w:lang w:eastAsia="sk-SK"/>
              </w:rPr>
              <w:t xml:space="preserve"> </w:t>
            </w:r>
            <w:r w:rsidRPr="00D42B04">
              <w:rPr>
                <w:sz w:val="16"/>
              </w:rPr>
              <w:t>MS SQL Server Analysis Services</w:t>
            </w:r>
          </w:p>
          <w:p w14:paraId="272B0EF2"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sz w:val="16"/>
              </w:rPr>
            </w:pPr>
            <w:r w:rsidRPr="00D42B04">
              <w:rPr>
                <w:sz w:val="16"/>
              </w:rPr>
              <w:t>Oracle client pre vývojára ETL, resp. reportov</w:t>
            </w:r>
          </w:p>
          <w:p w14:paraId="39E919D4"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sz w:val="16"/>
              </w:rPr>
            </w:pPr>
            <w:r w:rsidRPr="00D42B04">
              <w:rPr>
                <w:sz w:val="16"/>
              </w:rPr>
              <w:t>Oracle SQL developer pre vývojára ETL</w:t>
            </w:r>
          </w:p>
          <w:p w14:paraId="3E90B188"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Calibri"/>
                <w:sz w:val="16"/>
                <w:szCs w:val="16"/>
                <w:lang w:eastAsia="sk-SK"/>
              </w:rPr>
            </w:pPr>
            <w:r w:rsidRPr="00D42B04">
              <w:rPr>
                <w:sz w:val="16"/>
              </w:rPr>
              <w:t>Oracle Data Integrátor pre vývojára ETL</w:t>
            </w:r>
          </w:p>
          <w:p w14:paraId="4FF78E3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cs="Calibri"/>
                <w:sz w:val="16"/>
                <w:szCs w:val="16"/>
                <w:lang w:eastAsia="sk-SK"/>
              </w:rPr>
            </w:pPr>
            <w:r w:rsidRPr="00D42B04">
              <w:rPr>
                <w:rFonts w:cs="Calibri"/>
                <w:sz w:val="16"/>
                <w:szCs w:val="16"/>
                <w:lang w:eastAsia="sk-SK"/>
              </w:rPr>
              <w:t>Ostatné potrebné SW komponenty musia byť dodané v rámci ponuky uchádzača , ako napríklad:</w:t>
            </w:r>
          </w:p>
          <w:p w14:paraId="6718A036"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Calibri"/>
                <w:sz w:val="16"/>
                <w:szCs w:val="16"/>
                <w:lang w:eastAsia="sk-SK"/>
              </w:rPr>
            </w:pPr>
            <w:r w:rsidRPr="00D42B04">
              <w:rPr>
                <w:sz w:val="16"/>
              </w:rPr>
              <w:t>MS Power BI Pro</w:t>
            </w:r>
          </w:p>
          <w:p w14:paraId="36C72098" w14:textId="77777777" w:rsidR="00D42B04" w:rsidRPr="00D42B04" w:rsidRDefault="00D42B04" w:rsidP="00D42B04">
            <w:pPr>
              <w:numPr>
                <w:ilvl w:val="0"/>
                <w:numId w:val="69"/>
              </w:numPr>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sz w:val="16"/>
              </w:rPr>
              <w:t>MS Visual Studio</w:t>
            </w:r>
          </w:p>
        </w:tc>
      </w:tr>
    </w:tbl>
    <w:p w14:paraId="22DF30A7" w14:textId="77777777" w:rsidR="00D42B04" w:rsidRPr="00D42B04" w:rsidRDefault="00D42B04" w:rsidP="00D42B04">
      <w:pPr>
        <w:spacing w:before="120" w:after="200"/>
        <w:jc w:val="both"/>
        <w:rPr>
          <w:rFonts w:ascii="Cambria" w:eastAsia="Calibri" w:hAnsi="Cambria" w:cs="Arial"/>
          <w:b/>
          <w:i/>
          <w:iCs/>
          <w:color w:val="44546A"/>
          <w:sz w:val="18"/>
          <w:szCs w:val="18"/>
        </w:rPr>
      </w:pPr>
      <w:bookmarkStart w:id="154" w:name="_Toc97562287"/>
      <w:bookmarkStart w:id="155" w:name="_Toc103177432"/>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15</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Prehľad HW komponent riešenia</w:t>
      </w:r>
      <w:bookmarkEnd w:id="154"/>
      <w:bookmarkEnd w:id="155"/>
    </w:p>
    <w:p w14:paraId="675A43D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NBS plánuje využitie svojej existujúcej HW a SW infraštruktúry pomocou svojho IT oddelenia pre prevádzku. Táto infraštruktúra musí byť uchádzačom cieľového riešenia posúdená z pohľadu kapacity a dostupnosti s prípadným dopadom na SW licencie.</w:t>
      </w:r>
    </w:p>
    <w:p w14:paraId="0CE992C2"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Z hľadiska vytvorenia vysokej dostupnosti bude fyzická architektúra nastavená nasledovne:</w:t>
      </w:r>
    </w:p>
    <w:p w14:paraId="77AFD56B" w14:textId="77777777" w:rsidR="00D42B04" w:rsidRPr="00D42B04" w:rsidRDefault="00D42B04" w:rsidP="00D42B04">
      <w:pPr>
        <w:spacing w:before="120" w:after="200"/>
        <w:jc w:val="both"/>
        <w:rPr>
          <w:rFonts w:ascii="Cambria" w:eastAsia="Calibri" w:hAnsi="Cambria" w:cs="Calibri"/>
          <w:i/>
          <w:iCs/>
          <w:color w:val="44546A"/>
          <w:sz w:val="18"/>
          <w:szCs w:val="18"/>
        </w:rPr>
      </w:pPr>
      <w:r w:rsidRPr="00D42B04">
        <w:rPr>
          <w:rFonts w:ascii="Cambria" w:eastAsia="Calibri" w:hAnsi="Cambria" w:cs="Calibri"/>
          <w:i/>
          <w:iCs/>
          <w:noProof/>
          <w:color w:val="44546A"/>
          <w:sz w:val="18"/>
          <w:szCs w:val="18"/>
        </w:rPr>
        <w:drawing>
          <wp:inline distT="0" distB="0" distL="0" distR="0" wp14:anchorId="093DCAA6" wp14:editId="2293F256">
            <wp:extent cx="5400000" cy="540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00" cy="5400000"/>
                    </a:xfrm>
                    <a:prstGeom prst="rect">
                      <a:avLst/>
                    </a:prstGeom>
                    <a:noFill/>
                  </pic:spPr>
                </pic:pic>
              </a:graphicData>
            </a:graphic>
          </wp:inline>
        </w:drawing>
      </w:r>
    </w:p>
    <w:p w14:paraId="2F9B6BDF"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56" w:name="_Toc104211902"/>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10</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Vysoká dostupnosť nového riešenia</w:t>
      </w:r>
      <w:bookmarkEnd w:id="156"/>
    </w:p>
    <w:p w14:paraId="7886298B"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57" w:name="_Toc110518784"/>
      <w:r w:rsidRPr="00D42B04">
        <w:rPr>
          <w:rFonts w:ascii="Cambria" w:eastAsia="Yu Gothic Light" w:hAnsi="Cambria"/>
          <w:b/>
          <w:bCs/>
          <w:color w:val="2F5496"/>
          <w:szCs w:val="24"/>
        </w:rPr>
        <w:lastRenderedPageBreak/>
        <w:t>Aplikačná architektúra</w:t>
      </w:r>
      <w:bookmarkEnd w:id="157"/>
    </w:p>
    <w:p w14:paraId="4DF4AA0A"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Úvod</w:t>
      </w:r>
    </w:p>
    <w:p w14:paraId="3E2C14E1"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Nasledujúci infraštruktúrny diagram popisuje požadovanú novú aplikačnú architektúru NBS DWH z  hľadiska inštalácie jednotlivých produktov.</w:t>
      </w:r>
    </w:p>
    <w:p w14:paraId="3C29CE0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20C49148" wp14:editId="300627F0">
            <wp:extent cx="5400000" cy="48812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00" cy="4881268"/>
                    </a:xfrm>
                    <a:prstGeom prst="rect">
                      <a:avLst/>
                    </a:prstGeom>
                    <a:noFill/>
                  </pic:spPr>
                </pic:pic>
              </a:graphicData>
            </a:graphic>
          </wp:inline>
        </w:drawing>
      </w:r>
    </w:p>
    <w:p w14:paraId="2AD10D80"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58" w:name="_Toc104211903"/>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11</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Aplikačná architektúra nového riešenia</w:t>
      </w:r>
      <w:bookmarkEnd w:id="158"/>
    </w:p>
    <w:p w14:paraId="30FFBB1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Navrhované riešenie tvorené:</w:t>
      </w:r>
    </w:p>
    <w:p w14:paraId="5DBA6303" w14:textId="77777777" w:rsidR="00D42B04" w:rsidRPr="00D42B04" w:rsidRDefault="00D42B04" w:rsidP="00D42B04">
      <w:pPr>
        <w:numPr>
          <w:ilvl w:val="0"/>
          <w:numId w:val="7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relačným DWH a BI platformou bude prevádzkované s využitím existujúcej aplikačnej infraštruktúry projektu Pilot DWH. </w:t>
      </w:r>
    </w:p>
    <w:p w14:paraId="52754042" w14:textId="77777777" w:rsidR="00D42B04" w:rsidRPr="00D42B04" w:rsidRDefault="00D42B04" w:rsidP="00D42B04">
      <w:pPr>
        <w:numPr>
          <w:ilvl w:val="0"/>
          <w:numId w:val="7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 - potreba vybudovania novej aplikačnej infraštruktúry.</w:t>
      </w:r>
    </w:p>
    <w:p w14:paraId="772EF97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V prípade DWH je základným software komponentom databázový systém a systém pre ETL. NBS preferuje využiť existujúcu investíciu do projektu Pilot DWH, ktorý je postavený na: </w:t>
      </w:r>
    </w:p>
    <w:p w14:paraId="60255419" w14:textId="77777777" w:rsidR="00D42B04" w:rsidRPr="00D42B04" w:rsidRDefault="00D42B04" w:rsidP="00D42B04">
      <w:pPr>
        <w:numPr>
          <w:ilvl w:val="0"/>
          <w:numId w:val="6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Databáza – Oracle DB v edícii Enterprise</w:t>
      </w:r>
    </w:p>
    <w:p w14:paraId="13182551" w14:textId="77777777" w:rsidR="00D42B04" w:rsidRPr="00D42B04" w:rsidRDefault="00D42B04" w:rsidP="00D42B04">
      <w:pPr>
        <w:numPr>
          <w:ilvl w:val="0"/>
          <w:numId w:val="6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Reporting – MS SQL Server Analysis Services a MS Power BI</w:t>
      </w:r>
    </w:p>
    <w:p w14:paraId="205C4CE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Navyše je v riešení NBS DWH požadované vytvorenie DataLake prostredia ako oblasť pre uloženie dát pre data discovery.</w:t>
      </w:r>
    </w:p>
    <w:p w14:paraId="0FFFD1EE" w14:textId="77777777" w:rsidR="00D42B04" w:rsidRPr="00D42B04" w:rsidRDefault="00D42B04" w:rsidP="00D42B04">
      <w:pPr>
        <w:spacing w:before="120" w:after="120"/>
        <w:jc w:val="both"/>
        <w:rPr>
          <w:rFonts w:ascii="Cambria" w:eastAsia="Calibri" w:hAnsi="Cambria" w:cs="Arial"/>
          <w:sz w:val="22"/>
          <w:szCs w:val="22"/>
        </w:rPr>
      </w:pPr>
    </w:p>
    <w:p w14:paraId="642542EB" w14:textId="77777777" w:rsidR="00D42B04" w:rsidRPr="00D42B04" w:rsidRDefault="00D42B04" w:rsidP="00D42B04">
      <w:pPr>
        <w:spacing w:before="120" w:after="120"/>
        <w:jc w:val="both"/>
        <w:rPr>
          <w:rFonts w:ascii="Cambria" w:eastAsia="Calibri" w:hAnsi="Cambria" w:cs="Arial"/>
          <w:sz w:val="22"/>
          <w:szCs w:val="22"/>
        </w:rPr>
      </w:pPr>
    </w:p>
    <w:p w14:paraId="048518B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Jednotlivé komponenty riešenia budú vyžadovať nasledujúci software, a to minimálne v 3 oddelených prostrediach (vývoj, test, produkcia) v súlade s detailnými požiadavkami:</w:t>
      </w:r>
    </w:p>
    <w:tbl>
      <w:tblPr>
        <w:tblStyle w:val="GridTable4-Accent52"/>
        <w:tblW w:w="8500" w:type="dxa"/>
        <w:tblLayout w:type="fixed"/>
        <w:tblLook w:val="04A0" w:firstRow="1" w:lastRow="0" w:firstColumn="1" w:lastColumn="0" w:noHBand="0" w:noVBand="1"/>
      </w:tblPr>
      <w:tblGrid>
        <w:gridCol w:w="1413"/>
        <w:gridCol w:w="1600"/>
        <w:gridCol w:w="5487"/>
      </w:tblGrid>
      <w:tr w:rsidR="00D42B04" w:rsidRPr="00D42B04" w14:paraId="134CA9B5" w14:textId="77777777" w:rsidTr="00D42B04">
        <w:trPr>
          <w:cnfStyle w:val="100000000000" w:firstRow="1" w:lastRow="0" w:firstColumn="0" w:lastColumn="0" w:oddVBand="0" w:evenVBand="0" w:oddHBand="0" w:evenHBand="0" w:firstRowFirstColumn="0" w:firstRowLastColumn="0" w:lastRowFirstColumn="0" w:lastRowLastColumn="0"/>
          <w:trHeight w:val="119"/>
          <w:tblHeader/>
        </w:trPr>
        <w:tc>
          <w:tcPr>
            <w:cnfStyle w:val="001000000000" w:firstRow="0" w:lastRow="0" w:firstColumn="1" w:lastColumn="0" w:oddVBand="0" w:evenVBand="0" w:oddHBand="0" w:evenHBand="0" w:firstRowFirstColumn="0" w:firstRowLastColumn="0" w:lastRowFirstColumn="0" w:lastRowLastColumn="0"/>
            <w:tcW w:w="1413" w:type="dxa"/>
          </w:tcPr>
          <w:p w14:paraId="01115104" w14:textId="77777777" w:rsidR="00D42B04" w:rsidRPr="00D42B04" w:rsidRDefault="00D42B04" w:rsidP="00D42B04">
            <w:pPr>
              <w:spacing w:before="120" w:after="120"/>
              <w:jc w:val="both"/>
              <w:rPr>
                <w:rFonts w:ascii="Cambria" w:hAnsi="Cambria"/>
                <w:sz w:val="22"/>
              </w:rPr>
            </w:pPr>
            <w:r w:rsidRPr="00D42B04">
              <w:rPr>
                <w:rFonts w:ascii="Cambria" w:hAnsi="Cambria"/>
                <w:sz w:val="22"/>
              </w:rPr>
              <w:lastRenderedPageBreak/>
              <w:t>Platforma</w:t>
            </w:r>
          </w:p>
        </w:tc>
        <w:tc>
          <w:tcPr>
            <w:tcW w:w="1600" w:type="dxa"/>
          </w:tcPr>
          <w:p w14:paraId="105DAC98"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Software</w:t>
            </w:r>
          </w:p>
        </w:tc>
        <w:tc>
          <w:tcPr>
            <w:tcW w:w="5487" w:type="dxa"/>
          </w:tcPr>
          <w:p w14:paraId="74B30827"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Navrhované riešenie</w:t>
            </w:r>
          </w:p>
        </w:tc>
      </w:tr>
      <w:tr w:rsidR="00D42B04" w:rsidRPr="00D42B04" w14:paraId="51E9D897"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7F17456A" w14:textId="77777777" w:rsidR="00D42B04" w:rsidRPr="00D42B04" w:rsidRDefault="00D42B04" w:rsidP="00D42B04">
            <w:pPr>
              <w:spacing w:before="120" w:after="120"/>
              <w:jc w:val="both"/>
              <w:rPr>
                <w:rFonts w:ascii="Cambria" w:hAnsi="Cambria" w:cs="Calibri"/>
                <w:color w:val="000000"/>
                <w:sz w:val="16"/>
                <w:szCs w:val="16"/>
                <w:lang w:eastAsia="sk-SK"/>
              </w:rPr>
            </w:pPr>
            <w:r w:rsidRPr="00D42B04">
              <w:rPr>
                <w:rFonts w:ascii="Cambria" w:hAnsi="Cambria" w:cs="Calibri"/>
                <w:sz w:val="16"/>
                <w:szCs w:val="16"/>
                <w:lang w:eastAsia="sk-SK"/>
              </w:rPr>
              <w:t>DWH</w:t>
            </w:r>
          </w:p>
        </w:tc>
        <w:tc>
          <w:tcPr>
            <w:tcW w:w="1600" w:type="dxa"/>
          </w:tcPr>
          <w:p w14:paraId="3ACEEA5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Operačný systém</w:t>
            </w:r>
          </w:p>
        </w:tc>
        <w:tc>
          <w:tcPr>
            <w:tcW w:w="5487" w:type="dxa"/>
          </w:tcPr>
          <w:p w14:paraId="2F010F1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Výber operačného systému je podriadený voľbe databázy, prípadne podkladovej HW infraštruktúry.</w:t>
            </w:r>
          </w:p>
          <w:p w14:paraId="56AD502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V prípade existujúceho pilotného DWH sa využíva </w:t>
            </w:r>
            <w:r w:rsidRPr="00D42B04">
              <w:rPr>
                <w:rFonts w:ascii="Cambria" w:hAnsi="Cambria" w:cs="Calibri"/>
                <w:b/>
                <w:bCs/>
                <w:sz w:val="16"/>
                <w:szCs w:val="16"/>
                <w:lang w:eastAsia="sk-SK"/>
              </w:rPr>
              <w:t>Oracle Linux 8</w:t>
            </w:r>
            <w:r w:rsidRPr="00D42B04">
              <w:rPr>
                <w:rFonts w:ascii="Cambria" w:hAnsi="Cambria" w:cs="Calibri"/>
                <w:sz w:val="16"/>
                <w:szCs w:val="16"/>
                <w:lang w:eastAsia="sk-SK"/>
              </w:rPr>
              <w:t xml:space="preserve"> (RedHat distribúcia).</w:t>
            </w:r>
          </w:p>
        </w:tc>
      </w:tr>
      <w:tr w:rsidR="00D42B04" w:rsidRPr="00D42B04" w14:paraId="5AA16641"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1326F791"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58F43FE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Databáza</w:t>
            </w:r>
          </w:p>
        </w:tc>
        <w:tc>
          <w:tcPr>
            <w:tcW w:w="5487" w:type="dxa"/>
          </w:tcPr>
          <w:p w14:paraId="2D45678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Existujúci Pilot DWH je postavený na relačnej databáze </w:t>
            </w:r>
            <w:r w:rsidRPr="00D42B04">
              <w:rPr>
                <w:rFonts w:ascii="Cambria" w:hAnsi="Cambria" w:cs="Calibri"/>
                <w:b/>
                <w:bCs/>
                <w:sz w:val="16"/>
                <w:szCs w:val="16"/>
                <w:lang w:eastAsia="sk-SK"/>
              </w:rPr>
              <w:t>Oracle 19c Enterprise Edition + Partitioning Option</w:t>
            </w:r>
            <w:r w:rsidRPr="00D42B04">
              <w:rPr>
                <w:rFonts w:ascii="Cambria" w:hAnsi="Cambria" w:cs="Calibri"/>
                <w:sz w:val="16"/>
                <w:szCs w:val="16"/>
                <w:lang w:eastAsia="sk-SK"/>
              </w:rPr>
              <w:t>.</w:t>
            </w:r>
          </w:p>
        </w:tc>
      </w:tr>
      <w:tr w:rsidR="00D42B04" w:rsidRPr="00D42B04" w14:paraId="5B04CBE1"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7CDCBF00"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3B9858B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Doplnkové časti DB</w:t>
            </w:r>
          </w:p>
        </w:tc>
        <w:tc>
          <w:tcPr>
            <w:tcW w:w="5487" w:type="dxa"/>
          </w:tcPr>
          <w:p w14:paraId="5E9025B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Súčasné nastavenie DB a vybrané opcie (</w:t>
            </w:r>
            <w:r w:rsidRPr="00D42B04">
              <w:rPr>
                <w:rFonts w:ascii="Cambria" w:hAnsi="Cambria" w:cs="Calibri"/>
                <w:b/>
                <w:bCs/>
                <w:sz w:val="16"/>
                <w:szCs w:val="16"/>
                <w:lang w:eastAsia="sk-SK"/>
              </w:rPr>
              <w:t>Partitioning Option</w:t>
            </w:r>
            <w:r w:rsidRPr="00D42B04">
              <w:rPr>
                <w:rFonts w:ascii="Cambria" w:hAnsi="Cambria" w:cs="Calibri"/>
                <w:sz w:val="16"/>
                <w:szCs w:val="16"/>
                <w:lang w:eastAsia="sk-SK"/>
              </w:rPr>
              <w:t>) sú dostatočné a neplánuje sa úprava.</w:t>
            </w:r>
          </w:p>
        </w:tc>
      </w:tr>
      <w:tr w:rsidR="00D42B04" w:rsidRPr="00D42B04" w14:paraId="208F8B99"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620E591E"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DataLake</w:t>
            </w:r>
          </w:p>
        </w:tc>
        <w:tc>
          <w:tcPr>
            <w:tcW w:w="1600" w:type="dxa"/>
          </w:tcPr>
          <w:p w14:paraId="5B7DC0B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Operačný systém</w:t>
            </w:r>
          </w:p>
        </w:tc>
        <w:tc>
          <w:tcPr>
            <w:tcW w:w="5487" w:type="dxa"/>
          </w:tcPr>
          <w:p w14:paraId="02563C9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color w:val="000000"/>
                <w:sz w:val="16"/>
                <w:szCs w:val="16"/>
                <w:lang w:eastAsia="sk-SK"/>
              </w:rPr>
            </w:pPr>
            <w:r w:rsidRPr="00D42B04">
              <w:rPr>
                <w:rFonts w:ascii="Cambria" w:hAnsi="Cambria" w:cs="Calibri"/>
                <w:sz w:val="16"/>
                <w:szCs w:val="16"/>
                <w:lang w:eastAsia="sk-SK"/>
              </w:rPr>
              <w:t>Výber operačného systému pre DataLake bude podriadený voľbe Big Data platformy, ktorá musí mať pre daný operačný systém podporu.</w:t>
            </w:r>
          </w:p>
          <w:p w14:paraId="4160259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NBS preferuje </w:t>
            </w:r>
            <w:r w:rsidRPr="00D42B04">
              <w:rPr>
                <w:rFonts w:ascii="Cambria" w:hAnsi="Cambria" w:cs="Calibri"/>
                <w:b/>
                <w:bCs/>
                <w:sz w:val="16"/>
                <w:szCs w:val="16"/>
                <w:lang w:eastAsia="sk-SK"/>
              </w:rPr>
              <w:t>Red Hat Linux</w:t>
            </w:r>
            <w:r w:rsidRPr="00D42B04">
              <w:rPr>
                <w:rFonts w:ascii="Cambria" w:hAnsi="Cambria" w:cs="Calibri"/>
                <w:sz w:val="16"/>
                <w:szCs w:val="16"/>
                <w:lang w:eastAsia="sk-SK"/>
              </w:rPr>
              <w:t>.</w:t>
            </w:r>
          </w:p>
        </w:tc>
      </w:tr>
      <w:tr w:rsidR="00D42B04" w:rsidRPr="00D42B04" w14:paraId="6A5ED4B4"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3DEB205C"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0045309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Big Data platforma</w:t>
            </w:r>
          </w:p>
        </w:tc>
        <w:tc>
          <w:tcPr>
            <w:tcW w:w="5487" w:type="dxa"/>
          </w:tcPr>
          <w:p w14:paraId="7966733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Big Data platformy je predmetom výberového konania.</w:t>
            </w:r>
          </w:p>
        </w:tc>
      </w:tr>
      <w:tr w:rsidR="00D42B04" w:rsidRPr="00D42B04" w14:paraId="11194A43"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5312EFCE"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188699B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Platform Management</w:t>
            </w:r>
          </w:p>
        </w:tc>
        <w:tc>
          <w:tcPr>
            <w:tcW w:w="5487" w:type="dxa"/>
          </w:tcPr>
          <w:p w14:paraId="7EC2C55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Platform Management systému je predmetom výberového konania.</w:t>
            </w:r>
          </w:p>
        </w:tc>
      </w:tr>
      <w:tr w:rsidR="00D42B04" w:rsidRPr="00D42B04" w14:paraId="377C9906"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1242B3E6"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ETL systém</w:t>
            </w:r>
          </w:p>
        </w:tc>
        <w:tc>
          <w:tcPr>
            <w:tcW w:w="1600" w:type="dxa"/>
          </w:tcPr>
          <w:p w14:paraId="23FC43F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SQL ETL</w:t>
            </w:r>
          </w:p>
        </w:tc>
        <w:tc>
          <w:tcPr>
            <w:tcW w:w="5487" w:type="dxa"/>
          </w:tcPr>
          <w:p w14:paraId="1FC72FA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Ako ETL framework je preferovaný nástroj </w:t>
            </w:r>
            <w:r w:rsidRPr="00D42B04">
              <w:rPr>
                <w:rFonts w:ascii="Cambria" w:hAnsi="Cambria" w:cs="Calibri"/>
                <w:b/>
                <w:bCs/>
                <w:sz w:val="16"/>
                <w:szCs w:val="16"/>
                <w:lang w:eastAsia="sk-SK"/>
              </w:rPr>
              <w:t>Oracle Data Integrator</w:t>
            </w:r>
          </w:p>
        </w:tc>
      </w:tr>
      <w:tr w:rsidR="00D42B04" w:rsidRPr="00D42B04" w14:paraId="5EA1CFF1"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42075638"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2E83706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Big Data ETL</w:t>
            </w:r>
          </w:p>
        </w:tc>
        <w:tc>
          <w:tcPr>
            <w:tcW w:w="5487" w:type="dxa"/>
          </w:tcPr>
          <w:p w14:paraId="037C9D0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Big Data platformy je predmetom výberového konania. Podmienka NBS je použitie Enterprise riešenia pred čistým OpenSource.</w:t>
            </w:r>
          </w:p>
        </w:tc>
      </w:tr>
      <w:tr w:rsidR="00D42B04" w:rsidRPr="00D42B04" w14:paraId="08418C34"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00B330B0"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755F852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Ingestion framework</w:t>
            </w:r>
          </w:p>
        </w:tc>
        <w:tc>
          <w:tcPr>
            <w:tcW w:w="5487" w:type="dxa"/>
          </w:tcPr>
          <w:p w14:paraId="6C83683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Projekt NBS DWH nebude o veľkosti spracovávaných dát, ale o počte rôznorodých dátových vstupov a vzorov. Denne/mesačne budú prichádzať stovky rôzne štruktúrovaných súborov, ktoré sa počas životnosti môžu a budú meniť. Preto požadujeme dodať v projekte systém na metadátové riadené spracovanie súborov. Bližšie v kapitolách 3.2.13.</w:t>
            </w:r>
          </w:p>
        </w:tc>
      </w:tr>
      <w:tr w:rsidR="00D42B04" w:rsidRPr="00D42B04" w14:paraId="5A271A49"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55AC5D5D"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BI</w:t>
            </w:r>
          </w:p>
        </w:tc>
        <w:tc>
          <w:tcPr>
            <w:tcW w:w="1600" w:type="dxa"/>
          </w:tcPr>
          <w:p w14:paraId="508694A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Operačný systém</w:t>
            </w:r>
          </w:p>
        </w:tc>
        <w:tc>
          <w:tcPr>
            <w:tcW w:w="5487" w:type="dxa"/>
          </w:tcPr>
          <w:p w14:paraId="5601724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operačného systému je podriadený voľbe BI servera, prípadne podkladovej HW infraštruktúry.</w:t>
            </w:r>
          </w:p>
          <w:p w14:paraId="108AF78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V prípade existujúceho pilotného BI servera, ktorý je postavený na technológiách Microsoft a virtualizačnej platforme VMware ESX, sa využíva </w:t>
            </w:r>
            <w:r w:rsidRPr="00D42B04">
              <w:rPr>
                <w:rFonts w:ascii="Cambria" w:hAnsi="Cambria" w:cs="Calibri"/>
                <w:b/>
                <w:bCs/>
                <w:sz w:val="16"/>
                <w:szCs w:val="16"/>
                <w:lang w:eastAsia="sk-SK"/>
              </w:rPr>
              <w:t>Windows Server 2022 Data Center edícia</w:t>
            </w:r>
            <w:r w:rsidRPr="00D42B04">
              <w:rPr>
                <w:rFonts w:ascii="Cambria" w:hAnsi="Cambria" w:cs="Calibri"/>
                <w:sz w:val="16"/>
                <w:szCs w:val="16"/>
                <w:lang w:eastAsia="sk-SK"/>
              </w:rPr>
              <w:t>.</w:t>
            </w:r>
          </w:p>
          <w:p w14:paraId="3E478E3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Aktuálne je zalicencovaná celá virtualizačná platforma, prípadné rozšírenie kapacity BI je preto bez dopadu na potrebu ďalších licencií OS.</w:t>
            </w:r>
          </w:p>
        </w:tc>
      </w:tr>
      <w:tr w:rsidR="00D42B04" w:rsidRPr="00D42B04" w14:paraId="3544380B"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928419B"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08699E0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BI server</w:t>
            </w:r>
          </w:p>
        </w:tc>
        <w:tc>
          <w:tcPr>
            <w:tcW w:w="5487" w:type="dxa"/>
          </w:tcPr>
          <w:p w14:paraId="56E0D17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NBS využíva </w:t>
            </w:r>
            <w:r w:rsidRPr="00D42B04">
              <w:rPr>
                <w:rFonts w:ascii="Cambria" w:hAnsi="Cambria" w:cs="Calibri"/>
                <w:b/>
                <w:bCs/>
                <w:sz w:val="16"/>
                <w:szCs w:val="16"/>
                <w:lang w:eastAsia="sk-SK"/>
              </w:rPr>
              <w:t>MS SQL Server 2019 Enterprise</w:t>
            </w:r>
            <w:r w:rsidRPr="00D42B04">
              <w:rPr>
                <w:rFonts w:ascii="Cambria" w:hAnsi="Cambria" w:cs="Calibri"/>
                <w:sz w:val="16"/>
                <w:szCs w:val="16"/>
                <w:lang w:eastAsia="sk-SK"/>
              </w:rPr>
              <w:t xml:space="preserve"> pre BI riešenie, konkrétne </w:t>
            </w:r>
            <w:r w:rsidRPr="00D42B04">
              <w:rPr>
                <w:rFonts w:ascii="Cambria" w:hAnsi="Cambria" w:cs="Calibri"/>
                <w:b/>
                <w:bCs/>
                <w:sz w:val="16"/>
                <w:szCs w:val="16"/>
                <w:lang w:eastAsia="sk-SK"/>
              </w:rPr>
              <w:t>Analysis Services</w:t>
            </w:r>
            <w:r w:rsidRPr="00D42B04">
              <w:rPr>
                <w:rFonts w:ascii="Cambria" w:hAnsi="Cambria" w:cs="Calibri"/>
                <w:sz w:val="16"/>
                <w:szCs w:val="16"/>
                <w:lang w:eastAsia="sk-SK"/>
              </w:rPr>
              <w:t xml:space="preserve"> (tabulárne modely) a </w:t>
            </w:r>
            <w:r w:rsidRPr="00D42B04">
              <w:rPr>
                <w:rFonts w:ascii="Cambria" w:hAnsi="Cambria" w:cs="Calibri"/>
                <w:b/>
                <w:bCs/>
                <w:sz w:val="16"/>
                <w:szCs w:val="16"/>
                <w:lang w:eastAsia="sk-SK"/>
              </w:rPr>
              <w:t>MS Power BI Report Server</w:t>
            </w:r>
            <w:r w:rsidRPr="00D42B04">
              <w:rPr>
                <w:rFonts w:ascii="Cambria" w:hAnsi="Cambria" w:cs="Calibri"/>
                <w:sz w:val="16"/>
                <w:szCs w:val="16"/>
                <w:lang w:eastAsia="sk-SK"/>
              </w:rPr>
              <w:t xml:space="preserve"> pre publikáciu a zdieľanie reportov a analýz.</w:t>
            </w:r>
          </w:p>
          <w:p w14:paraId="09D0379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Na odbore štatistiky je to ďalej </w:t>
            </w:r>
            <w:r w:rsidRPr="00D42B04">
              <w:rPr>
                <w:rFonts w:ascii="Cambria" w:hAnsi="Cambria" w:cs="Calibri"/>
                <w:b/>
                <w:bCs/>
                <w:sz w:val="16"/>
                <w:szCs w:val="16"/>
                <w:lang w:eastAsia="sk-SK"/>
              </w:rPr>
              <w:t>Qlik Sense</w:t>
            </w:r>
            <w:r w:rsidRPr="00D42B04">
              <w:rPr>
                <w:rFonts w:ascii="Cambria" w:hAnsi="Cambria" w:cs="Calibri"/>
                <w:sz w:val="16"/>
                <w:szCs w:val="16"/>
                <w:lang w:eastAsia="sk-SK"/>
              </w:rPr>
              <w:t xml:space="preserve"> – NBS však nepredpokladá ďalšie rozširovanie tohto systému mimo odbor štatistiky. </w:t>
            </w:r>
          </w:p>
          <w:p w14:paraId="13F17DA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Tabulárne modely v pilotnom režime boli vyvíjané na odboroch OFI a OST.</w:t>
            </w:r>
          </w:p>
          <w:p w14:paraId="326DB1A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Aktuálne je zalicencované a prevádzkované 1 produkčné a 1 vývojové prostredie (2x 4 jadra).</w:t>
            </w:r>
          </w:p>
        </w:tc>
      </w:tr>
      <w:tr w:rsidR="00D42B04" w:rsidRPr="00D42B04" w14:paraId="6F8E5CDB"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1526CD93"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0CA9302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BI klient</w:t>
            </w:r>
          </w:p>
        </w:tc>
        <w:tc>
          <w:tcPr>
            <w:tcW w:w="5487" w:type="dxa"/>
          </w:tcPr>
          <w:p w14:paraId="51A856E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NBS využíva </w:t>
            </w:r>
            <w:r w:rsidRPr="00D42B04">
              <w:rPr>
                <w:rFonts w:ascii="Cambria" w:hAnsi="Cambria" w:cs="Calibri"/>
                <w:b/>
                <w:bCs/>
                <w:sz w:val="16"/>
                <w:szCs w:val="16"/>
                <w:lang w:eastAsia="sk-SK"/>
              </w:rPr>
              <w:t>MS Power BI</w:t>
            </w:r>
            <w:r w:rsidRPr="00D42B04">
              <w:rPr>
                <w:rFonts w:ascii="Cambria" w:hAnsi="Cambria" w:cs="Calibri"/>
                <w:sz w:val="16"/>
                <w:szCs w:val="16"/>
                <w:lang w:eastAsia="sk-SK"/>
              </w:rPr>
              <w:t xml:space="preserve"> (On-premise) pre tvorbu reportov a plánuje tento nástroj naďalej využívať ako jednotnú aplikáciu pre reporting a analýzy.</w:t>
            </w:r>
          </w:p>
          <w:p w14:paraId="4219B70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Aktuálne je k dispozícii 13 licencií MS Power BI Pro.</w:t>
            </w:r>
          </w:p>
        </w:tc>
      </w:tr>
      <w:tr w:rsidR="00D42B04" w:rsidRPr="00D42B04" w14:paraId="319AAB3E"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438D1FF1"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180F271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Štatistický framework</w:t>
            </w:r>
          </w:p>
        </w:tc>
        <w:tc>
          <w:tcPr>
            <w:tcW w:w="5487" w:type="dxa"/>
          </w:tcPr>
          <w:p w14:paraId="185A415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Štatistické nástroje používané analytickými oddeleniami sú rôzne a používajú sa vždy podľa konkrétneho účelu. Tento štatistický framework zahŕňa nástroje Matlab, R studio, Eviews, Stata, jazyky SQL, Python, Scala a pod.</w:t>
            </w:r>
          </w:p>
          <w:p w14:paraId="598A819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Predmetom projektu </w:t>
            </w:r>
            <w:r w:rsidRPr="00D42B04">
              <w:rPr>
                <w:rFonts w:ascii="Cambria" w:hAnsi="Cambria" w:cs="Calibri"/>
                <w:sz w:val="16"/>
                <w:szCs w:val="16"/>
                <w:u w:val="single"/>
                <w:lang w:eastAsia="sk-SK"/>
              </w:rPr>
              <w:t>nie je</w:t>
            </w:r>
            <w:r w:rsidRPr="00D42B04">
              <w:rPr>
                <w:rFonts w:ascii="Cambria" w:hAnsi="Cambria" w:cs="Calibri"/>
                <w:sz w:val="16"/>
                <w:szCs w:val="16"/>
                <w:lang w:eastAsia="sk-SK"/>
              </w:rPr>
              <w:t xml:space="preserve"> dodávka ďalších nástrojov alebo licencií.</w:t>
            </w:r>
          </w:p>
        </w:tc>
      </w:tr>
      <w:tr w:rsidR="00D42B04" w:rsidRPr="00D42B04" w14:paraId="440A2559"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15A82924"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6F3F05B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AI/ML</w:t>
            </w:r>
          </w:p>
        </w:tc>
        <w:tc>
          <w:tcPr>
            <w:tcW w:w="5487" w:type="dxa"/>
          </w:tcPr>
          <w:p w14:paraId="5FCB542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Nástroje pre umelú inteligenciu a Machine Learning sa zatiaľ nepoužívajú. Platforma Data Lake by však mala vytvoriť predpoklad pre ich budúce nasadenie.</w:t>
            </w:r>
          </w:p>
          <w:p w14:paraId="16688D8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lastRenderedPageBreak/>
              <w:t xml:space="preserve">Predmetom projektu </w:t>
            </w:r>
            <w:r w:rsidRPr="00D42B04">
              <w:rPr>
                <w:rFonts w:ascii="Cambria" w:hAnsi="Cambria" w:cs="Calibri"/>
                <w:sz w:val="16"/>
                <w:szCs w:val="16"/>
                <w:u w:val="single"/>
                <w:lang w:eastAsia="sk-SK"/>
              </w:rPr>
              <w:t>nie je</w:t>
            </w:r>
            <w:r w:rsidRPr="00D42B04">
              <w:rPr>
                <w:rFonts w:ascii="Cambria" w:hAnsi="Cambria" w:cs="Calibri"/>
                <w:sz w:val="16"/>
                <w:szCs w:val="16"/>
                <w:lang w:eastAsia="sk-SK"/>
              </w:rPr>
              <w:t xml:space="preserve"> dodávka licencií, resp. infraštruktúry pre AI/ML.</w:t>
            </w:r>
          </w:p>
        </w:tc>
      </w:tr>
      <w:tr w:rsidR="00D42B04" w:rsidRPr="00D42B04" w14:paraId="3D98A2D9"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54478EBD" w14:textId="77777777" w:rsidR="00D42B04" w:rsidRPr="00D42B04" w:rsidRDefault="00D42B04" w:rsidP="00D42B04">
            <w:pPr>
              <w:spacing w:before="120" w:after="120"/>
              <w:jc w:val="both"/>
              <w:rPr>
                <w:rFonts w:ascii="Cambria" w:hAnsi="Cambria" w:cs="Calibri"/>
                <w:sz w:val="16"/>
                <w:szCs w:val="16"/>
                <w:lang w:eastAsia="sk-SK"/>
              </w:rPr>
            </w:pPr>
            <w:r w:rsidRPr="00D42B04">
              <w:rPr>
                <w:rFonts w:ascii="Cambria" w:hAnsi="Cambria" w:cs="Calibri"/>
                <w:sz w:val="16"/>
                <w:szCs w:val="16"/>
                <w:lang w:eastAsia="sk-SK"/>
              </w:rPr>
              <w:t>Aplikačné frameworky</w:t>
            </w:r>
          </w:p>
        </w:tc>
        <w:tc>
          <w:tcPr>
            <w:tcW w:w="1600" w:type="dxa"/>
          </w:tcPr>
          <w:p w14:paraId="583BC67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Workflow Manager</w:t>
            </w:r>
          </w:p>
        </w:tc>
        <w:tc>
          <w:tcPr>
            <w:tcW w:w="5487" w:type="dxa"/>
          </w:tcPr>
          <w:p w14:paraId="0839D35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Pre orchestráciu spracovania cez rôzne platformy bude zavedený jednotný nástroj. </w:t>
            </w:r>
          </w:p>
          <w:p w14:paraId="2D6CAF9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konkrétneho nástroja je súčasťou výberového konania.</w:t>
            </w:r>
          </w:p>
        </w:tc>
      </w:tr>
      <w:tr w:rsidR="00D42B04" w:rsidRPr="00D42B04" w14:paraId="0177AA37" w14:textId="77777777" w:rsidTr="000C3B41">
        <w:trPr>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23AC2FC2"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1FB0DF8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Dátové modelovanie</w:t>
            </w:r>
          </w:p>
        </w:tc>
        <w:tc>
          <w:tcPr>
            <w:tcW w:w="5487" w:type="dxa"/>
          </w:tcPr>
          <w:p w14:paraId="5F7CCEE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 xml:space="preserve">Nástroj pre dátové modelovanie je potrebný pre zabezpečenie celého procesu vývoja dátovej integračnej platformy. </w:t>
            </w:r>
          </w:p>
          <w:p w14:paraId="521B6ED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konkrétneho nástroja pre dátové modelovanie je súčasťou výberového konania.</w:t>
            </w:r>
          </w:p>
        </w:tc>
      </w:tr>
      <w:tr w:rsidR="00D42B04" w:rsidRPr="00D42B04" w14:paraId="66C332E9" w14:textId="77777777" w:rsidTr="00D42B04">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13" w:type="dxa"/>
            <w:vMerge/>
          </w:tcPr>
          <w:p w14:paraId="66C9A25F" w14:textId="77777777" w:rsidR="00D42B04" w:rsidRPr="00D42B04" w:rsidRDefault="00D42B04" w:rsidP="00D42B04">
            <w:pPr>
              <w:spacing w:before="120" w:after="120"/>
              <w:jc w:val="both"/>
              <w:rPr>
                <w:rFonts w:ascii="Cambria" w:hAnsi="Cambria" w:cs="Calibri"/>
                <w:sz w:val="16"/>
                <w:szCs w:val="16"/>
                <w:lang w:eastAsia="sk-SK"/>
              </w:rPr>
            </w:pPr>
          </w:p>
        </w:tc>
        <w:tc>
          <w:tcPr>
            <w:tcW w:w="1600" w:type="dxa"/>
          </w:tcPr>
          <w:p w14:paraId="6066FEA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RDM</w:t>
            </w:r>
          </w:p>
          <w:p w14:paraId="6A44912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DQM</w:t>
            </w:r>
          </w:p>
          <w:p w14:paraId="638082D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Metadata Management</w:t>
            </w:r>
          </w:p>
        </w:tc>
        <w:tc>
          <w:tcPr>
            <w:tcW w:w="5487" w:type="dxa"/>
          </w:tcPr>
          <w:p w14:paraId="54295D5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Nástroje pre správu referenčných dát (RDM), Data Quality Management (DQM), a Metadata Management ako sú popísané v kapitolách 3.2.13</w:t>
            </w:r>
          </w:p>
          <w:p w14:paraId="51EF5CA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lang w:eastAsia="sk-SK"/>
              </w:rPr>
            </w:pPr>
            <w:r w:rsidRPr="00D42B04">
              <w:rPr>
                <w:rFonts w:ascii="Cambria" w:hAnsi="Cambria" w:cs="Calibri"/>
                <w:sz w:val="16"/>
                <w:szCs w:val="16"/>
                <w:lang w:eastAsia="sk-SK"/>
              </w:rPr>
              <w:t>Výber konkrétnych nástrojov je súčasťou výberového konania.</w:t>
            </w:r>
          </w:p>
        </w:tc>
      </w:tr>
    </w:tbl>
    <w:p w14:paraId="6984FB38" w14:textId="77777777" w:rsidR="00D42B04" w:rsidRPr="00D42B04" w:rsidRDefault="00D42B04" w:rsidP="00D42B04">
      <w:pPr>
        <w:spacing w:before="120" w:after="200"/>
        <w:jc w:val="both"/>
        <w:rPr>
          <w:rFonts w:ascii="Cambria" w:eastAsia="Calibri" w:hAnsi="Cambria" w:cs="Arial"/>
          <w:b/>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16</w:t>
      </w:r>
      <w:r w:rsidRPr="00D42B04">
        <w:rPr>
          <w:rFonts w:ascii="Cambria" w:eastAsia="Calibri" w:hAnsi="Cambria" w:cs="Arial"/>
          <w:i/>
          <w:iCs/>
          <w:noProof/>
          <w:color w:val="44546A"/>
          <w:sz w:val="18"/>
          <w:szCs w:val="18"/>
        </w:rPr>
        <w:fldChar w:fldCharType="end"/>
      </w:r>
      <w:r w:rsidRPr="00D42B04" w:rsidDel="00D44EE1">
        <w:rPr>
          <w:rFonts w:ascii="Cambria" w:eastAsia="Calibri" w:hAnsi="Cambria" w:cs="Arial"/>
          <w:i/>
          <w:iCs/>
          <w:color w:val="44546A"/>
          <w:sz w:val="18"/>
          <w:szCs w:val="18"/>
        </w:rPr>
        <w:t>: Software komponenty riešenia</w:t>
      </w:r>
    </w:p>
    <w:p w14:paraId="2DA686BC"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Relačná databáza</w:t>
      </w:r>
    </w:p>
    <w:p w14:paraId="688BA9A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Existujúci Pilot DWH je postavený na relačnej databáze Oracle 19c Enterprise Edition + Partitioning Option. Riešenie NBS DWH počíta s prepoužitím už existujúcich komponentov.</w:t>
      </w:r>
    </w:p>
    <w:p w14:paraId="50F8067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Oracle DB</w:t>
      </w:r>
      <w:r w:rsidRPr="00D42B04">
        <w:rPr>
          <w:rFonts w:ascii="Cambria" w:eastAsia="Calibri" w:hAnsi="Cambria" w:cs="Arial"/>
          <w:sz w:val="22"/>
          <w:szCs w:val="22"/>
        </w:rPr>
        <w:t xml:space="preserve"> prináša robustnosť a širokú škálu funkcionality pre DWH riešenia. DB je optimalizovaná pre spracovanie veľkého objemu dát pomocou hromadných operácií, s využitím partícií a kompresie je možné efektívne využívať diskový priestor a znížiť nároky na diskové pole, a to ako z pohľadu kapacity, tak aj z pohľadu výkonnosti. Medzi ďalšie výhody Oracle DB patrí možnosť využívať bitmapové a funkčné indexy, ktoré spolu s DB paralelizmom umožňujú skracovať nielen ELT čas, ale aj zbiehanie užívateľských reportov. Vo svete DWH sa veľmi často využívajú analytické funkcie, ktoré umožňujú jednoducho vytvárať aj veľmi komplexné reporty bez potreby ukladania medzivýsledkov v DB. Z pohľadu security je veľmi užitočnou vlastnosťou Virtual Private Database, ktorá umožňuje riadiť prístup nielen na úrovni objektov, ale aj na úrovni riadkov a atribútov. Oracle Database Resource Manager umožňuje administrátorom riadiť prideľovanie zdrojov (CPU a IO operácií) pre jednotlivých užívateľov a procesy. Pre komplexné monitorovanie výkonu a optimálne využívanie DB slúži Oracle Enteprise Manager spolu s Automatic Workload Repository, ktoré poskytujú kompletný prehľad o využívaní zdrojov jednotlivými procesmi. Oracle DB v prípade potreby umožňuje jednoducho rozširovať funkcionalitu o ďalšie možnosti ako je napríklad: In-memory, OLAP DML, datamining.</w:t>
      </w:r>
    </w:p>
    <w:p w14:paraId="561DEAA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Aplikačné frameworky</w:t>
      </w:r>
      <w:r w:rsidRPr="00D42B04">
        <w:rPr>
          <w:rFonts w:ascii="Cambria" w:eastAsia="Calibri" w:hAnsi="Cambria" w:cs="Arial"/>
          <w:sz w:val="22"/>
          <w:szCs w:val="22"/>
        </w:rPr>
        <w:t>, ktoré majú pomôcť zrýchliť vývoj DWH, zjednodušiť správu a spríjemniť technické riešenie pre netechnických používateľov. Z aplikačného hľadiska sú to (detailný popis je nasledujúcich kapitolách):</w:t>
      </w:r>
    </w:p>
    <w:p w14:paraId="54C03BE5"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Nástroje pre podporu prevádzky a odborových používateľov:</w:t>
      </w:r>
    </w:p>
    <w:p w14:paraId="6DC6AC9C"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Podporu správy, riadenia a monitoring aktualizačných úloh (Workflow Management – Data Orchestration).</w:t>
      </w:r>
    </w:p>
    <w:p w14:paraId="79D8D681"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číselníkov, mostíkov, referenčných dát,  hierarchií jednotlivých dimenzií a manuálnych vstupov.</w:t>
      </w:r>
    </w:p>
    <w:p w14:paraId="0EA9FA31"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Bezpečné nahrávanie veľkého počtu a rôznych súborov, t. j. všetky a práve raz (Ingestion framework)</w:t>
      </w:r>
    </w:p>
    <w:p w14:paraId="29EFEFDC"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dátovej kvality - automatické spúšťanie a vyhodnocovanie testov</w:t>
      </w:r>
    </w:p>
    <w:p w14:paraId="74D19E64"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prístupov (riadenie bezpečnosti) k dátam</w:t>
      </w:r>
    </w:p>
    <w:p w14:paraId="28B64982"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dokumentácie k DWH a iných metadát (o modeli, o reportoch, mapovaní zdroj-cieľ)</w:t>
      </w:r>
    </w:p>
    <w:p w14:paraId="742EB858"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dátovej retencie</w:t>
      </w:r>
    </w:p>
    <w:p w14:paraId="3F630A0B" w14:textId="77777777" w:rsidR="00D42B04" w:rsidRPr="00D42B04" w:rsidRDefault="00D42B04" w:rsidP="00D42B04">
      <w:pPr>
        <w:spacing w:before="120" w:after="120"/>
        <w:jc w:val="both"/>
        <w:rPr>
          <w:rFonts w:ascii="Cambria" w:eastAsia="Calibri" w:hAnsi="Cambria" w:cs="Arial"/>
          <w:b/>
          <w:bCs/>
          <w:sz w:val="22"/>
          <w:szCs w:val="22"/>
        </w:rPr>
      </w:pPr>
      <w:r w:rsidRPr="00D42B04">
        <w:rPr>
          <w:rFonts w:ascii="Cambria" w:eastAsia="Calibri" w:hAnsi="Cambria" w:cs="Arial"/>
          <w:b/>
          <w:bCs/>
          <w:sz w:val="22"/>
          <w:szCs w:val="22"/>
        </w:rPr>
        <w:t>ETL framework</w:t>
      </w:r>
    </w:p>
    <w:p w14:paraId="55852E6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 xml:space="preserve">ETL (Extraction – Transformation – Load) framework je základným subsystémom pre integráciu dát v DWH a jeho voľba do značnej miery určuje budúcnosť ďalšieho rozvoja a správy integračnej platformy. </w:t>
      </w:r>
    </w:p>
    <w:p w14:paraId="7152CAA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ETL framework by mal najmä spĺňať tieto požiadavky:</w:t>
      </w:r>
    </w:p>
    <w:p w14:paraId="10369988"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Poskytovať štandardizované prostredie pre vývoj, prevádzku a ďalší rozvoj DWH a integrácie dátových zdrojov a spracovanie dát</w:t>
      </w:r>
    </w:p>
    <w:p w14:paraId="19ACB6EC"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Štandardizovať prístup k vývoju ETL kódu a minimalizovať technické chyby v implementácii</w:t>
      </w:r>
    </w:p>
    <w:p w14:paraId="11F23E46"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Podporovať kolaboratívny prístup k vývoju, umožňovať spoluprácu vývojárov a vývojových tímov</w:t>
      </w:r>
    </w:p>
    <w:p w14:paraId="154BC24C"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Poskytovať systematickú podporu pre verziovanie kódu a release management</w:t>
      </w:r>
    </w:p>
    <w:p w14:paraId="1669A04C"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Poskytovať metadáta pre technickú data lineage</w:t>
      </w:r>
    </w:p>
    <w:p w14:paraId="6D375069"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Poskytnúť prostredie na aplikovanie templatov a prednastavených ETL častí. Vyžaduje sa podpora a prístup low-code, všetky parametre mapovania ETL musia byť uložené v metadátach. Samotné vytvorenie ETL kódu do SQL nastane kompiláciou contextového nastavenia topológie infraštruktúry, zvolenej technológie a znalostných templatov. </w:t>
      </w:r>
    </w:p>
    <w:p w14:paraId="7E14ACF3"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ETL framework by mal mať API na hromadné nastavenie metadát.</w:t>
      </w:r>
    </w:p>
    <w:p w14:paraId="7A3BDA30"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ETL framework by mal mať popísané metedáta pre hromadný export do metadata management aplikácie.</w:t>
      </w:r>
    </w:p>
    <w:p w14:paraId="652E63A3"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možnosť vymeniť template ETL kódu bez nutnosti zmeny nastavenia samotného mapovanie, napr. pri ladení ETL.</w:t>
      </w:r>
    </w:p>
    <w:p w14:paraId="3FB15C53"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Ako nástroj vývoja spracovania dát by mal byť jednoducho použiteľný a na slovenskom trhu by mal byť dostatok kvalifikovaných IT špecialistov</w:t>
      </w:r>
    </w:p>
    <w:p w14:paraId="122FBC8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základe hore uvedených požiadaviek je odporúčaný nástroj Oracle Data Integrátor.</w:t>
      </w:r>
    </w:p>
    <w:p w14:paraId="4C5FB7B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Oracle Data Integrátor (ODI) umožňuje jednoducho a rýchlo integrovať údaje z rôznych technológií. Knowledge Module (KM), ktoré sa využívajú pri vytváraní rozhraní prinášajú na rozdiel od tradičných ETL nástrojov, možnosť využiť natívne vlastnosti danej technológie pri spracovaní údajov v jednotlivých krokoch extrakcie, transformácie a nahrávaní. Široké možnosti definovania fyzickej a logickej topológie a ich prepojení pomocou kontextu dávajú veľkú voľnosť pri zmene infraštruktúry bez potreby zásadných zásahov do ELT procesu. Napriek tomu, že KM sú dodávané spolu s produktom ODI je ich možné upravovať podľa potreby konkrétnej riešenej úlohy. Prostredníctvom ODI API je možné vytvárať mapovania ako aj aktualizovať ODI metadáta (topológiu, security, ODI model, atď.). Táto možnosť sa využíva predovšetkým pri hromadných zmenách, prostredníctvom API je možná hromadná zmena KM spolu s vygenerovaním ODI scenárov a ich nasadením do produkčného repozitára. Pri správnom používaní ODI je veľkou výhodou možnosť robiť impact analýzu pri zmenách na zdrojových systémoch a rovnako pri dohľadaní zdroja, ktorý sa používa na aktualizáciu DWH objektov. Okrem toho, že ODI priamo podporuje vytváranie impact analýz, zdokumentované ODI metadáta slúži na generovanie online ETL dokumentácie v rámci Data Governance stratégie.</w:t>
      </w:r>
    </w:p>
    <w:p w14:paraId="0F16F3CB"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DataLake</w:t>
      </w:r>
    </w:p>
    <w:p w14:paraId="7E937B33"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b/>
          <w:bCs/>
          <w:sz w:val="22"/>
          <w:szCs w:val="22"/>
        </w:rPr>
        <w:t>DataLake</w:t>
      </w:r>
      <w:r w:rsidRPr="00D42B04">
        <w:rPr>
          <w:rFonts w:ascii="Cambria" w:eastAsia="Calibri" w:hAnsi="Cambria" w:cs="Arial"/>
          <w:sz w:val="22"/>
          <w:szCs w:val="22"/>
        </w:rPr>
        <w:t xml:space="preserve"> je súbor aplikačných komponentov, ktoré majú používateľovi priniesť : </w:t>
      </w:r>
    </w:p>
    <w:p w14:paraId="7AEA462A"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Distribuovaný súborový systém umožňujúci spoľahlivo uchovávať dáta v rôznych formátoch</w:t>
      </w:r>
    </w:p>
    <w:p w14:paraId="0892B62B"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Nástroje umožňujúce vytváranie databáz, tabuliek, partícií a iných komponentov</w:t>
      </w:r>
    </w:p>
    <w:p w14:paraId="7F633B4D"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Distribuovaný výpočtový framework umožňujúci spracovanie nad dátami</w:t>
      </w:r>
    </w:p>
    <w:p w14:paraId="1CE6F535"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Grafický interface pre potreby správy platformy </w:t>
      </w:r>
    </w:p>
    <w:p w14:paraId="6359AC06"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Granulárne riadenie prístupov do platformy auditnými funkciami</w:t>
      </w:r>
    </w:p>
    <w:p w14:paraId="02293DBF"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zdrojov platformy</w:t>
      </w:r>
    </w:p>
    <w:p w14:paraId="03327A85"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Nástroje umožňujúce prístup k dátam použitím tradičného SQL jazyka ako aj programovacích jazykov (R, Python, Scala, ...)</w:t>
      </w:r>
    </w:p>
    <w:p w14:paraId="4292E14A" w14:textId="77777777" w:rsidR="00D42B04" w:rsidRPr="00D42B04" w:rsidRDefault="00D42B04" w:rsidP="00D42B04">
      <w:pPr>
        <w:spacing w:before="120" w:after="120"/>
        <w:jc w:val="both"/>
        <w:rPr>
          <w:rFonts w:ascii="Cambria" w:eastAsia="Calibri" w:hAnsi="Cambria" w:cs="Arial"/>
          <w:b/>
          <w:bCs/>
          <w:sz w:val="22"/>
          <w:szCs w:val="22"/>
        </w:rPr>
      </w:pPr>
      <w:bookmarkStart w:id="159" w:name="_Toc97562219"/>
      <w:r w:rsidRPr="00D42B04">
        <w:rPr>
          <w:rFonts w:ascii="Cambria" w:eastAsia="Calibri" w:hAnsi="Cambria" w:cs="Arial"/>
          <w:b/>
          <w:bCs/>
          <w:sz w:val="22"/>
          <w:szCs w:val="22"/>
        </w:rPr>
        <w:lastRenderedPageBreak/>
        <w:t>Správa DataLake</w:t>
      </w:r>
    </w:p>
    <w:p w14:paraId="17D99B5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DataLake platforma je zložená zo súboru technológií, ktoré medzi sebou komunikujú a zabezpečujú bezproblémový chod platformy. Každá technológia, ktorá je súčasťou platformy zastrešuje inú funkcionalitu, ktorá je od DataLake očakávaná. Tieto technológie sú zväčša inštalované na viaceré lokácie z dôvodu zabezpečenia vysokej dostupnosti a robustnosti platformy.</w:t>
      </w:r>
    </w:p>
    <w:p w14:paraId="1229F59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efektívne spravovanie platformy je vyžadované, aby existoval nástroj s grafickým rozhraním, ktorý ponúka možnosti na spravovanie a monitorovanie platformy. V prípade, že by nebol využitý nástroj na správu platformy, je nutné všetky zmeny vykonávať manuálne alebo polo-manuálne prostredníctvom zmien v konfiguračných súboroch, ktoré sa môžu veľa krát nachádzať na rôznych serveroch. Práve z tohto dôvodu vznikli nástroje, ktoré umožňujú jednoduchú správu DataLake platformy, či už platforma pozostáva z troch serverov alebo z desiatok/stoviek.</w:t>
      </w:r>
    </w:p>
    <w:p w14:paraId="6EBE405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Pomocou takéhoto nástroja bude možné jednoduchým spôsobom konfigurovať a sledovať stav platformy. Požiadavky na nástroj :</w:t>
      </w:r>
    </w:p>
    <w:p w14:paraId="13B66DAC"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Grafické rozhranie</w:t>
      </w:r>
    </w:p>
    <w:p w14:paraId="589A17E7"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pridávania a modifikovania DataLake služieb</w:t>
      </w:r>
    </w:p>
    <w:p w14:paraId="2A93F081"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reštartovania služieb, prípadne celej platformy</w:t>
      </w:r>
    </w:p>
    <w:p w14:paraId="087E5ACF"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real-time monitorovania stavu platformy</w:t>
      </w:r>
    </w:p>
    <w:p w14:paraId="726E77C9"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analýzy historických dáta z monitorovania behu v podobe grafov a metrík</w:t>
      </w:r>
    </w:p>
    <w:p w14:paraId="12F649E4"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konfigurácie custom alertov na základe aktuálneho stavu platformy</w:t>
      </w:r>
    </w:p>
    <w:p w14:paraId="0D7D6AA6"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upgradovať platformu priamo z nástroja</w:t>
      </w:r>
    </w:p>
    <w:p w14:paraId="1F712C56" w14:textId="77777777" w:rsidR="00D42B04" w:rsidRPr="00D42B04" w:rsidRDefault="00D42B04" w:rsidP="00D42B04">
      <w:pPr>
        <w:numPr>
          <w:ilvl w:val="0"/>
          <w:numId w:val="4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správy užívateľov</w:t>
      </w:r>
    </w:p>
    <w:p w14:paraId="53BEA466" w14:textId="77777777" w:rsidR="00D42B04" w:rsidRPr="00D42B04" w:rsidRDefault="00D42B04" w:rsidP="00D42B04">
      <w:pPr>
        <w:spacing w:before="120" w:after="120"/>
        <w:jc w:val="both"/>
        <w:rPr>
          <w:rFonts w:ascii="Cambria" w:eastAsia="Calibri" w:hAnsi="Cambria" w:cs="Arial"/>
          <w:b/>
          <w:bCs/>
          <w:sz w:val="22"/>
          <w:szCs w:val="22"/>
        </w:rPr>
      </w:pPr>
      <w:r w:rsidRPr="00D42B04">
        <w:rPr>
          <w:rFonts w:ascii="Cambria" w:eastAsia="Calibri" w:hAnsi="Cambria" w:cs="Arial"/>
          <w:b/>
          <w:bCs/>
          <w:sz w:val="22"/>
          <w:szCs w:val="22"/>
        </w:rPr>
        <w:t>Storage (Distribuovaný súborový systém)</w:t>
      </w:r>
      <w:bookmarkEnd w:id="159"/>
    </w:p>
    <w:p w14:paraId="53B5CFF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Hlavným pilierom DataLake platformy bude distribuovaný súborový systém, ktorý zabezpečuje robustné a spoľahlivé riešenie na ukladanie a následné procesovanie veľkého množstva dát. Distribuované súborové systémy DataLake platformy budú optimalizované na čítanie a zápis veľkého množstva dát v akomkoľvek formáte.</w:t>
      </w:r>
    </w:p>
    <w:p w14:paraId="00F9358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Tieto technológie zväčša využívajú master/slave architektúru. Master server uchováva jednotlivé metadáta o súboroch a na slave serveroch sú rozdistribuované jednotlivé dátové bloky. Vysoká dostupnosť dát bude zabezpečená replikáciou metadát ako aj jednotlivých dátových blokov naprieč servermi DataLake platformy. Replikácia dát zabezpečuje bezproblémový chod platformy aj v prípade výpadku viacerých diskov, poprípade celých serverov.</w:t>
      </w:r>
    </w:p>
    <w:p w14:paraId="7387C90B" w14:textId="77777777" w:rsidR="00D42B04" w:rsidRPr="00D42B04" w:rsidRDefault="00D42B04" w:rsidP="00D42B04">
      <w:pPr>
        <w:keepNext/>
        <w:spacing w:before="120" w:after="120"/>
        <w:jc w:val="both"/>
        <w:rPr>
          <w:rFonts w:ascii="Cambria" w:eastAsia="Calibri" w:hAnsi="Cambria" w:cs="Arial"/>
          <w:b/>
          <w:bCs/>
          <w:sz w:val="22"/>
          <w:szCs w:val="22"/>
        </w:rPr>
      </w:pPr>
      <w:r w:rsidRPr="00D42B04">
        <w:rPr>
          <w:rFonts w:ascii="Cambria" w:eastAsia="Calibri" w:hAnsi="Cambria" w:cs="Arial"/>
          <w:b/>
          <w:bCs/>
          <w:sz w:val="22"/>
          <w:szCs w:val="22"/>
        </w:rPr>
        <w:t>ETL framework (DataLake)</w:t>
      </w:r>
    </w:p>
    <w:p w14:paraId="3B38AA0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ETL (Extraction – Transformation – Load) framework je základným subsystémom pre integráciu dát v DataLake platforme obdobne ako pre DWH. ETL frameworky umožňujú jednoduchým spôsobom:</w:t>
      </w:r>
    </w:p>
    <w:p w14:paraId="07DEA2E3"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integrovať externé dáta do platformy - štruktúrované, pološtruktúrované aj neštruktúrované dáta (csv, xml, json, logy, pdf, obrázky …)</w:t>
      </w:r>
    </w:p>
    <w:p w14:paraId="031B8CA0"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efektívne spracovanie dát do finálnych štruktúr</w:t>
      </w:r>
    </w:p>
    <w:p w14:paraId="52EE8567"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export dát do ďalších systémov.</w:t>
      </w:r>
    </w:p>
    <w:p w14:paraId="2380B1D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Moderné DataLake platformy ponúkajú rôzne prístupy riešenia ETL požiadaviek. V rámci budovania DataLake je potrebné zabezpečiť nasledujúce potreby: </w:t>
      </w:r>
    </w:p>
    <w:p w14:paraId="1B3435EB"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možnosť čítania dát z externých databáz pomocou štandardných JDBC/ODBC konektorov, SFTP serverov, distribuovaných file-systémov (HDFS, S3, ..) </w:t>
      </w:r>
    </w:p>
    <w:p w14:paraId="3D05288D"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distribuované spracovanie dát pomocou štandardných SQL príkazov a syntaxe, ako aj možnosť použitia programovacích jazykov (Python, Java, Scala, R). Technológia by mala umožniť aj kombináciu oboch prístupov (SQL + programovací jazyk) v jednom ETL. </w:t>
      </w:r>
    </w:p>
    <w:p w14:paraId="09F17B33" w14:textId="77777777" w:rsidR="00D42B04" w:rsidRPr="00D42B04" w:rsidRDefault="00D42B04" w:rsidP="00D42B04">
      <w:pPr>
        <w:numPr>
          <w:ilvl w:val="0"/>
          <w:numId w:val="7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možnosť exportovať napočítané dáta do štandardných relačných databáz ako aj NoSQL databáz. Taktiež možnosť exportovať dáta priamo do DataLake platformy či už vo forme súborov alebo vo forme dát v tabuľkách.</w:t>
      </w:r>
    </w:p>
    <w:p w14:paraId="100FFC11" w14:textId="77777777" w:rsidR="00D42B04" w:rsidRPr="00D42B04" w:rsidRDefault="00D42B04" w:rsidP="00D42B04">
      <w:pPr>
        <w:spacing w:before="120" w:after="120"/>
        <w:jc w:val="both"/>
        <w:rPr>
          <w:rFonts w:ascii="Cambria" w:eastAsia="Calibri" w:hAnsi="Cambria" w:cs="Arial"/>
          <w:b/>
          <w:bCs/>
          <w:sz w:val="22"/>
          <w:szCs w:val="22"/>
        </w:rPr>
      </w:pPr>
      <w:r w:rsidRPr="00D42B04">
        <w:rPr>
          <w:rFonts w:ascii="Cambria" w:eastAsia="Calibri" w:hAnsi="Cambria" w:cs="Arial"/>
          <w:b/>
          <w:bCs/>
          <w:sz w:val="22"/>
          <w:szCs w:val="22"/>
        </w:rPr>
        <w:t>Orchestrácia ETL úloh</w:t>
      </w:r>
    </w:p>
    <w:p w14:paraId="5045D5E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Každá úloha musí spustená práve v správnom čase a práve v presnej závislosti na iné úlohy. O tieto úlohy sa stará systém na orchestráciu. Je vyžadované:</w:t>
      </w:r>
    </w:p>
    <w:p w14:paraId="222C65A0" w14:textId="77777777" w:rsidR="00D42B04" w:rsidRPr="00D42B04" w:rsidRDefault="00D42B04" w:rsidP="00D42B04">
      <w:pPr>
        <w:numPr>
          <w:ilvl w:val="0"/>
          <w:numId w:val="7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Každá úloha ETL frameworku DataLake-u musí logovať svoj stav do dohodnutej DB tabuľky</w:t>
      </w:r>
    </w:p>
    <w:p w14:paraId="1C436905" w14:textId="77777777" w:rsidR="00D42B04" w:rsidRPr="00D42B04" w:rsidRDefault="00D42B04" w:rsidP="00D42B04">
      <w:pPr>
        <w:numPr>
          <w:ilvl w:val="0"/>
          <w:numId w:val="7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Úlohy ETL DL bude možné zavolať cez WebService z Oracle prostredia aplikačného frameworku pre zabezpečenie globálneho riadenia. T. j. je vyžadované aby makro scheduller bežal na relačnej časti DWH. ETL DL bude riadený vzdialene ako ucelené bloky. Ich podčasti je možné kontrolovať mimo DWH makroscheduller, ale všetky časti bude možné skontrolovať z jedného miesta.</w:t>
      </w:r>
    </w:p>
    <w:p w14:paraId="612099A4" w14:textId="77777777" w:rsidR="00D42B04" w:rsidRPr="00D42B04" w:rsidRDefault="00D42B04" w:rsidP="00D42B04">
      <w:pPr>
        <w:numPr>
          <w:ilvl w:val="0"/>
          <w:numId w:val="7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ETL DL nebude plánované samostatne, ale len ako jeden celok DWH (relačná + DL časť)</w:t>
      </w:r>
    </w:p>
    <w:p w14:paraId="3AB30497" w14:textId="77777777" w:rsidR="00D42B04" w:rsidRPr="00D42B04" w:rsidRDefault="00D42B04" w:rsidP="00D42B04">
      <w:pPr>
        <w:spacing w:before="120" w:after="120"/>
        <w:jc w:val="both"/>
        <w:rPr>
          <w:rFonts w:ascii="Cambria" w:eastAsia="Calibri" w:hAnsi="Cambria" w:cs="Arial"/>
          <w:b/>
          <w:bCs/>
          <w:sz w:val="22"/>
          <w:szCs w:val="22"/>
        </w:rPr>
      </w:pPr>
      <w:r w:rsidRPr="00D42B04">
        <w:rPr>
          <w:rFonts w:ascii="Cambria" w:eastAsia="Calibri" w:hAnsi="Cambria" w:cs="Arial"/>
          <w:b/>
          <w:bCs/>
          <w:sz w:val="22"/>
          <w:szCs w:val="22"/>
        </w:rPr>
        <w:t>JDBC prístup</w:t>
      </w:r>
    </w:p>
    <w:p w14:paraId="00C3F0C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Jednou z najdôležitejších požiadaviek na DataLake platformu je možnosť napojenia štatistických a BI nástrojov na dáta, ktoré sú súčasťou platformy. Najštandardnejším spôsobom, ktorý je využívaný v BI a štatistických nástrojoch je práve spôsob dotazovania pomocou JDBC a ODBC technológií. </w:t>
      </w:r>
    </w:p>
    <w:p w14:paraId="77F970B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DataLake platforma musí poskytovať spôsob napojenia pomocou týchto technológií.</w:t>
      </w:r>
    </w:p>
    <w:p w14:paraId="3765F592"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Požiadavky na JDBC/ODBC: </w:t>
      </w:r>
    </w:p>
    <w:p w14:paraId="5D8AC65E"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dotazovania pomocou JDBC/ODBC spojenia</w:t>
      </w:r>
    </w:p>
    <w:p w14:paraId="2FE8E64E"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granulárnej konfigurácie oprávnení pre JDBC/ODBC spojenia</w:t>
      </w:r>
    </w:p>
    <w:p w14:paraId="14D8163B" w14:textId="77777777" w:rsidR="00D42B04" w:rsidRPr="00D42B04" w:rsidRDefault="00D42B04" w:rsidP="00D42B04">
      <w:pPr>
        <w:numPr>
          <w:ilvl w:val="1"/>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technických aj biznis používateľov</w:t>
      </w:r>
    </w:p>
    <w:p w14:paraId="40D98B62" w14:textId="77777777" w:rsidR="00D42B04" w:rsidRPr="00D42B04" w:rsidRDefault="00D42B04" w:rsidP="00D42B04">
      <w:pPr>
        <w:numPr>
          <w:ilvl w:val="1"/>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obmedzenia na čítanie/zápis len pre vybrané objekty</w:t>
      </w:r>
    </w:p>
    <w:p w14:paraId="74C5000C"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Dotaz definovaný v JDBC/ODBC spojení musí byť distribuovane spracovaný DataLake platformou.</w:t>
      </w:r>
    </w:p>
    <w:p w14:paraId="449FB735" w14:textId="77777777" w:rsidR="00D42B04" w:rsidRPr="00D42B04" w:rsidRDefault="00D42B04" w:rsidP="00D42B04">
      <w:pPr>
        <w:keepNext/>
        <w:spacing w:before="120" w:after="120"/>
        <w:jc w:val="both"/>
        <w:rPr>
          <w:rFonts w:ascii="Cambria" w:eastAsia="Calibri" w:hAnsi="Cambria" w:cs="Arial"/>
          <w:b/>
          <w:bCs/>
          <w:sz w:val="22"/>
          <w:szCs w:val="22"/>
        </w:rPr>
      </w:pPr>
      <w:r w:rsidRPr="00D42B04">
        <w:rPr>
          <w:rFonts w:ascii="Cambria" w:eastAsia="Calibri" w:hAnsi="Cambria" w:cs="Arial"/>
          <w:b/>
          <w:bCs/>
          <w:sz w:val="22"/>
          <w:szCs w:val="22"/>
        </w:rPr>
        <w:t>Import súborových dát priamo do DataLake</w:t>
      </w:r>
    </w:p>
    <w:p w14:paraId="3E4446F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DataLake platforma by mala poskytovať rozhranie na ukladanie a čítanie súborov z distribuovaného súborového systému prostredníctvom grafického rozhrania. Týmto spôsobom je možné pridávať, poprípade kontrolovať súbory ktoré sa nachádzajú na distribuovanom súborovom systéme.</w:t>
      </w:r>
    </w:p>
    <w:p w14:paraId="5C6456D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Požiadavky:</w:t>
      </w:r>
    </w:p>
    <w:p w14:paraId="10644469"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čítania súborov na distribuovanom súborovom systéme</w:t>
      </w:r>
    </w:p>
    <w:p w14:paraId="71A11C80"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zápisu dát na distribuovaný súborový systém</w:t>
      </w:r>
    </w:p>
    <w:p w14:paraId="4CCF48B8"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granulárnej konfigurácie oprávnení pre manipuláciu so súbormi na úrovni súborov a adresárov.</w:t>
      </w:r>
    </w:p>
    <w:p w14:paraId="47259C2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Pomocou priameho prístupu na distribuovaný súborový systém je možné nahrávať do platformy dátové zdroje, pre ktoré neexistuje automatizovaná integrácia (tento prístup je možné použiť aj v prípade manuálnych korekcií dát).</w:t>
      </w:r>
    </w:p>
    <w:p w14:paraId="08E54251" w14:textId="77777777" w:rsidR="00D42B04" w:rsidRPr="00D42B04" w:rsidRDefault="00D42B04" w:rsidP="00D42B04">
      <w:pPr>
        <w:spacing w:before="120" w:after="120"/>
        <w:jc w:val="both"/>
        <w:rPr>
          <w:rFonts w:ascii="Cambria" w:eastAsia="Calibri" w:hAnsi="Cambria" w:cs="Arial"/>
          <w:b/>
          <w:bCs/>
          <w:sz w:val="22"/>
          <w:szCs w:val="22"/>
        </w:rPr>
      </w:pPr>
      <w:r w:rsidRPr="00D42B04">
        <w:rPr>
          <w:rFonts w:ascii="Cambria" w:eastAsia="Calibri" w:hAnsi="Cambria" w:cs="Arial"/>
          <w:b/>
          <w:bCs/>
          <w:sz w:val="22"/>
          <w:szCs w:val="22"/>
        </w:rPr>
        <w:t>Resource Management</w:t>
      </w:r>
    </w:p>
    <w:p w14:paraId="5E2DDA5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DataLake platforma by mala poskytovať Resource Management službu, ktorá by zastrešovala prerozdeľovanie dostupného výpočtového výkonu DataLake platformy medzi technické aplikácie a biznis užívateľov. Je nutné si uvedomiť že aplikácie, ktoré budú využívať výpočtový výkon DataLake platformy sú súčasťou ETL spracovania alebo sú súčasť biznisových procesov (machine learning, ad-hoc štatistika, ...). Resource Management služba by mala byť schopná zabezpečiť možnosť definovať prioritu a dostupné zdroje (CPU + RAM) pre rozdielne ETL aplikácie a rozdielnych biznis užívateľov (poprípade skupinu užívateľov). Takýmito pravidlami je možné </w:t>
      </w:r>
      <w:r w:rsidRPr="00D42B04">
        <w:rPr>
          <w:rFonts w:ascii="Cambria" w:eastAsia="Calibri" w:hAnsi="Cambria" w:cs="Arial"/>
          <w:sz w:val="22"/>
          <w:szCs w:val="22"/>
        </w:rPr>
        <w:lastRenderedPageBreak/>
        <w:t>zabezpečiť vyváženosť prerozdeľovania výpočtového výkonu DataLake platformy medzi rozdielne aplikácie.</w:t>
      </w:r>
    </w:p>
    <w:p w14:paraId="201E2F4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prípade, že by služba Resource Managementu nebola dostupná pre DataLake platformu mohli by nastávať situácie využívania celkového výkonu platformy v prospech jednej (alebo viac) aplikácie, pričom ostatné aplikácie by neboli schopné alokovať potrebné zdroje.</w:t>
      </w:r>
    </w:p>
    <w:p w14:paraId="41093B7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Resource manager DataLake platformy by mal byť schopný zabezpečiť:</w:t>
      </w:r>
    </w:p>
    <w:p w14:paraId="1A3B41AA"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konfigurácie resource group na úroveň užívateľov, skupiny užívateľov a skupiny technických aplikácií</w:t>
      </w:r>
    </w:p>
    <w:p w14:paraId="6E52CCC7" w14:textId="77777777" w:rsidR="00D42B04" w:rsidRPr="00D42B04" w:rsidRDefault="00D42B04" w:rsidP="00D42B04">
      <w:pPr>
        <w:numPr>
          <w:ilvl w:val="1"/>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Minimálne a maximálne zdroje.</w:t>
      </w:r>
    </w:p>
    <w:p w14:paraId="7986ED12"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Efektívne prerozdeľovanie dostupných zdrojov</w:t>
      </w:r>
    </w:p>
    <w:p w14:paraId="4841B244" w14:textId="77777777" w:rsidR="00D42B04" w:rsidRPr="00D42B04" w:rsidRDefault="00D42B04" w:rsidP="00D42B04">
      <w:pPr>
        <w:numPr>
          <w:ilvl w:val="0"/>
          <w:numId w:val="7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Monitoring dostupných a využitých zdrojov</w:t>
      </w:r>
    </w:p>
    <w:p w14:paraId="1B60B5BE" w14:textId="77777777" w:rsidR="00D42B04" w:rsidRPr="00D42B04" w:rsidRDefault="00D42B04" w:rsidP="00D42B04">
      <w:pPr>
        <w:keepNext/>
        <w:spacing w:before="120" w:after="120"/>
        <w:jc w:val="both"/>
        <w:rPr>
          <w:rFonts w:ascii="Cambria" w:eastAsia="Calibri" w:hAnsi="Cambria" w:cs="Arial"/>
          <w:b/>
          <w:bCs/>
          <w:sz w:val="22"/>
          <w:szCs w:val="22"/>
        </w:rPr>
      </w:pPr>
      <w:r w:rsidRPr="00D42B04">
        <w:rPr>
          <w:rFonts w:ascii="Cambria" w:eastAsia="Calibri" w:hAnsi="Cambria" w:cs="Arial"/>
          <w:b/>
          <w:bCs/>
          <w:sz w:val="22"/>
          <w:szCs w:val="22"/>
        </w:rPr>
        <w:t>Bezpečnosť (security)</w:t>
      </w:r>
    </w:p>
    <w:p w14:paraId="6829081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DataLake platforma musí spĺňať bezpečnostné štandardy, ktoré zabezpečia že dáta uchovávané a spracúvané v DataLake platforme budú dostupné len používateľom a aplikáciám s prislúchajúcimi právami.</w:t>
      </w:r>
    </w:p>
    <w:p w14:paraId="09288B4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Nároky na bezpečnosť prostredia DataLake platformy:</w:t>
      </w:r>
    </w:p>
    <w:p w14:paraId="73735D8E"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Centrálne riadené</w:t>
      </w:r>
    </w:p>
    <w:p w14:paraId="2BD91715"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granulárnej konfigurácie oprávnení</w:t>
      </w:r>
    </w:p>
    <w:p w14:paraId="42575C44"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databázy, tabuľky, stĺpce</w:t>
      </w:r>
    </w:p>
    <w:p w14:paraId="2C7B7C2A"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adresáre a súbory prislúchajúceho distribuovaného súborového systému</w:t>
      </w:r>
    </w:p>
    <w:p w14:paraId="18571A79"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Grafické rozhranie na správu prístupových oprávnení</w:t>
      </w:r>
    </w:p>
    <w:p w14:paraId="609F44CF" w14:textId="77777777" w:rsidR="00D42B04" w:rsidRPr="00D42B04" w:rsidRDefault="00D42B04" w:rsidP="00D42B04">
      <w:pPr>
        <w:numPr>
          <w:ilvl w:val="0"/>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Auditovanie údajov (všetky aktivity na DataLake musia byť auditované a dostupné v reálnom čase)</w:t>
      </w:r>
    </w:p>
    <w:p w14:paraId="591FA385"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Prístupy a modifikácie tabuliek a databáz</w:t>
      </w:r>
    </w:p>
    <w:p w14:paraId="2DD11BDB"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Prístupy a modifikácie na súborovom systéme</w:t>
      </w:r>
    </w:p>
    <w:p w14:paraId="4A2661AC" w14:textId="77777777" w:rsidR="00D42B04" w:rsidRPr="00D42B04" w:rsidRDefault="00D42B04" w:rsidP="00D42B04">
      <w:pPr>
        <w:numPr>
          <w:ilvl w:val="1"/>
          <w:numId w:val="4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Spúšťanie distribuovaného spracovania</w:t>
      </w:r>
    </w:p>
    <w:p w14:paraId="3D7DD768"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0" w:name="_Toc110518785"/>
      <w:r w:rsidRPr="00D42B04">
        <w:rPr>
          <w:rFonts w:ascii="Cambria" w:eastAsia="Yu Gothic Light" w:hAnsi="Cambria"/>
          <w:b/>
          <w:bCs/>
          <w:color w:val="2F5496"/>
          <w:szCs w:val="24"/>
        </w:rPr>
        <w:t>Metodika vývoja</w:t>
      </w:r>
      <w:bookmarkEnd w:id="160"/>
      <w:r w:rsidRPr="00D42B04">
        <w:rPr>
          <w:rFonts w:ascii="Cambria" w:eastAsia="Yu Gothic Light" w:hAnsi="Cambria"/>
          <w:b/>
          <w:bCs/>
          <w:color w:val="2F5496"/>
          <w:szCs w:val="24"/>
        </w:rPr>
        <w:t xml:space="preserve"> </w:t>
      </w:r>
    </w:p>
    <w:p w14:paraId="1FBD750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Pri vývoji DWH musia byť dodržané metodické postupy, aby návrh DWH bol:</w:t>
      </w:r>
    </w:p>
    <w:p w14:paraId="423FECAE"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Nezávislý na platforme</w:t>
      </w:r>
      <w:r w:rsidRPr="00D42B04">
        <w:rPr>
          <w:rFonts w:ascii="Cambria" w:eastAsia="Calibri" w:hAnsi="Cambria" w:cs="Arial"/>
          <w:sz w:val="22"/>
          <w:szCs w:val="22"/>
        </w:rPr>
        <w:t xml:space="preserve"> - Navrhnutý dátový model by mal byť v čo najväčšej miere nezávislý od technológie, na ktorej bude DWH prevádzkovaný. Dátový model by mal byť prenositeľný medzi jednotlivými platformami (MS SQL, Oracle, PostgreSQL, atď.) a nemal by sa spoliehať na špecifiká vybraného databázového systému. Rozdiely plynúce zo syntaxe resp. samotného jazyka DDL jednotlivých platforiem nie sú považované za systémové špecifikum. Súčasť dodávky však budú tvoriť DDL definície iba pre dodanú platformu. V rámci projektu NBS DWH sa prepoužije technológia z Pilotu DWH.</w:t>
      </w:r>
    </w:p>
    <w:p w14:paraId="2967A634"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Nezávislý od zdrojových systémov</w:t>
      </w:r>
      <w:r w:rsidRPr="00D42B04">
        <w:rPr>
          <w:rFonts w:ascii="Cambria" w:eastAsia="Calibri" w:hAnsi="Cambria" w:cs="Arial"/>
          <w:sz w:val="22"/>
          <w:szCs w:val="22"/>
        </w:rPr>
        <w:t xml:space="preserve"> - Navrhnutý dátový model by mal byť čo najmenej závislý od zdrojových systémov. Predpokladá sa, že v dlhodobom horizonte, v čase životnosti nového dátového skladu dôjde k výmene niektorých biznis systémov.</w:t>
      </w:r>
    </w:p>
    <w:p w14:paraId="085FEE50"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Flexibilný</w:t>
      </w:r>
      <w:r w:rsidRPr="00D42B04">
        <w:rPr>
          <w:rFonts w:ascii="Cambria" w:eastAsia="Calibri" w:hAnsi="Cambria" w:cs="Arial"/>
          <w:sz w:val="22"/>
          <w:szCs w:val="22"/>
        </w:rPr>
        <w:t xml:space="preserve"> - Dátový sklad by mal byť z dlhodobého hľadiska rozšíriteľný na nové okruhy dát podľa budúcich požiadaviek zákazníka ako napr. nové typy produktov, zmena procesov atď.</w:t>
      </w:r>
    </w:p>
    <w:p w14:paraId="6346293C"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 xml:space="preserve">Časová nezávislosť dát </w:t>
      </w:r>
      <w:r w:rsidRPr="00D42B04">
        <w:rPr>
          <w:rFonts w:ascii="Cambria" w:eastAsia="Calibri" w:hAnsi="Cambria" w:cs="Arial"/>
          <w:sz w:val="22"/>
          <w:szCs w:val="22"/>
        </w:rPr>
        <w:t>- Navrhnutý dátový model musí zabezpečiť ako aktuálny, tak aj historický pohľad na dáta v DWH na základe výberu časového intervalu. Dátová retencia bude dohodnutá počas projektu. Predpokladaná dĺžka histórie je 10 rokov, granularita dát minimálne na úrovni kalendárneho dňa.</w:t>
      </w:r>
    </w:p>
    <w:p w14:paraId="15A8C927"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Aktuálnosť</w:t>
      </w:r>
      <w:r w:rsidRPr="00D42B04">
        <w:rPr>
          <w:rFonts w:ascii="Cambria" w:eastAsia="Calibri" w:hAnsi="Cambria" w:cs="Arial"/>
          <w:sz w:val="22"/>
          <w:szCs w:val="22"/>
        </w:rPr>
        <w:t xml:space="preserve"> - Dáta v dátovom sklade by mali byť aktualizované minimálne raz denne. V DWH by sa mal nachádzať stav dát s platnosťou minimálne D-1. Avšak môžu existovať </w:t>
      </w:r>
      <w:r w:rsidRPr="00D42B04">
        <w:rPr>
          <w:rFonts w:ascii="Cambria" w:eastAsia="Calibri" w:hAnsi="Cambria" w:cs="Arial"/>
          <w:sz w:val="22"/>
          <w:szCs w:val="22"/>
        </w:rPr>
        <w:lastRenderedPageBreak/>
        <w:t>definované typy dát, kde bude potrebné navrhnúť a použiť aj nižšiu frekvenciu aktualizácie (cyklické near-online spracovanie).</w:t>
      </w:r>
    </w:p>
    <w:p w14:paraId="0739954B" w14:textId="77777777" w:rsidR="00D42B04" w:rsidRPr="00D42B04" w:rsidRDefault="00D42B04" w:rsidP="00D42B04">
      <w:pPr>
        <w:numPr>
          <w:ilvl w:val="0"/>
          <w:numId w:val="7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b/>
          <w:bCs/>
          <w:sz w:val="22"/>
          <w:szCs w:val="22"/>
        </w:rPr>
        <w:t xml:space="preserve">Interaktívny a inkremetálny vývoj </w:t>
      </w:r>
      <w:r w:rsidRPr="00D42B04">
        <w:rPr>
          <w:rFonts w:ascii="Cambria" w:eastAsia="Calibri" w:hAnsi="Cambria" w:cs="Arial"/>
          <w:sz w:val="22"/>
          <w:szCs w:val="22"/>
        </w:rPr>
        <w:t>- Ktorákoľvek úloha v rámci projektu, alebo po ňom môže byť predmetom iterácie. Či iterovať alebo nie, rovnako ako počet iterácií, toto rozhodnutie je rôzne od prípadu k prípadu. Úlohy môžu byť iterované za účelom zvýšenia kvality výstupov na požadovanú úroveň, za účelom získania dostatočnej miery detailu alebo vylepšenia a rozšírenia výstupov na základe spätnej väzby používateľa.</w:t>
      </w:r>
    </w:p>
    <w:p w14:paraId="4721139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Uchádzač bude preukázateľne disponovať skúsenosťami v oblasti dátového modelovania a návrhu dátových modelov pre dátové sklady. V rámci projektu </w:t>
      </w:r>
      <w:r w:rsidRPr="00D42B04">
        <w:rPr>
          <w:rFonts w:ascii="Calibri" w:eastAsia="Calibri" w:hAnsi="Calibri" w:cs="Arial"/>
          <w:sz w:val="22"/>
          <w:szCs w:val="22"/>
        </w:rPr>
        <w:t xml:space="preserve">zhotoviteľ </w:t>
      </w:r>
      <w:r w:rsidRPr="00D42B04">
        <w:rPr>
          <w:rFonts w:ascii="Cambria" w:eastAsia="Calibri" w:hAnsi="Cambria" w:cs="Arial"/>
          <w:sz w:val="22"/>
          <w:szCs w:val="22"/>
        </w:rPr>
        <w:t>navrhne a zdokumentuje:</w:t>
      </w:r>
    </w:p>
    <w:p w14:paraId="5AF994A5" w14:textId="77777777" w:rsidR="00D42B04" w:rsidRPr="00D42B04" w:rsidRDefault="00D42B04" w:rsidP="00D42B04">
      <w:pPr>
        <w:numPr>
          <w:ilvl w:val="0"/>
          <w:numId w:val="10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metodiku tvorby a ďalšej správy dátových modelov relevantných pre projekt</w:t>
      </w:r>
    </w:p>
    <w:p w14:paraId="33C86365" w14:textId="77777777" w:rsidR="00D42B04" w:rsidRPr="00D42B04" w:rsidRDefault="00D42B04" w:rsidP="00D42B04">
      <w:pPr>
        <w:numPr>
          <w:ilvl w:val="0"/>
          <w:numId w:val="10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súvisiace dizajn štandardy (štandardy a postupy návrhu dátových modelov v jednotlivých vrstvách DWH a DataLake (typy modelov, ich účel, previazanosť a forma zápisu</w:t>
      </w:r>
      <w:r w:rsidRPr="00D42B04" w:rsidDel="0058155C">
        <w:rPr>
          <w:rFonts w:ascii="Cambria" w:eastAsia="Calibri" w:hAnsi="Cambria" w:cs="Arial"/>
          <w:sz w:val="22"/>
          <w:szCs w:val="22"/>
        </w:rPr>
        <w:t>)</w:t>
      </w:r>
    </w:p>
    <w:p w14:paraId="2999F149" w14:textId="77777777" w:rsidR="00D42B04" w:rsidRPr="00D42B04" w:rsidRDefault="00D42B04" w:rsidP="00D42B04">
      <w:pPr>
        <w:numPr>
          <w:ilvl w:val="0"/>
          <w:numId w:val="10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menné konvencie pre jednotlivé typy modelov a dátové vrstvy</w:t>
      </w:r>
    </w:p>
    <w:p w14:paraId="11CA3DF6" w14:textId="77777777" w:rsidR="00D42B04" w:rsidRPr="00D42B04" w:rsidRDefault="00D42B04" w:rsidP="00D42B04">
      <w:pPr>
        <w:numPr>
          <w:ilvl w:val="0"/>
          <w:numId w:val="10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prevádzkový model, t. j. popíše procesy a role súvisiace so správou modelov (reverse engineering zdrojov, design nových modelov, kolaborácia používateľov a riadenie prístupu, exporty resp. publikácia metadát pre zdieľanie, release management</w:t>
      </w:r>
      <w:r w:rsidRPr="00D42B04" w:rsidDel="0058155C">
        <w:rPr>
          <w:rFonts w:ascii="Cambria" w:eastAsia="Calibri" w:hAnsi="Cambria" w:cs="Arial"/>
          <w:sz w:val="22"/>
          <w:szCs w:val="22"/>
        </w:rPr>
        <w:t>)</w:t>
      </w:r>
    </w:p>
    <w:p w14:paraId="16B7C1F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Tieto štandardy budú odsúhlasené s Data Governance kanceláriou a následne aplikované počas realizácie projektu.</w:t>
      </w:r>
    </w:p>
    <w:p w14:paraId="2297D72D"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V rámci projektu budú zavedené minimálne tieto dátové modely a súvisiace výstupy:</w:t>
      </w:r>
    </w:p>
    <w:p w14:paraId="36269BA9"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Konceptuálny dátový model – dokumentujúci biznisové koncepty a pojmy podľa definície NBS</w:t>
      </w:r>
    </w:p>
    <w:p w14:paraId="022E72B9"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Fyzické dátové modely:</w:t>
      </w:r>
    </w:p>
    <w:p w14:paraId="4AF3CBE5"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w:t>
      </w:r>
    </w:p>
    <w:p w14:paraId="05E1DBE0" w14:textId="77777777" w:rsidR="00D42B04" w:rsidRPr="00D42B04" w:rsidRDefault="00D42B04" w:rsidP="00D42B04">
      <w:pPr>
        <w:numPr>
          <w:ilvl w:val="2"/>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Primárna vrstva</w:t>
      </w:r>
    </w:p>
    <w:p w14:paraId="44BCD606" w14:textId="77777777" w:rsidR="00D42B04" w:rsidRPr="00D42B04" w:rsidRDefault="00D42B04" w:rsidP="00D42B04">
      <w:pPr>
        <w:numPr>
          <w:ilvl w:val="2"/>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Discovery vrstva</w:t>
      </w:r>
    </w:p>
    <w:p w14:paraId="1B6B801F"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DWH</w:t>
      </w:r>
    </w:p>
    <w:p w14:paraId="061ED3DF" w14:textId="77777777" w:rsidR="00D42B04" w:rsidRPr="00D42B04" w:rsidRDefault="00D42B04" w:rsidP="00D42B04">
      <w:pPr>
        <w:numPr>
          <w:ilvl w:val="2"/>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Transakčné repozitory (L1 – Integračná vrstva)</w:t>
      </w:r>
    </w:p>
    <w:p w14:paraId="67B2C4BC" w14:textId="77777777" w:rsidR="00D42B04" w:rsidRPr="00D42B04" w:rsidRDefault="00D42B04" w:rsidP="00D42B04">
      <w:pPr>
        <w:numPr>
          <w:ilvl w:val="2"/>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Prezentačná vrstva (L2 - Analytická vrstva)</w:t>
      </w:r>
    </w:p>
    <w:p w14:paraId="50325F6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Úroveň detailu zachytenia fyzických parametrov databázových objektov bude dohodnutá tak, aby efektívne podporovala dizajn, vývoj, nasadenie príslušných objektov a súčasne udržateľnosť modelu a jeho dokumentačnú funkciu.</w:t>
      </w:r>
    </w:p>
    <w:p w14:paraId="3781C21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Podobne požadujeme dodanie popisu dátových modelov a procesov jednotlivých funkčných frameworkov (napr. schémy s referenčnými dátami, lookup tabuľkami, chybovými tabuľkami, metadátami a výsledkami kontrol kvality a automatických testov, manuálne korekcie, žurnál spracovania apod.)</w:t>
      </w:r>
    </w:p>
    <w:p w14:paraId="08009D0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Dátové toky a transformácie dát budú systematicky a metadátovo popísané tak, aby bolo možné tieto metadáta využiť pre navigáciu v dátových tokoch, zisťovanie dátových zdrojov pre cieľové atribúty a analýzu dopadov pri zmenách v dátových zdrojoch na cieľové štruktúry.</w:t>
      </w:r>
    </w:p>
    <w:p w14:paraId="1A946B1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Nasledujúce princípy návrhu dátového modelu musia byť počas projektu dodržané a považujeme ich za kritické pre konzistentnosť, integritu, otvorenosť a výkonnosť DWH riešenia ako celku.</w:t>
      </w:r>
    </w:p>
    <w:p w14:paraId="4ADBF8AA"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Model transakčnej (L1) a prezentačnej vrstvy (L2/PL) sú integrované a spoločné. Jedna entita je mapovaná do jednej tabuľky bez ohľadu na počet inštancií danej entity v zdrojových systémoch.</w:t>
      </w:r>
    </w:p>
    <w:p w14:paraId="73DF5FE8"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Dimenzie v prezentačnej vrstve sú denormalizované a zdieľané a využívané cez všetky biznis oblasti. Existuje iba jedna dimenzia zákazníkov, iba jedna dimenzia umiestnení, atď. Zdieľané dimenzie podporujú krížové analýzy cez jednotlivé biznis oddelenia v spoločnosti.</w:t>
      </w:r>
    </w:p>
    <w:p w14:paraId="5B6F326D"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Prezentačná vrstva pozostáva zo star schém, ak je to možné bez snowflake. Inými slovami faktová tabuľka je spojená priamo s dimenziou nie je nutný viacnásobný join. Je možné, že budú existovať výnimky, ktoré je potrebné pred implementáciou explicitne schváliť NBS.</w:t>
      </w:r>
    </w:p>
    <w:p w14:paraId="53EE7635"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Všetky dimenzie a referenčné tabuľky sú prepojené výlučne pomocou umelých kľúčov. Umelé kľúče chránia dátový sklad pred zmenami v zdrojových systémoch a umožňujú integráciu viacerých zdrojov do jednej tabuľky v DWH.</w:t>
      </w:r>
    </w:p>
    <w:p w14:paraId="7E39BDB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Všetky dimenzie, prepojovacie lookup tabuľky (v prípade potreby aj faktové tabuľky) obsahujú aj prirodzené kľúče a identifikátor zdrojového systému. To znamená, že záznam v DWH môže byť dohľadaný v zdrojovom systéme.</w:t>
      </w:r>
    </w:p>
    <w:p w14:paraId="082F4BD4"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Multitenant – globalizácia a efektívne využívanie zdrojov vedie k situáciám, kedy v jednom zdrojovom systéme sa prevádzkujú údaje viacerých spoločností. V tomto prípade nestačí v DWH rozlišovať z ktorého zdrojového systému prišiel do DWH daný záznam, ale je potrebné riešiť kto „vlastní“ daný záznam v zdrojovom systéme. V DWH je potrebné sledovať vlastníka („tenanta“) daného záznamu. Táto informácia sa používa v určitých typoch reportov, kde je potrebné rozdeliť údaje o jednom zákazníkovi z pohľadu daného vlastníka napriek tomu, že ide o jednu a tú istú právnickú alebo fyzickú osobu.</w:t>
      </w:r>
    </w:p>
    <w:p w14:paraId="197CC8BA" w14:textId="77777777" w:rsidR="00D42B04" w:rsidRPr="00D42B04" w:rsidRDefault="00D42B04" w:rsidP="00D42B04">
      <w:pPr>
        <w:keepNext/>
        <w:numPr>
          <w:ilvl w:val="0"/>
          <w:numId w:val="47"/>
        </w:numPr>
        <w:spacing w:before="120" w:after="120" w:line="240" w:lineRule="atLeast"/>
        <w:ind w:left="714" w:hanging="357"/>
        <w:contextualSpacing/>
        <w:jc w:val="both"/>
        <w:rPr>
          <w:rFonts w:ascii="Cambria" w:eastAsia="Calibri" w:hAnsi="Cambria" w:cs="Arial"/>
          <w:sz w:val="22"/>
          <w:szCs w:val="22"/>
        </w:rPr>
      </w:pPr>
      <w:r w:rsidRPr="00D42B04">
        <w:rPr>
          <w:rFonts w:ascii="Cambria" w:eastAsia="Calibri" w:hAnsi="Cambria" w:cs="Arial"/>
          <w:sz w:val="22"/>
          <w:szCs w:val="22"/>
        </w:rPr>
        <w:t>V prípade potreby budú údaje v DWH unifikované. Bude dohodnuté, ktoré dáta a ako budú unifikované. Prístup k unifikácií využíva dve rozdielne techniky:</w:t>
      </w:r>
    </w:p>
    <w:p w14:paraId="632D50B3"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Riadková unifikácia, napríklad v prípade zákazníkov. V tomto prípade je jedna informácia v DWH reprezentovaná jedným záznamom bez ohľadu na počet záznamov v zdrojových systémoch. Údaje sú unifikované pomocou rôznych čistiacich a unifikačných procedúr. </w:t>
      </w:r>
    </w:p>
    <w:p w14:paraId="5C7DC7A8"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Druhý prístup je unifikácia pomocou hierarchií. Tento prístup sa využíva v prípade dimenzií (napr. produkty). V tomto prípade má každý produkt v DWH jeden záznam rovnako ako v zdrojovom systéme. Nad takouto dimenziou je vytvorená hierarchia, ktorá v reportoch zgrupuje identické produkty do jedného záznamu.</w:t>
      </w:r>
    </w:p>
    <w:p w14:paraId="60614FB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Všetky riadky v tabuľke majú zhodnú granularitu a význam. To znamená, že nie je akceptovateľné miešať detailné a agregované údaje alebo údaje s rôznou granularitou.</w:t>
      </w:r>
    </w:p>
    <w:p w14:paraId="103B4D70"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Integritná konzistencia (primárne, unikátne a umelé kľúče) bude definovaná pre všetky tabuľky v transakčnej a prezentačnej vrstve. Avšak pre veľké tabuľky bude integrita dát kontrolovaná zabezpečená designom ETL, nebude kontrolovaná na úrovni DB, z dôvodu výkonnostných problémov ELT.</w:t>
      </w:r>
    </w:p>
    <w:p w14:paraId="4E16792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veľké tabuľky je nutné využiť Oracle DB partície, aby sa uľahčil ELT proces, zvládol nárast historických údajov a zlepšila výkonnosť ako používateľských dotazov, tak aj ELT nahrávania dát.</w:t>
      </w:r>
    </w:p>
    <w:p w14:paraId="4F31F713"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Jedným zo základných princípov pri budovaní DWH je, že budovanie histórie v transakčnej vrstve DWH je s prihliadnutím, že údaje sa v DWH nikdy fyzicky nemažú. Počas projektu bude stanovená retenčná doba jednotlivých dát.</w:t>
      </w:r>
    </w:p>
    <w:p w14:paraId="4AE0790E"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rámci dátového modelovania budú udržiavané prípadné ďalšie metadáta k jednotlivým štruktúram na podporu data governance procesov, ako sú napr.:</w:t>
      </w:r>
    </w:p>
    <w:p w14:paraId="2090F02B"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klasifikácia dát z pohľadu citlivosti a GDPR</w:t>
      </w:r>
    </w:p>
    <w:p w14:paraId="735A728A"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väzby na referenčné dáta / katalógy / domény</w:t>
      </w:r>
    </w:p>
    <w:p w14:paraId="6FE91EED"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účelu použitia</w:t>
      </w:r>
    </w:p>
    <w:p w14:paraId="5D54619B"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prípadne iné podľa požiadaviek Data Governence kancelárie</w:t>
      </w:r>
    </w:p>
    <w:p w14:paraId="09316CB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Dátový sklad na prezentačnej úrovni bude budovaný ako tzv. dimenzionálny dátový sklad, ktorý obsahuje dva základné typy objektov:</w:t>
      </w:r>
    </w:p>
    <w:p w14:paraId="4824C0E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Fakty, t. j. numerické hodnoty, ktoré sú sledované. Fakty sú spravidla aditívne, resp. semiaditívne hodnoty, ktoré je možné sčítať resp. spriemerovať podľa požadovaných kritérií. Fakty sú zoskupené do tzv. faktových tabuliek.</w:t>
      </w:r>
    </w:p>
    <w:p w14:paraId="45088979"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Dimenzie, t. j. kritériá, na základe ktorých sú fakty členené. Príkladom je čas, nákladové stredisko, organizačná štruktúra atď. Dimenzie väčšinou obsahujú veľké množstvo atribútov a úrovní, ktoré prvok na dimenzii charakterizujú. Z úrovní je možné tvoriť hierarchie a prirodzeným spôsobom tak prechádzať z agregovanej hodnoty (vyššia </w:t>
      </w:r>
      <w:r w:rsidRPr="00D42B04">
        <w:rPr>
          <w:rFonts w:ascii="Cambria" w:eastAsia="Calibri" w:hAnsi="Cambria" w:cs="Arial"/>
          <w:sz w:val="22"/>
          <w:szCs w:val="22"/>
        </w:rPr>
        <w:lastRenderedPageBreak/>
        <w:t>úroveň) na detailnejšie dáta (nižšia úroveň). Dimenzie v dimenzionálnom dátovom sklade musia byť unifikované pre zdieľanie medzi rôznymi faktovými tabuľkami. Jedine tak je možné prechádzať („Drill Accross“) medzi faktami z rôznych faktových tabuliek - t. j. na základe rovnakých hodnôt spoločných dimenzií.</w:t>
      </w:r>
    </w:p>
    <w:p w14:paraId="738ECBF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1" w:name="_Toc110518786"/>
      <w:r w:rsidRPr="00D42B04">
        <w:rPr>
          <w:rFonts w:ascii="Cambria" w:eastAsia="Yu Gothic Light" w:hAnsi="Cambria"/>
          <w:b/>
          <w:bCs/>
          <w:color w:val="2F5496"/>
          <w:szCs w:val="24"/>
        </w:rPr>
        <w:t>Relačná časť NBS DWH</w:t>
      </w:r>
      <w:bookmarkEnd w:id="153"/>
      <w:bookmarkEnd w:id="161"/>
    </w:p>
    <w:p w14:paraId="48337083"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Úvod</w:t>
      </w:r>
    </w:p>
    <w:p w14:paraId="78702AD4"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NBS DWH bude logicky členený na niekoľko dátových vrstiev, pričom každá bude plniť špecifickú úlohu. Vrstvy sú navrhnuté v súlade so zavedenými prístupmi pre vnútorný návrh  DWH. </w:t>
      </w:r>
    </w:p>
    <w:p w14:paraId="0227EDAC"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7736DF2D" wp14:editId="0F1CBC02">
            <wp:extent cx="5400000" cy="542644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00" cy="5426445"/>
                    </a:xfrm>
                    <a:prstGeom prst="rect">
                      <a:avLst/>
                    </a:prstGeom>
                    <a:noFill/>
                  </pic:spPr>
                </pic:pic>
              </a:graphicData>
            </a:graphic>
          </wp:inline>
        </w:drawing>
      </w:r>
    </w:p>
    <w:p w14:paraId="50D58D44"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Obrázok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12</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DWH Relačná časť - vrstvy DB a jej aplikačné časti</w:t>
      </w:r>
    </w:p>
    <w:p w14:paraId="2B9942DF" w14:textId="77777777" w:rsidR="00D42B04" w:rsidRPr="00D42B04" w:rsidRDefault="00D42B04" w:rsidP="00D42B04">
      <w:pPr>
        <w:spacing w:before="120" w:after="120"/>
        <w:jc w:val="both"/>
        <w:rPr>
          <w:rFonts w:ascii="Cambria" w:eastAsia="Calibri" w:hAnsi="Cambria" w:cs="Arial"/>
          <w:sz w:val="22"/>
          <w:szCs w:val="22"/>
        </w:rPr>
      </w:pPr>
    </w:p>
    <w:p w14:paraId="31A7355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Preto je požadované v  návrhu DWH dodržať zásady spísané v nasledujúcich podkapitolách.</w:t>
      </w:r>
    </w:p>
    <w:p w14:paraId="76B5F34A"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Stage oblasť/L0</w:t>
      </w:r>
    </w:p>
    <w:p w14:paraId="3D434FE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Vstupná vrstva dátového skladu, ktorá obsahuje dáta v štruktúre zdrojových systémov, resp. ich výstupných interfejsov. Účel tejto vrstvy je:</w:t>
      </w:r>
    </w:p>
    <w:p w14:paraId="5A5DFC41"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Poskytnúť obraz vzájomne konzistentných zdrojových dát pre spracovanie v DWH na spoločnej technologickej platforme</w:t>
      </w:r>
    </w:p>
    <w:p w14:paraId="62A33C8D"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Štandardizovať dátové typy (zmena časového pásma dátumu/času, štandardizácia číselných údajov, ignorovanie tzv. white spaces v textových poliach, úprava kódovej stránky a podobne)</w:t>
      </w:r>
    </w:p>
    <w:p w14:paraId="2B56DF7D"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krátkodobú cache (historizáciu vstupných dát) pre prípadné dohľadávanie chýb a podozrivých stavov v dátach</w:t>
      </w:r>
    </w:p>
    <w:p w14:paraId="3EC8985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môžu byť prenášané do STAGE vrstvy vo forme kompletných kópií zdrojových dát (napr. kmeňové dáta a referenčné dáta) alebo zmenových prírastkov (nové transakcie, resp. záznamy, kde došlo k zmene od posledného spracovania). Pre každý dátový interface (zdrojový systém, je jedno či ide o databázu, súbor, alebo záložku napr. v XLS) je vyžadované aby vznikol dokument tzv. „Dohoda o extrakcii“ (Interface agreement), template dodá NBS. Kde bude popísané:</w:t>
      </w:r>
    </w:p>
    <w:p w14:paraId="308880CB"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Forma interface (DB, súbor, WebService)</w:t>
      </w:r>
    </w:p>
    <w:p w14:paraId="7FC1C103"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Veľkosť zdrojového systému a predpokladaný denný/mesačný inkrement</w:t>
      </w:r>
    </w:p>
    <w:p w14:paraId="4716850E"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Spôsob prenosu dát (dblink, FTP, JDBC, ODBC, http, ...)</w:t>
      </w:r>
    </w:p>
    <w:p w14:paraId="45FB3264"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Umiestnenie systému (IP adresa, Linka, ...)</w:t>
      </w:r>
    </w:p>
    <w:p w14:paraId="50C90B08"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Predpis extrakcie a štandardizácie dátových typov</w:t>
      </w:r>
    </w:p>
    <w:p w14:paraId="4BB9108A"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Základný ER diagram zdroja</w:t>
      </w:r>
    </w:p>
    <w:p w14:paraId="15BC67C9"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Spôsob prípravy vzorky dát pre TEST a DEV prostredie</w:t>
      </w:r>
    </w:p>
    <w:p w14:paraId="77E641D7"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Identifikácia citlivých a osobných údajov</w:t>
      </w:r>
    </w:p>
    <w:p w14:paraId="5778BB4E"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Nastavenie a spôsob (inkrement, celá snímka) historizácie vstupných dát – ak je požadovaná, alebo potrebná</w:t>
      </w:r>
    </w:p>
    <w:p w14:paraId="4DB6963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Stage vrstva musí mať vlastnosť samočistenia, t. j. bude sama odmazávať a defragmentovať priestor na základe metadát z nastavenia historizácie vstupných dát.</w:t>
      </w:r>
    </w:p>
    <w:p w14:paraId="70AED2D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Názvy tabuliek a stĺpcov by mali reflektovať názvy v zdrojových systémoch. Počas projektu bude dohodnutá názvová konvencia, ktorá stanoví štandardy pre názvy tabuliek (a ich prefixy/sufixy), spôsob pomenovania biznis stĺpcov a názvy technických stĺpcov.</w:t>
      </w:r>
    </w:p>
    <w:p w14:paraId="7DDB67C8"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Princípy zachytávania zmien (Change Data Capture)</w:t>
      </w:r>
    </w:p>
    <w:p w14:paraId="6529503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Prístup k zachytávaniu zmien údajov bude implementovaný spôsobom, ktorý minimalizuje množstvo údajov, ktoré majú byť spracovávané a taktiež zmeny riadkov, ktoré sú potrebné pre SCD. Budú použité niektoré z nasledujúcich techník, ktoré sú plne podporované ODI.</w:t>
      </w:r>
    </w:p>
    <w:p w14:paraId="7CF7A28C"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Priamo systém poskytuje interface s potrebnými dátami na extrakciu.</w:t>
      </w:r>
    </w:p>
    <w:p w14:paraId="4323E120" w14:textId="77777777" w:rsidR="00D42B04" w:rsidRPr="00D42B04" w:rsidRDefault="00D42B04" w:rsidP="00D42B04">
      <w:pPr>
        <w:numPr>
          <w:ilvl w:val="1"/>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budú zo systému priamo extrahované a uložené do STAGE. Toto uloženie bude označené metadátovou značkou, kedy dáta boli prenesené pre spätnú kontrolu kvality prípravy extraktu na zdroji – identifikácia prípadných duplicít, alebo opravných setov dát.</w:t>
      </w:r>
    </w:p>
    <w:p w14:paraId="528063A9"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Systém neposkytuje priamo dáta.</w:t>
      </w:r>
    </w:p>
    <w:p w14:paraId="227C3ED6" w14:textId="77777777" w:rsidR="00D42B04" w:rsidRPr="00D42B04" w:rsidRDefault="00D42B04" w:rsidP="00D42B04">
      <w:pPr>
        <w:numPr>
          <w:ilvl w:val="1"/>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malé a stredne veľké tabuľky budú sa robiť full extrakty zo zdrojových systémov. Tieto full extrakty sa porovnajú s údajmi, ktoré sa už nachádzajú v DWH buď množinovou operáciou MINUS alebo pomocou FULL OUTER JOIN na identifikáciu zmien.</w:t>
      </w:r>
    </w:p>
    <w:p w14:paraId="13835590" w14:textId="77777777" w:rsidR="00D42B04" w:rsidRPr="00D42B04" w:rsidRDefault="00D42B04" w:rsidP="00D42B04">
      <w:pPr>
        <w:numPr>
          <w:ilvl w:val="1"/>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 zdrojové tabuľky obsahujú spoľahlivú časovú známku, budú extrahované zo zdrojového systému riadky, ktoré majú časovú známku novšiu ako je predchádzajúca extrahovaná časová známka. Prenesené dáta musia byť označené metadátovou značkou.</w:t>
      </w:r>
    </w:p>
    <w:p w14:paraId="3076232B" w14:textId="77777777" w:rsidR="00D42B04" w:rsidRPr="00D42B04" w:rsidRDefault="00D42B04" w:rsidP="00D42B04">
      <w:pPr>
        <w:numPr>
          <w:ilvl w:val="1"/>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prípade, že extrakcia založená na časových známkach nie je možná, pripadá do úvahy extrakcia s využitím DB trigrov. Vyžadujú si úpravy na strane zdrojových systémov (vytvorenie DB trigrov – ako je MVIEW a podobne) a preto nepredpokladáme využitie tejto metódy v NBS DWH.</w:t>
      </w:r>
    </w:p>
    <w:p w14:paraId="3F3008C1"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Pre účely riadenia zápisu zistených zmien na zdrojovej strane sa vyžaduje použitie nasledujúcej schémy ETL procesy:</w:t>
      </w:r>
    </w:p>
    <w:p w14:paraId="30CCAFAD" w14:textId="77777777" w:rsidR="00D42B04" w:rsidRPr="00D42B04" w:rsidRDefault="00D42B04" w:rsidP="00D42B04">
      <w:pPr>
        <w:keepNext/>
        <w:spacing w:before="120" w:after="120"/>
        <w:jc w:val="both"/>
        <w:rPr>
          <w:rFonts w:ascii="Cambria" w:eastAsia="Calibri" w:hAnsi="Cambria" w:cs="Arial"/>
          <w:b/>
          <w:bCs/>
          <w:noProof/>
          <w:sz w:val="22"/>
          <w:szCs w:val="22"/>
        </w:rPr>
      </w:pPr>
      <w:r w:rsidRPr="00D42B04">
        <w:rPr>
          <w:rFonts w:ascii="Cambria" w:eastAsia="Calibri" w:hAnsi="Cambria" w:cs="Arial"/>
          <w:b/>
          <w:bCs/>
          <w:noProof/>
          <w:sz w:val="22"/>
          <w:szCs w:val="22"/>
        </w:rPr>
        <w:t>1. Pri použití historizovaného STAGE/L0</w:t>
      </w:r>
    </w:p>
    <w:p w14:paraId="377C5857"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5C65598A" wp14:editId="3728E18B">
            <wp:extent cx="5400000" cy="92901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000" cy="929014"/>
                    </a:xfrm>
                    <a:prstGeom prst="rect">
                      <a:avLst/>
                    </a:prstGeom>
                    <a:noFill/>
                  </pic:spPr>
                </pic:pic>
              </a:graphicData>
            </a:graphic>
          </wp:inline>
        </w:drawing>
      </w:r>
    </w:p>
    <w:p w14:paraId="3855C8F0"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Obrázok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13</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ETL schéma historizovanej vrstvy STAGE</w:t>
      </w:r>
    </w:p>
    <w:p w14:paraId="4E0A7607" w14:textId="77777777" w:rsidR="00D42B04" w:rsidRPr="00D42B04" w:rsidRDefault="00D42B04" w:rsidP="00D42B04">
      <w:pPr>
        <w:keepNext/>
        <w:spacing w:before="120" w:after="120"/>
        <w:jc w:val="both"/>
        <w:rPr>
          <w:rFonts w:ascii="Cambria" w:eastAsia="Calibri" w:hAnsi="Cambria" w:cs="Arial"/>
          <w:b/>
          <w:bCs/>
          <w:sz w:val="22"/>
          <w:szCs w:val="22"/>
        </w:rPr>
      </w:pPr>
      <w:r w:rsidRPr="00D42B04">
        <w:rPr>
          <w:rFonts w:ascii="Cambria" w:eastAsia="Calibri" w:hAnsi="Cambria" w:cs="Arial"/>
          <w:b/>
          <w:bCs/>
          <w:sz w:val="22"/>
          <w:szCs w:val="22"/>
        </w:rPr>
        <w:t>2. Pri použití klasického nehistorizovaného STAGE/L0</w:t>
      </w:r>
    </w:p>
    <w:p w14:paraId="025ED864"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3661663E" wp14:editId="519C1CB5">
            <wp:extent cx="5400000" cy="1919309"/>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00" cy="1919309"/>
                    </a:xfrm>
                    <a:prstGeom prst="rect">
                      <a:avLst/>
                    </a:prstGeom>
                    <a:noFill/>
                  </pic:spPr>
                </pic:pic>
              </a:graphicData>
            </a:graphic>
          </wp:inline>
        </w:drawing>
      </w:r>
    </w:p>
    <w:p w14:paraId="0BA032BF"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Obrázok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14</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ETL schéme nehistorizovanej vrstvy STAGE</w:t>
      </w:r>
    </w:p>
    <w:p w14:paraId="1BC788A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Reference Data Oblasť (INP)</w:t>
      </w:r>
    </w:p>
    <w:p w14:paraId="50D15EA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Účel tejto vrstvy je:</w:t>
      </w:r>
    </w:p>
    <w:p w14:paraId="0B28CC8E" w14:textId="77777777" w:rsidR="00D42B04" w:rsidRPr="00D42B04" w:rsidRDefault="00D42B04" w:rsidP="00D42B04">
      <w:pPr>
        <w:numPr>
          <w:ilvl w:val="0"/>
          <w:numId w:val="6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Udržať konzistenciu dát na úrovni číselníkov</w:t>
      </w:r>
    </w:p>
    <w:p w14:paraId="373C0EE5" w14:textId="77777777" w:rsidR="00D42B04" w:rsidRPr="00D42B04" w:rsidRDefault="00D42B04" w:rsidP="00D42B04">
      <w:pPr>
        <w:numPr>
          <w:ilvl w:val="0"/>
          <w:numId w:val="6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Vstupná brána pre používateľov cez aplikačné GUI pre doplnenie dát do DWH</w:t>
      </w:r>
    </w:p>
    <w:p w14:paraId="16144095" w14:textId="77777777" w:rsidR="00D42B04" w:rsidRPr="00D42B04" w:rsidRDefault="00D42B04" w:rsidP="00D42B04">
      <w:pPr>
        <w:numPr>
          <w:ilvl w:val="0"/>
          <w:numId w:val="6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cez REST API tieto číselníky ostatných odberateľom v NBS</w:t>
      </w:r>
    </w:p>
    <w:p w14:paraId="21FE625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Táto oblasť preto obsahuje číselníky a čistiace, či mostíkové tabuľky pre:</w:t>
      </w:r>
    </w:p>
    <w:p w14:paraId="371008D0"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mapovanie zdrojových hodnôt na DW kľúče,</w:t>
      </w:r>
    </w:p>
    <w:p w14:paraId="7D2EDF89"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doplnenie hierarchií a údržbu master dimenzií,</w:t>
      </w:r>
    </w:p>
    <w:p w14:paraId="0A429205" w14:textId="77777777" w:rsidR="00D42B04" w:rsidRPr="00D42B04" w:rsidRDefault="00D42B04" w:rsidP="00D42B04">
      <w:pPr>
        <w:numPr>
          <w:ilvl w:val="0"/>
          <w:numId w:val="6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pridávať ďalšie informácie importom súborov cez aplikačné GUI</w:t>
      </w:r>
    </w:p>
    <w:p w14:paraId="36E8780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Návrh dátového modelu tejto časti je silne v tretej normálnej forme s plným nastavením primárnych a unikátnych indexov pre zabezpečenie kvality dát. Rovnako vzťahy medzi objektami typu master-slave musia byť podporené cez FK (vzdialený alebo cudzí kľúč) a iné obmedzenia. </w:t>
      </w:r>
    </w:p>
    <w:p w14:paraId="0F5240F9"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Transakčné repozitory (L1 – Integračná vrstva)</w:t>
      </w:r>
    </w:p>
    <w:p w14:paraId="6193576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Táto oblasť je základ dátového skladu, kde sa uchovávajú údaje na najnižšom detaile ako je možné. V transakčnej vrstve sa tvorí jedna pravda na jednom mieste, ktorá generuje históriu a sleduje zmeny v čase. Pri aktualizácii sú povolené výlučne technické transformácie a biznisové transformácie, ktoré nie sú ovplyvňované rozhodnutiami biznisu. Táto vrstva je striktne navrhovaná ako tretia normálna forma (metodika Billa Inmona) a vytvára deliacu čiaru medzi ďalšími komponentmi dátové skladu. Ak je potrebné zmeniť alebo doplniť ďalší zdrojový systém, upraví sa len prislúchajúca časť ETL v tejto vrstve. Všetky ostatné časti DWH sa nemenia. Navyše táto vrstva vytvára predpoklady na integráciu a normalizáciu údajov. Keďže transakčná vrstva zohľadňuje všetky relácie medzi objektmi, je možné vytvárať komplexné analýzy a dotazy, ktoré sú nad rámec dimenzionálneho sveta.</w:t>
      </w:r>
    </w:p>
    <w:p w14:paraId="6C8D57D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Pri návrhu transakčnej časti DWH je nutné v súčasnosti prihliadať aj na nové poznatky a metodiky, ktoré dopĺňajú a rozširujú skôr spomenuté prístupy modelovania. Pomáhajú zrýchliť, zjednodušiť ETL procesy napríklad použiť aj princípy modelovania metódy Data Vault 2.0</w:t>
      </w:r>
      <w:r w:rsidRPr="00D42B04">
        <w:rPr>
          <w:rFonts w:ascii="Cambria" w:eastAsia="Yu Mincho" w:hAnsi="Cambria" w:cs="Arial"/>
          <w:sz w:val="22"/>
          <w:szCs w:val="22"/>
          <w:vertAlign w:val="superscript"/>
        </w:rPr>
        <w:footnoteReference w:id="2"/>
      </w:r>
      <w:r w:rsidRPr="00D42B04">
        <w:rPr>
          <w:rFonts w:ascii="Cambria" w:eastAsia="Calibri" w:hAnsi="Cambria" w:cs="Arial"/>
          <w:sz w:val="22"/>
          <w:szCs w:val="22"/>
        </w:rPr>
        <w:t xml:space="preserve"> .</w:t>
      </w:r>
    </w:p>
    <w:p w14:paraId="0570E21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Ako nadstavba nad týmto transakčným repozitárom je vytvorená prezentačná vrstva v zmysle dimenzionálneho modelu ako ju navrhuje Ralph Kimball pre vytváranie reportov a analýz.</w:t>
      </w:r>
    </w:p>
    <w:p w14:paraId="569EBC1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Dátový model zachytáva konkrétne koncepty, entity, ich vzťahy a klasifikácie nezávisle na tom, ako sú zodpovedajúce dáta organizované v zdrojových systémoch. Vlastníkom dátového modelu je NBS.</w:t>
      </w:r>
    </w:p>
    <w:p w14:paraId="22A189A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 j. cieľom tejto vrstvy dát je:</w:t>
      </w:r>
    </w:p>
    <w:p w14:paraId="2A29BAD5"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aktuálny aj historický pohľad na dáta, resp. ich historické verzie k akémukoľvek bodu v čase (použitie umelých kľúčov, vymedzenie platnosti záznamov – tzv. SCD2 mechanizmus u „pomaly sa meniacich“ dimenzií a väzobných tabuliek, resp. transakčné a snímkovacie tabuľky pre „rýchlo sa meniace údaje“)</w:t>
      </w:r>
    </w:p>
    <w:p w14:paraId="1DF152F3"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Organizovať dáta zrozumiteľne podľa biznisových entít (entitno-relačný model), t. j. dáta z rôznych systémov zodpovedajúce jednej entite sú uložené spoločne, t. j. tabuľky odpovedajú reálnym konceptom/entitám, ktorým rozumie biznis užívateľ (napr. subjekt, transakcia, inštrument, cenný papier, účet, výkaz, položka výkazu, apod.)</w:t>
      </w:r>
    </w:p>
    <w:p w14:paraId="4E07F863"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Štandardizovať, resp. unifikovať dáta (vynútenie jednotného spôsobu zápisu údajov s rovnakým významom)</w:t>
      </w:r>
    </w:p>
    <w:p w14:paraId="22D0CC14"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Nahradiť neznáme, prípadne nekvalitné dáta dohodnutým spôsobom (default hodnoty a ošetrenie tzv. „late arriving“ údajov)</w:t>
      </w:r>
    </w:p>
    <w:p w14:paraId="3F31D423"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Konsolidovať klasifikácie dát z rôznych zdrojov pre spoločný reporting (okrem uloženia pôvodných referenčných hodnôt to prebieha ako premapovanie cez konsolidované číselníky pomocou dát uložených v „Reference Data Oblasti“).</w:t>
      </w:r>
    </w:p>
    <w:p w14:paraId="75A41762"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Konsolidovať dátové entity podľa konceptuálneho návrhu dátového skladu. Ako sú napr.:</w:t>
      </w:r>
    </w:p>
    <w:p w14:paraId="3321EE2F"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údaje o subjektoch (právnických aj fyzických osobách), ktoré môžu byť reprezentované v rôznych zdrojových systémoch pomocou rôznych identifikátorov a kódov – ich prepojenie bude implementované cez dohodnutý algoritmus tak, aby bolo možné prepojiť údaje súvisiace s konkrétnym výskytom subjektu pochádzajúcich z rôznych zdrojov. </w:t>
      </w:r>
    </w:p>
    <w:p w14:paraId="37BB43FC"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údaje o entitách typu cenné papier/finančný inštrument.</w:t>
      </w:r>
    </w:p>
    <w:p w14:paraId="262BFC4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Pri návrhu bude potrebné počítať minimálne s týmito požiadavkami:</w:t>
      </w:r>
    </w:p>
    <w:p w14:paraId="00791E10"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budú spracúvané a ukladané čo najoptimálnejším spôsobom podľa best-practice budovania dátových skladov s využitím technológií databáze (partitioning, paralelné spracovanie, správa indexov, optimálne rozloženie dát podľa ich povahy a volatility apod.)</w:t>
      </w:r>
    </w:p>
    <w:p w14:paraId="4182F420"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Bude vytvorený mechanismus pre archiváciu (resp. presun do záložných štruktúr) a výmaz nepotrebných historických dát z DWH podľa zadaných parametrov na úrovni jednotlivých tabuliek.</w:t>
      </w:r>
    </w:p>
    <w:p w14:paraId="57DC3ED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každú tabuľku bude zabezpečený iniciálny load, ktorý zabezpečí prvotné naplnenie všetkými dátami, ktoré sú potrebné pre ďalšie inkrementálne spracovanie so zachovaním referenčnej integrity. Historický load bude zabezpečený pre zvolené dátové oblasti podľa definície jednotlivých dátových zdrojov, t. j. pre každý dátový zdroj je individuálne definovaná hĺbka histórie, spracované budú relevantné cieľové tabuľky DWH. Cieľom historického loadu je rekonštruovať historické stavy dát, t. j.:</w:t>
      </w:r>
    </w:p>
    <w:p w14:paraId="376309BB"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historické transakcie / udalosti</w:t>
      </w:r>
    </w:p>
    <w:p w14:paraId="6D79260B"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historické položky dimenzionálnych tabuliek a číselníkov (kmeňových dát), na ktoré sa odkazujú historické fakty pre zachovanie referenčnej integrity</w:t>
      </w:r>
    </w:p>
    <w:p w14:paraId="5BB56F67"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historické stavy hodnôt atribútov v dimenzionálnych tabuľkách</w:t>
      </w:r>
    </w:p>
    <w:p w14:paraId="5A7FA28D"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historické snímky stavových ukazovateľov a relevantných popisných údajov</w:t>
      </w:r>
    </w:p>
    <w:p w14:paraId="6D8BD6C8" w14:textId="77777777" w:rsidR="00D42B04" w:rsidRPr="00D42B04" w:rsidRDefault="00D42B04" w:rsidP="00D42B04">
      <w:pPr>
        <w:numPr>
          <w:ilvl w:val="0"/>
          <w:numId w:val="10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historické platnosti vzťahov (relácií) medzi entitami</w:t>
      </w:r>
    </w:p>
    <w:p w14:paraId="28BBB583"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Biznisová oblasť</w:t>
      </w:r>
    </w:p>
    <w:p w14:paraId="442F29F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Podobne ako oblasť DWH nazývaná „referenčné dáta“, ktorá obsahuje dimenzie a číselníky pre doplnenie ETL procesu počas normalizácie a konsolidácie zo stage do transakčnej oblasti, tak oblasť nazývaná „biznisová oblasť“ obsahuje mostíky, šablóny a prioritizačné tabuľky pre riadenie (ak je to potrebné, nie každé ETL to potrebuje) spracovanie z transakčnej oblasti do prezentačnej vrstvy.</w:t>
      </w:r>
    </w:p>
    <w:p w14:paraId="606AF97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prvý pohľad číselník a mostík vyzerajú rovnako. Do číselníka môže</w:t>
      </w:r>
      <w:r w:rsidRPr="00D42B04" w:rsidDel="0061754F">
        <w:rPr>
          <w:rFonts w:ascii="Cambria" w:eastAsia="Calibri" w:hAnsi="Cambria" w:cs="Arial"/>
          <w:sz w:val="22"/>
          <w:szCs w:val="22"/>
        </w:rPr>
        <w:t xml:space="preserve"> </w:t>
      </w:r>
      <w:r w:rsidRPr="00D42B04">
        <w:rPr>
          <w:rFonts w:ascii="Cambria" w:eastAsia="Calibri" w:hAnsi="Cambria" w:cs="Arial"/>
          <w:sz w:val="22"/>
          <w:szCs w:val="22"/>
        </w:rPr>
        <w:t>biznisový používateľ cez RDM systém zadávať hodnoty, pridávať hierarchie, alebo definovať vzťahy medzi dátami. Ale väčšinou ide o jednu informáciu v jednej dimenzii. V mostíku sa môže definovať vzťah medzi viacerými dimenziami a ako sa má tento vzťah konvertovať na novú dimenziu. T. j. z jednej a viac vzniká nová odvodená (premostená) hodnota dimenzie. Kde toto spojenie nie je triviálne čo do počtu kombinácií (nakoľko ide o kartézsky súčin všetkých hodnôt v dimenziách) požadujeme vytvoriť systém využívajúce šablóny, kde biznisový používateľ bude vedieť definovať pravidlá cez „stanovené postačujúce podmienky“ (presne definované pravidlá) a zvyšné časti opakujúcich sa spojení systém dogeneruje počas (alebo pred) ETL spracovania.</w:t>
      </w:r>
    </w:p>
    <w:p w14:paraId="02F07424"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Prezentačná vrstva (PL + L2 - Analytická vrstva)</w:t>
      </w:r>
    </w:p>
    <w:p w14:paraId="5DA447D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Prezentačná vrstva je replikovaná časť transakčného repozitára, vytvorená na základe špeciálnej „biznisovej“ požiadavky. Zvyčajne sa navrhuje metódami Ralpha Kimballa a má dimenzionálny charakter, t. j. táto vrstva DWH poskytuje pohľad na dáta v štruktúre, ktorá je vhodná pre konkrétne analytické resp. reportingové účely. Organizácia dát je podriadená konkrétnym požiadavkám užívateľov a BI aplikácií.</w:t>
      </w:r>
    </w:p>
    <w:p w14:paraId="0265F1B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rozdiel od technických transformácii sa v priebehu ETL procesu z transakčnej do prezentačnej vrstvy využívajú predovšetkým biznisové transformácie, ktoré sa v čase môžu zmeniť. V prípade zmeny biznisovej definície je možné podľa požiadavky prepočítať spätne časť alebo celú históriu na základe údajov uchovaných v transakčnej vrstve. V</w:t>
      </w:r>
      <w:r w:rsidRPr="00D42B04" w:rsidDel="004159A0">
        <w:rPr>
          <w:rFonts w:ascii="Cambria" w:eastAsia="Calibri" w:hAnsi="Cambria" w:cs="Arial"/>
          <w:sz w:val="22"/>
          <w:szCs w:val="22"/>
        </w:rPr>
        <w:t xml:space="preserve"> </w:t>
      </w:r>
      <w:r w:rsidRPr="00D42B04">
        <w:rPr>
          <w:rFonts w:ascii="Cambria" w:eastAsia="Calibri" w:hAnsi="Cambria" w:cs="Arial"/>
          <w:sz w:val="22"/>
          <w:szCs w:val="22"/>
        </w:rPr>
        <w:t xml:space="preserve">ETL proces sa využívajú špeciálne transformačné techniky (na základe definícií uložených v biznisovej vrstve DWH), ktoré umožňujú údaje transformovať na základe používateľských mostíkov, šablón a priorít. </w:t>
      </w:r>
    </w:p>
    <w:p w14:paraId="1BF77AD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Účelom tejto vrstvy je teda:</w:t>
      </w:r>
    </w:p>
    <w:p w14:paraId="0031214B"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Organizovať dáta optimálne pre konkrétne analytické a reportingové požiadavky do star-schém s potrebnou denormalizáciou a prípadnou agregáciou</w:t>
      </w:r>
    </w:p>
    <w:p w14:paraId="77D6FCC8"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Poskytovať dodatočné vypočítané/odvodené dáta, ktoré sú špecifické pre danú analytickú potrebu.</w:t>
      </w:r>
    </w:p>
    <w:p w14:paraId="0DAC69E4"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Pri návrhu bude potrebné počítať minimálne s týmito požiadavkami (okrem tých čo sú uvedené pre L1 vrstvu a v celkovej metodike vývoja):</w:t>
      </w:r>
    </w:p>
    <w:p w14:paraId="2A66FA9D"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Dátový model bude navrhnutý ako dimenzionálny s potrebnou úrovňou denormalizácie dátového modelu. Bude obsahovať detailné, prípadne aj agregované dáta. Nepredpokladá sa však ukladanie dát v štruktúre výstupných reportov.</w:t>
      </w:r>
    </w:p>
    <w:p w14:paraId="4BA9280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Výstupná vrstva (OUT)</w:t>
      </w:r>
    </w:p>
    <w:p w14:paraId="3370BFC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Výstupná vrstva je obdobou „Prezentačnej vrstvy“, dáta sú však organizované do dátových štruktúr, ktoré sú požadované na výstupe odoberajúcim systémom, resp. externým užívateľom (open data, ECB, iné inštitúcie, Off loading do DataLake a pod.). Táto štruktúra teda nemusí spĺňať princípy pre modelovanie analytických dát pre reporting, je podriadená špecifickým požiadavkám následného použitia, resp. zverejnenia.</w:t>
      </w:r>
    </w:p>
    <w:p w14:paraId="077AE49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 tejto vrstvy sa generujú výstupné extrakty pre distribúciu (disemináciu).</w:t>
      </w:r>
    </w:p>
    <w:p w14:paraId="10A0CC9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Podobne ako stage vrstva je definovaná dokumentom „Interface Agreement“ (Dohoda o extrakcii), tak OUT vrstva musí byť definovaná a dohodnutá cez dokument „Dohoda o poskytnutí dát z </w:t>
      </w:r>
      <w:r w:rsidRPr="00D42B04">
        <w:rPr>
          <w:rFonts w:ascii="Cambria" w:eastAsia="Calibri" w:hAnsi="Cambria" w:cs="Arial"/>
          <w:sz w:val="22"/>
          <w:szCs w:val="22"/>
        </w:rPr>
        <w:lastRenderedPageBreak/>
        <w:t>DWH“. Podobne ako dokument „Dohoda o extrakcii“ musí byť dokument popisujúci OUT vrstvu podpísaný oboma stranami dátovej komunikácie.</w:t>
      </w:r>
    </w:p>
    <w:p w14:paraId="03D4FB1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v OUT vrstve sú tvorené ETL procesmi z transakčnej vrstvy, ale aj z dát prezentačných datamartov.</w:t>
      </w:r>
    </w:p>
    <w:p w14:paraId="1CB0A8F3"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DWH SandBox</w:t>
      </w:r>
    </w:p>
    <w:p w14:paraId="404E29B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DWH SandBox je dohodnuté miesto tvorené špeciálnym používateľom, ktorý má právo:</w:t>
      </w:r>
    </w:p>
    <w:p w14:paraId="11A387EF" w14:textId="77777777" w:rsidR="00D42B04" w:rsidRPr="00D42B04" w:rsidRDefault="00D42B04" w:rsidP="00D42B04">
      <w:pPr>
        <w:numPr>
          <w:ilvl w:val="0"/>
          <w:numId w:val="7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čítať dohodnuté dáta z DWH/DL</w:t>
      </w:r>
    </w:p>
    <w:p w14:paraId="49A29A9D" w14:textId="77777777" w:rsidR="00D42B04" w:rsidRPr="00D42B04" w:rsidRDefault="00D42B04" w:rsidP="00D42B04">
      <w:pPr>
        <w:numPr>
          <w:ilvl w:val="0"/>
          <w:numId w:val="7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vytvárať nové tabuľky a pohľady</w:t>
      </w:r>
    </w:p>
    <w:p w14:paraId="7E125B1D" w14:textId="77777777" w:rsidR="00D42B04" w:rsidRPr="00D42B04" w:rsidRDefault="00D42B04" w:rsidP="00D42B04">
      <w:pPr>
        <w:numPr>
          <w:ilvl w:val="0"/>
          <w:numId w:val="7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napĺňať tieto tabuľky</w:t>
      </w:r>
    </w:p>
    <w:p w14:paraId="213E5ED3" w14:textId="77777777" w:rsidR="00D42B04" w:rsidRPr="00D42B04" w:rsidRDefault="00D42B04" w:rsidP="00D42B04">
      <w:pPr>
        <w:numPr>
          <w:ilvl w:val="0"/>
          <w:numId w:val="7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vymazávať dáta a celé objekty</w:t>
      </w:r>
    </w:p>
    <w:p w14:paraId="70C87EB8" w14:textId="77777777" w:rsidR="00D42B04" w:rsidRPr="00D42B04" w:rsidRDefault="00D42B04" w:rsidP="00D42B04">
      <w:pPr>
        <w:numPr>
          <w:ilvl w:val="0"/>
          <w:numId w:val="7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pokročilých používateľov aj vytvárať procedúry a iné programy, ktoré môžu slúžiť na spustenie časti ETL a napr. pre overenie určitej hypotézy.</w:t>
      </w:r>
    </w:p>
    <w:p w14:paraId="56B2504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Sandbox nemá slúžiť na pravidelné prevádzkovanie časti spracovania DWH/DL. Pokiaľ je používateľ spokojný z pokusom je veľmi dôležité zapojiť IT do finálnej optimalizácie a zaradenia do pravidelného (denného) behu vytvorenej novej časti spracovania.</w:t>
      </w:r>
    </w:p>
    <w:p w14:paraId="11BEA251"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2" w:name="_Toc110518787"/>
      <w:r w:rsidRPr="00D42B04">
        <w:rPr>
          <w:rFonts w:ascii="Cambria" w:eastAsia="Yu Gothic Light" w:hAnsi="Cambria"/>
          <w:b/>
          <w:bCs/>
          <w:color w:val="2F5496"/>
          <w:szCs w:val="24"/>
        </w:rPr>
        <w:t>DataLake časť NBS DWH</w:t>
      </w:r>
      <w:bookmarkEnd w:id="162"/>
    </w:p>
    <w:p w14:paraId="5965ADD4"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Úvod</w:t>
      </w:r>
    </w:p>
    <w:p w14:paraId="2CCA84E5"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Podobne ako pri návrhu relačnej časti DWH musia tieto predpoklady platiť pri vývoji DataLake. Nasledujúce podkapitoly popisujú úlohu DataLake platformy v navrhovanej architektúre.</w:t>
      </w:r>
    </w:p>
    <w:p w14:paraId="705907BA"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noProof/>
          <w:sz w:val="22"/>
          <w:szCs w:val="22"/>
          <w:lang w:val="en-US"/>
        </w:rPr>
        <w:drawing>
          <wp:inline distT="0" distB="0" distL="0" distR="0" wp14:anchorId="6D0630D4" wp14:editId="218C367E">
            <wp:extent cx="5400000" cy="38721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00" cy="3872149"/>
                    </a:xfrm>
                    <a:prstGeom prst="rect">
                      <a:avLst/>
                    </a:prstGeom>
                    <a:noFill/>
                  </pic:spPr>
                </pic:pic>
              </a:graphicData>
            </a:graphic>
          </wp:inline>
        </w:drawing>
      </w:r>
    </w:p>
    <w:p w14:paraId="228A4FCD" w14:textId="77777777" w:rsidR="00D42B04" w:rsidRPr="00D42B04" w:rsidRDefault="00D42B04" w:rsidP="00D42B04">
      <w:pPr>
        <w:spacing w:before="120" w:after="200"/>
        <w:jc w:val="both"/>
        <w:rPr>
          <w:rFonts w:ascii="Cambria" w:eastAsia="Calibri" w:hAnsi="Cambria" w:cs="Arial"/>
          <w:i/>
          <w:iCs/>
          <w:color w:val="44546A"/>
          <w:sz w:val="18"/>
          <w:szCs w:val="18"/>
          <w:lang w:val="en-US"/>
        </w:rPr>
      </w:pPr>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Obrázok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15</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DWH DataLake vrstvy a jej toky dát</w:t>
      </w:r>
    </w:p>
    <w:p w14:paraId="2F242E3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Dátové vrstvy DataLake budú logicky rozdelené na niekoľko vrstiev tak ako v prípade logického členenia dátových vrstiev DWH. Dátové vrstvy DataLake platformy môžu kopírovať aj DWH model.</w:t>
      </w:r>
    </w:p>
    <w:p w14:paraId="1A0E879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lastRenderedPageBreak/>
        <w:t>Landing zóna</w:t>
      </w:r>
    </w:p>
    <w:p w14:paraId="3A73A25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nachádzajúce sa v tejto oblasti obsahujú 1:1 informácie zo zdrojových systémov. Dáta sa môžu nachádzať buď vo forme tabuliek (štruktúrované dáta exportované zo zdrojových DB) alebo vo forme RAW súborov rôznych formátov pripravených na ďalšie spracovanie. Dáta môžu prichádzať buď inkrementálne alebo vo forme celkových snímok.</w:t>
      </w:r>
    </w:p>
    <w:p w14:paraId="012897B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DataLake by mal poskytovať mechanizmy na import dát z nasledujúcich typov zdrojových systémov:</w:t>
      </w:r>
    </w:p>
    <w:p w14:paraId="0D50F75D"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Databázové (za použitia JDBC/ODBC).</w:t>
      </w:r>
    </w:p>
    <w:p w14:paraId="762E60E2"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Súborové (možnosť stiahnuť dáta z externého SFTP, interného SFTP , alebo interného Sharepoint SSL úložiska (časť dát z externých inštitúcii, kde sa momentálne využíva protokol WebDAV sa presunie na zabezpečené Sharepoint SSL úložisko).</w:t>
      </w:r>
    </w:p>
    <w:p w14:paraId="6C47A8FC"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API + WEB (možnosť importovať dáta dostupné cez API rozhranie (SOAP/REST), alebo dát dostupných za použitia parsovania public webu).</w:t>
      </w:r>
    </w:p>
    <w:p w14:paraId="142ABCE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Podobne musí DataLake umožňovať priamo zapisovať dáta do Landing zóny iným ETL nástrojom.</w:t>
      </w:r>
    </w:p>
    <w:p w14:paraId="469E301A"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Primárna stage</w:t>
      </w:r>
    </w:p>
    <w:p w14:paraId="3DA8402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nachádzajúce sa v tejto oblasti obsahujú informácie, ktoré boli spracované z Landing vrstvy. Dáta v tejto vrstve majú vopred určenú štruktúru na základe biznisových a technických požiadaviek (vo forme tabuliek/partícií alebo dátových súborov). Dáta v tejto vrstve už nemusia obsahovať všetky informácie, ktoré boli exportované zo zdrojových systémov. Typickým príkladom v prostredí NBS môžu byť rozsiahle XML súbory, ktoré sú exportované zo zdrojových systémov, pričom len malé množstvo atribútov je následne procesovaných vo vyšších vrstvách. Pred vstupom dát do Primárnej stage vrstvy sú dáta kontrolované na dátovú kvalitu a transformované do  finálnej podoby. Čiže hlavné transformácie dát spracúvaného obdobia zo zdrojových štruktúr do štruktúr Landing integračnej vrstvy sú:</w:t>
      </w:r>
    </w:p>
    <w:p w14:paraId="7AB19817"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Štandardizácie/unifikácie dát</w:t>
      </w:r>
    </w:p>
    <w:p w14:paraId="0A24A398"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Technických kontrol dátovej kvality</w:t>
      </w:r>
    </w:p>
    <w:p w14:paraId="3AA4ADCD"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Ošetrenia default hodnôt</w:t>
      </w:r>
    </w:p>
    <w:p w14:paraId="5AAC520F"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Výpočet spoločných odvodených údajov</w:t>
      </w:r>
    </w:p>
    <w:p w14:paraId="1FD4F952"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Historizácie dát v Primárnej stage</w:t>
      </w:r>
    </w:p>
    <w:p w14:paraId="486D798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z primárnej stage vrstvy môžu byť exportované do iných systémov pre potreby ďalšieho spracovania.</w:t>
      </w:r>
    </w:p>
    <w:p w14:paraId="2ADC3FD5"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Discovery</w:t>
      </w:r>
    </w:p>
    <w:p w14:paraId="5E8997A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Dáta nachádzajúce sa v Discovery vrstve obsahujú spracované dáta pripravené na použitie pre analytické a štatistické potreby. Tieto dáta sú obohacované a transformované na základe biznisových a technických požiadaviek ETL procesmi, ktoré zabezpečujú potrebnú kvalitu dát. </w:t>
      </w:r>
    </w:p>
    <w:p w14:paraId="5F8BFA9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Transformácia dát spracúvaného obdobia zo zdrojových štruktúr Primárnej stage do Discovery analytickej vrstvy prebieha najmä z dôvodu:</w:t>
      </w:r>
    </w:p>
    <w:p w14:paraId="18198F02"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Denormalizácie dát</w:t>
      </w:r>
    </w:p>
    <w:p w14:paraId="279007E2"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Dodatočných výpočtov</w:t>
      </w:r>
    </w:p>
    <w:p w14:paraId="5B8B3FDE"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Optimalizácie pre reporting (napr. materializácie výpočtov, ich joinov a agregácií)</w:t>
      </w:r>
    </w:p>
    <w:p w14:paraId="081E0E87"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Historizácie dát v Discovery vrstve podľa konkrétnej analytickej potreby</w:t>
      </w:r>
    </w:p>
    <w:p w14:paraId="0420139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Štatistické a analytické nástroje využívajú primárne dáta z tejto vrstvy na vytváranie analýz a reportov. </w:t>
      </w:r>
    </w:p>
    <w:p w14:paraId="5D9BF9FE"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DataLake Sandbox</w:t>
      </w:r>
    </w:p>
    <w:p w14:paraId="43D26E5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DataLake platforma by mala umožňovať dátovým vedcom vytváranie “sandboxov“ pre potreby importovania a manipulácie aj väčšieho množstva dát. Výhodou takýchto “sandboxov“ je možnosť spájania externých dát s dátami, ktoré sú dostupné v DataLake platforme bez nutnosti zapojenia IT. Platforma by mala poskytovať jednoduché rozhranie, ktoré by dátovým vedcom umožňovalo </w:t>
      </w:r>
      <w:r w:rsidRPr="00D42B04">
        <w:rPr>
          <w:rFonts w:ascii="Cambria" w:eastAsia="Calibri" w:hAnsi="Cambria" w:cs="Arial"/>
          <w:sz w:val="22"/>
          <w:szCs w:val="22"/>
        </w:rPr>
        <w:lastRenderedPageBreak/>
        <w:t>import externých dát v podobe súborov a možnosť nad takto importovanými súbormi vytvárať databázové tabuľky, poprípade používať tieto súbory pre účely analýz za použitia programovacích/štatistických jazykov. DataLake platforma by mala umožňovať  pri analyzovaní takto importovaných súborov využívať celkový výpočtový potenciál platformy.</w:t>
      </w:r>
    </w:p>
    <w:p w14:paraId="7ADF32F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Dáta v sandboxoch by mali byť logicky oddelené a nemali by byť súčasťou dát v Discovery vrstve.</w:t>
      </w:r>
    </w:p>
    <w:p w14:paraId="5FB29B72"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3" w:name="_Toc110518788"/>
      <w:r w:rsidRPr="00D42B04">
        <w:rPr>
          <w:rFonts w:ascii="Cambria" w:eastAsia="Yu Gothic Light" w:hAnsi="Cambria"/>
          <w:b/>
          <w:bCs/>
          <w:color w:val="2F5496"/>
          <w:szCs w:val="24"/>
        </w:rPr>
        <w:t>Informačná bezpečnosť</w:t>
      </w:r>
      <w:bookmarkEnd w:id="163"/>
    </w:p>
    <w:p w14:paraId="62025854"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Autentifikácia používateľov</w:t>
      </w:r>
    </w:p>
    <w:p w14:paraId="0F036848"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Systém musí zabezpečiť jednoznačné overenie používateľa pred akýmkoľvek prístupom. Požiadavky na autentifikáciu:</w:t>
      </w:r>
    </w:p>
    <w:p w14:paraId="10C45CDD"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Každý používateľ musí mať jedinečný prístupový identifikátor/užívateľské meno (UID)</w:t>
      </w:r>
    </w:p>
    <w:p w14:paraId="582B416E"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Autentifikácia sa bude riadiť autentifikačnými štandardami NBS, je nutné predpokladať, že bude použitá dvojfaktorová autentifikácia</w:t>
      </w:r>
    </w:p>
    <w:p w14:paraId="0E7A0D2E"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Každý užívateľ sa musí autentifikovať minimálne pomocou UID a hesla.</w:t>
      </w:r>
    </w:p>
    <w:p w14:paraId="7B58469E"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Heslá musia byť v systéme uložené tak aby boli nedešifrovateľné </w:t>
      </w:r>
    </w:p>
    <w:p w14:paraId="049A2259"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Systém by mal ponúkať možnosť napojenia na SSO riešenie</w:t>
      </w:r>
    </w:p>
    <w:p w14:paraId="2824690E" w14:textId="77777777" w:rsidR="00D42B04" w:rsidRPr="00D42B04" w:rsidRDefault="00D42B04" w:rsidP="00D42B04">
      <w:pPr>
        <w:spacing w:before="120" w:after="120" w:line="240" w:lineRule="atLeast"/>
        <w:ind w:left="720"/>
        <w:contextualSpacing/>
        <w:jc w:val="both"/>
        <w:rPr>
          <w:rFonts w:ascii="Cambria" w:eastAsia="Calibri" w:hAnsi="Cambria" w:cs="Arial"/>
          <w:sz w:val="22"/>
          <w:szCs w:val="22"/>
        </w:rPr>
      </w:pPr>
    </w:p>
    <w:p w14:paraId="17DF04D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Prístup k dátam</w:t>
      </w:r>
    </w:p>
    <w:p w14:paraId="61C8B1B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Systém musí poskytnúť možnosť na riadenie prístupov na všetkých úrovniach technickej architektúry. Aplikované postupy a princípy riadenia oprávnení používateľov budú zdokumentované v relevantnej dokumentácii riešenia.</w:t>
      </w:r>
    </w:p>
    <w:p w14:paraId="6B57D4D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Prístup k dátam musí byť definovateľný:</w:t>
      </w:r>
    </w:p>
    <w:p w14:paraId="238CF787"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 úrovni rolí jednotlivých používateľov minimálne pomocou riadenia prístupu k jednotlivým entitám dátového modelu pre analytické role.</w:t>
      </w:r>
    </w:p>
    <w:p w14:paraId="7200AB2A"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systéme sú identifikované nezlučiteľné role a oprávnenia. T. z. sú definované také role alebo oprávnenia, ktoré nemá mať pridelený jeden používateľ alebo správca.</w:t>
      </w:r>
    </w:p>
    <w:p w14:paraId="1EB36225"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k objektom. V rámci technického riešenia očakávame dve riešenia:</w:t>
      </w:r>
    </w:p>
    <w:p w14:paraId="62C8F0E4" w14:textId="77777777" w:rsidR="00D42B04" w:rsidRPr="00D42B04" w:rsidRDefault="00D42B04" w:rsidP="00D42B04">
      <w:pPr>
        <w:numPr>
          <w:ilvl w:val="1"/>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Security Framework pre relačnú časť - riadenie prístupu na úrovni DB objektov</w:t>
      </w:r>
    </w:p>
    <w:p w14:paraId="51CE57A8" w14:textId="77777777" w:rsidR="00D42B04" w:rsidRPr="00D42B04" w:rsidRDefault="00D42B04" w:rsidP="00D42B04">
      <w:pPr>
        <w:numPr>
          <w:ilvl w:val="2"/>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k záznamom (riadková bezpečnosť)</w:t>
      </w:r>
    </w:p>
    <w:p w14:paraId="7405B965" w14:textId="77777777" w:rsidR="00D42B04" w:rsidRPr="00D42B04" w:rsidRDefault="00D42B04" w:rsidP="00D42B04">
      <w:pPr>
        <w:numPr>
          <w:ilvl w:val="2"/>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k informačným typom (stĺpcová bezpečnosť) najmä z dôvodu zavedenia chránenia citlivých dát</w:t>
      </w:r>
    </w:p>
    <w:p w14:paraId="1AA65114" w14:textId="77777777" w:rsidR="00D42B04" w:rsidRPr="00D42B04" w:rsidRDefault="00D42B04" w:rsidP="00D42B04">
      <w:pPr>
        <w:numPr>
          <w:ilvl w:val="1"/>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DataLake nástroj pre možnosť granulárnej konfigurácie oprávnení pre adresáre a súbory uložené v HDFS z grafického rozhrania.</w:t>
      </w:r>
    </w:p>
    <w:p w14:paraId="798129A1" w14:textId="77777777" w:rsidR="00D42B04" w:rsidRPr="00D42B04" w:rsidRDefault="00D42B04" w:rsidP="00D42B04">
      <w:pPr>
        <w:numPr>
          <w:ilvl w:val="2"/>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 hľadiska riadenia prístupu k citlivým dátam uložených v DataLake bude vypracovaný v rámci bezpečnostného dokumentu postup ako modelovať „dátový model“ DataLake, aby spĺňal požiadavku ochrany citlivých dát.</w:t>
      </w:r>
    </w:p>
    <w:p w14:paraId="6B26FC9F"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Osobitné oddelenie manažmentu rolí a prideľovania oprávnení užívateľom</w:t>
      </w:r>
    </w:p>
    <w:p w14:paraId="51B658C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Pri komunikácii PowerBI reporting nástroja s Relačnou časťou DWH požadujeme, aby nástroj preberal nastavenia práv viditeľnosti dát z tejto časti DWH. Vytvorenie špeciálnej vrstvy v DWH len za účelom poskytnutia zabezpečenia dát sa nám javí ako nebezpečné, t. j. neúplné a netransparentné z pohľadu riadenia prístupu a viditeľnosti dát.</w:t>
      </w:r>
    </w:p>
    <w:p w14:paraId="5B7864E4"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Logovanie používateľských aktivít</w:t>
      </w:r>
    </w:p>
    <w:p w14:paraId="34C36B2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Systém musí zabezpečiť záznam všetkých používateľských aktivít ohľadne prístupu k dátam (databáza, DataLake). Zo záznamov by malo byť spätne identifikovateľné kto, kedy a k akým dátam pristupoval. Záznam by mal obsahovať minimálne:</w:t>
      </w:r>
    </w:p>
    <w:p w14:paraId="47F369D9"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Dátum a čas operácie</w:t>
      </w:r>
    </w:p>
    <w:p w14:paraId="60309521"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Identifikátor používateľa</w:t>
      </w:r>
    </w:p>
    <w:p w14:paraId="42D5F106"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Názov a adresa pracovnej stanice užívateľa</w:t>
      </w:r>
    </w:p>
    <w:p w14:paraId="248C4B72"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Vykonaná operácia a/alebo dátová požiadavka (napr. kópia SQL príkazu)</w:t>
      </w:r>
    </w:p>
    <w:p w14:paraId="35372D34"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Úspech/neúspech vykonanej operácie</w:t>
      </w:r>
    </w:p>
    <w:p w14:paraId="20CE071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Používateľské biznis frameworky musia zachytávať minimálne nasledovné udalosti:</w:t>
      </w:r>
    </w:p>
    <w:p w14:paraId="1AF31071" w14:textId="77777777" w:rsidR="00D42B04" w:rsidRPr="00D42B04" w:rsidRDefault="00D42B04" w:rsidP="00D42B04">
      <w:pPr>
        <w:numPr>
          <w:ilvl w:val="0"/>
          <w:numId w:val="8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Prihlásenie/odhlásenie užívateľa</w:t>
      </w:r>
    </w:p>
    <w:p w14:paraId="79CA8807" w14:textId="77777777" w:rsidR="00D42B04" w:rsidRPr="00D42B04" w:rsidRDefault="00D42B04" w:rsidP="00D42B04">
      <w:pPr>
        <w:numPr>
          <w:ilvl w:val="0"/>
          <w:numId w:val="8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Používateľský prístup k dátam</w:t>
      </w:r>
    </w:p>
    <w:p w14:paraId="69D17199" w14:textId="77777777" w:rsidR="00D42B04" w:rsidRPr="00D42B04" w:rsidRDefault="00D42B04" w:rsidP="00D42B04">
      <w:pPr>
        <w:numPr>
          <w:ilvl w:val="0"/>
          <w:numId w:val="8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Aktivita</w:t>
      </w:r>
    </w:p>
    <w:p w14:paraId="22FFDA9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Prístup k správe logov musí byť nasledovný:</w:t>
      </w:r>
    </w:p>
    <w:p w14:paraId="4C70BA4D"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logoch nie je možné ukladať citlivé informácie.</w:t>
      </w:r>
    </w:p>
    <w:p w14:paraId="1BA7FCB5"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Riadený prístup k logom systému (t. j. na základe prístupový práv)</w:t>
      </w:r>
    </w:p>
    <w:p w14:paraId="16967257" w14:textId="77777777" w:rsidR="00D42B04" w:rsidRPr="00D42B04" w:rsidRDefault="00D42B04" w:rsidP="00D42B04">
      <w:pPr>
        <w:numPr>
          <w:ilvl w:val="0"/>
          <w:numId w:val="7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Minimálne udalosti popísané hore musia byť propagovateľné cez API do bezpečnostného systému NBS, ktorým je SIEM. </w:t>
      </w:r>
    </w:p>
    <w:p w14:paraId="24AD2B21"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Návrh aplikačnej vrstvy</w:t>
      </w:r>
    </w:p>
    <w:p w14:paraId="225C5B5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Návrh aplikačnej vrstvy DWH musí spĺňať tieto požiadavky:</w:t>
      </w:r>
    </w:p>
    <w:p w14:paraId="4C281375"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Komponenty systému sú umiestnené on-premise, t. j. komponenty nesmú byť umiestnené v cloude.</w:t>
      </w:r>
    </w:p>
    <w:p w14:paraId="387F51F6"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Komponenty systému sú konfigurované v súlade s vhodným bezpečnostným štandardom (hardening), napr. CIS benchmark. Odchýlky od zvoleného štandardu musia byť zdokumentované a zdôvodnené.</w:t>
      </w:r>
    </w:p>
    <w:p w14:paraId="077817C6"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prípade realizácie bezpečnostného testovania poskytne uchádzať súčinnosť a odstráni na vlastné náklady identifikované zraniteľnosti.</w:t>
      </w:r>
    </w:p>
    <w:p w14:paraId="2534AC65"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Včasné nasadzovanie bezpečnostných opráv vydaných výrobcami jednotlivých komponentov systému, ktoré dodáva v rámci projektu uchádzač.</w:t>
      </w:r>
    </w:p>
    <w:p w14:paraId="70C671A2"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Systém umožní zálohovať konfiguráciu komponentov a údajov:</w:t>
      </w:r>
    </w:p>
    <w:p w14:paraId="080256FB" w14:textId="77777777" w:rsidR="00D42B04" w:rsidRPr="00D42B04" w:rsidRDefault="00D42B04" w:rsidP="00D42B04">
      <w:pPr>
        <w:numPr>
          <w:ilvl w:val="1"/>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Všetky metadáta a konfigurácie aplikačných frameworkov musia byť uložené v DWH databáze pre jednoduché (synchrónne) zálohovanie.</w:t>
      </w:r>
    </w:p>
    <w:p w14:paraId="5CCF89DD" w14:textId="77777777" w:rsidR="00D42B04" w:rsidRPr="00D42B04" w:rsidRDefault="00D42B04" w:rsidP="00D42B04">
      <w:pPr>
        <w:numPr>
          <w:ilvl w:val="1"/>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 niektoré konfigurácie sú uložené priamo v súborovom systéme serverov (napr. DataLake), toto uloženie musí byť jasne a presne zdokumentované.</w:t>
      </w:r>
    </w:p>
    <w:p w14:paraId="20E8C358"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Komunikácia používateľov aj správcov s komponentami systému musí byť realizovaná bezpečným komunikačným kanálom, t. j. komunikácia cez webové rozhranie, komunikácia "tučného" klienta, vzdialený prístup správcov do OS a pod.</w:t>
      </w:r>
    </w:p>
    <w:p w14:paraId="1C9ADB91"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Komunikácia samostatných komponentov systému musí byť realizovaná bezpečným komunikačným kanálom.</w:t>
      </w:r>
    </w:p>
    <w:p w14:paraId="7BE5FFEC"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Komunikácia systému s inými systémami (externými alebo internými, s databázou, mailovým serverom, doménovými radičmi a pod.) musí byť realizovaná bezpečným komunikačným kanálom.</w:t>
      </w:r>
    </w:p>
    <w:p w14:paraId="4197EE0E" w14:textId="77777777" w:rsidR="00D42B04" w:rsidRPr="00D42B04" w:rsidRDefault="00D42B04" w:rsidP="00D42B04">
      <w:pPr>
        <w:numPr>
          <w:ilvl w:val="0"/>
          <w:numId w:val="9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Použitie štandardov pre bezpečný vývoj.</w:t>
      </w:r>
    </w:p>
    <w:p w14:paraId="7C94698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4" w:name="_Toc110518789"/>
      <w:r w:rsidRPr="00D42B04">
        <w:rPr>
          <w:rFonts w:ascii="Cambria" w:eastAsia="Yu Gothic Light" w:hAnsi="Cambria"/>
          <w:b/>
          <w:bCs/>
          <w:color w:val="2F5496"/>
          <w:szCs w:val="24"/>
        </w:rPr>
        <w:t>Iniciálny load</w:t>
      </w:r>
      <w:bookmarkEnd w:id="164"/>
    </w:p>
    <w:p w14:paraId="64A11CB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každú tabuľku DWH v transakčnej vrstve bude zabezpečený tzv. „iniciálny load“ - prvotné nahratie kompletného obrazu dát zo zdrojového systému. To môže obsahovať aj historické položky číselníkov a kmeňových dát, ak existujú, prípadne historické transakcie a snímky, ak ich daný systém udržiava v produkčných tabuľkách (veľmi často teda ide napr. o historické transakcie - k nim musia byť dohraté aj relevantné referenčné a kmeňové dáta, aj keď dnes už nemusia byť aktívne - dlhopis, platobná karta, subjekt).</w:t>
      </w:r>
    </w:p>
    <w:p w14:paraId="13D8373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Zvyčajne sa nerekonštruujú historické stavy statických, resp. pomaly sa meniacich dát, ak tieto zmeny neobsahuje aj samotný zdrojový systém vo svojich základných zdrojových štruktúrach.</w:t>
      </w:r>
    </w:p>
    <w:p w14:paraId="68CBB197"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5" w:name="_Toc110518790"/>
      <w:r w:rsidRPr="00D42B04">
        <w:rPr>
          <w:rFonts w:ascii="Cambria" w:eastAsia="Yu Gothic Light" w:hAnsi="Cambria"/>
          <w:b/>
          <w:bCs/>
          <w:color w:val="2F5496"/>
          <w:szCs w:val="24"/>
        </w:rPr>
        <w:t>Migrácia dát z projektu Pilot DWH</w:t>
      </w:r>
      <w:bookmarkEnd w:id="165"/>
    </w:p>
    <w:p w14:paraId="6968E1E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Nie je vyžadovaná migrácie dát z riešenia Pilot DWH do nového riešenia.</w:t>
      </w:r>
    </w:p>
    <w:p w14:paraId="77AFDC12"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6" w:name="_Toc110518791"/>
      <w:r w:rsidRPr="00D42B04">
        <w:rPr>
          <w:rFonts w:ascii="Cambria" w:eastAsia="Yu Gothic Light" w:hAnsi="Cambria"/>
          <w:b/>
          <w:bCs/>
          <w:color w:val="2F5496"/>
          <w:szCs w:val="24"/>
        </w:rPr>
        <w:lastRenderedPageBreak/>
        <w:t>Metodika fyzického vývoja a inštalácie na produkciu</w:t>
      </w:r>
      <w:bookmarkEnd w:id="166"/>
    </w:p>
    <w:p w14:paraId="309A875D"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Z dôvodu zabezpečenia bezpečnej prevádzky a ochrany údajov v DWH budú požité na vývoj, testovanie a samotnú prevádzku 3 prostredia:</w:t>
      </w:r>
    </w:p>
    <w:p w14:paraId="3347D91F" w14:textId="77777777" w:rsidR="00D42B04" w:rsidRPr="00D42B04" w:rsidRDefault="00D42B04" w:rsidP="00D42B04">
      <w:pPr>
        <w:numPr>
          <w:ilvl w:val="0"/>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DEV – development prostredie, jeho charakteristiky:</w:t>
      </w:r>
    </w:p>
    <w:p w14:paraId="66614809"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málo dát, </w:t>
      </w:r>
    </w:p>
    <w:p w14:paraId="3D156FF0"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anonymizované, alebo vybratá reprezentatívna vzorka, ktorá ale neporušuje predpisy ochrany údajov</w:t>
      </w:r>
    </w:p>
    <w:p w14:paraId="7A742EE3"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vykonanie systém testov</w:t>
      </w:r>
    </w:p>
    <w:p w14:paraId="5637BF76" w14:textId="77777777" w:rsidR="00D42B04" w:rsidRPr="00D42B04" w:rsidRDefault="00D42B04" w:rsidP="00D42B04">
      <w:pPr>
        <w:numPr>
          <w:ilvl w:val="0"/>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TEST – testovacie prostredie, jeho charakteristiky:</w:t>
      </w:r>
    </w:p>
    <w:p w14:paraId="33B8FB98"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väčšie množstvo dát pre vykonanie určitých performance testov</w:t>
      </w:r>
    </w:p>
    <w:p w14:paraId="5A98B502"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vykonanie integračných testov</w:t>
      </w:r>
    </w:p>
    <w:p w14:paraId="2F64EFCF"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úvodné UAT testy biznis používateľov</w:t>
      </w:r>
    </w:p>
    <w:p w14:paraId="4E50A91F" w14:textId="77777777" w:rsidR="00D42B04" w:rsidRPr="00D42B04" w:rsidRDefault="00D42B04" w:rsidP="00D42B04">
      <w:pPr>
        <w:numPr>
          <w:ilvl w:val="0"/>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PROD – produkčné prostredie</w:t>
      </w:r>
    </w:p>
    <w:p w14:paraId="0774EAB3"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záverečné UAT testy biznis používateľov</w:t>
      </w:r>
    </w:p>
    <w:p w14:paraId="2B5C7FBD" w14:textId="77777777" w:rsidR="00D42B04" w:rsidRPr="00D42B04" w:rsidRDefault="00D42B04" w:rsidP="00D42B04">
      <w:pPr>
        <w:numPr>
          <w:ilvl w:val="1"/>
          <w:numId w:val="8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bežná prevádzka</w:t>
      </w:r>
    </w:p>
    <w:p w14:paraId="169D3DA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Vývoj bude prebiehať v nasledujúcom predpise:</w:t>
      </w:r>
    </w:p>
    <w:p w14:paraId="295391F4"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DEV prostredie je plne R/W. Vývoj bude prebiehať pre ETL/Workflow len nastavením metadát. Nie je dovolené používať PL/SQL procedúry pre ETL úlohy. Všetky aplikačné PL/SQL procedúry musia byť uložené ako metadáta (anonymné bloky) vo workflow frameworku, kde majú svoju historickú verziu a metadáta dôvodu vzniku.</w:t>
      </w:r>
    </w:p>
    <w:p w14:paraId="06130666"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TEST prostredie je plne R/W ale v koordinácii s DEV. Prostredia musia byť synchronizované pravidelne na metadátovej úrovni. ETL/Workflow, ktorý je vo vývoji bude mať metaznačku.</w:t>
      </w:r>
    </w:p>
    <w:p w14:paraId="22E938D8"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PROD prostredie je čisté R/O prostredie pre metadáta. Prenos z TEST do PROD sa vykoná cez inštalačný balíček. Zápis do metadát ETL/Workflow je možný len počas riešenia produkčného incidentu 1. stupňa (hot fix). Pri iných riešeniach incidentov bude použitý štandardný postup DEV-&gt;TEST-&gt;PROD.</w:t>
      </w:r>
    </w:p>
    <w:p w14:paraId="68367C6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Pri fyzickej inštalácii jednotlivých častí diela požadujeme dodržať:</w:t>
      </w:r>
    </w:p>
    <w:p w14:paraId="0D4E5AC6" w14:textId="77777777" w:rsidR="00D42B04" w:rsidRPr="00D42B04" w:rsidRDefault="00D42B04" w:rsidP="00D42B04">
      <w:pPr>
        <w:numPr>
          <w:ilvl w:val="0"/>
          <w:numId w:val="86"/>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 xml:space="preserve">Všetky dodané UI budú podporovať </w:t>
      </w:r>
      <w:r w:rsidRPr="00D42B04">
        <w:rPr>
          <w:rFonts w:ascii="Cambria" w:eastAsia="Yu Mincho" w:hAnsi="Cambria" w:cs="Arial"/>
          <w:sz w:val="22"/>
          <w:szCs w:val="22"/>
        </w:rPr>
        <w:t>prehliadač Chrome, ktorý je štandardom v NBS prostredí. Okrem výnimiek popísaných nižšie.</w:t>
      </w:r>
    </w:p>
    <w:p w14:paraId="11FD26FD" w14:textId="77777777" w:rsidR="00D42B04" w:rsidRPr="00D42B04" w:rsidRDefault="00D42B04" w:rsidP="00D42B04">
      <w:pPr>
        <w:numPr>
          <w:ilvl w:val="0"/>
          <w:numId w:val="86"/>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Všetky metadáta frameworkov budú uložené v DWH relačnej časti. Okrem presne dohodnutých a NBS vopred odsúhlasených oblastí (napr. pre DataLake, ale aj tu požadujeme dohodu a preferujeme použiť DWH relačnú časť pred iným riešeniami). Názvoslovie technických používateľov dodá NBS.</w:t>
      </w:r>
    </w:p>
    <w:p w14:paraId="37CD6F35"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Fyzická implementácia bude na HW a SW ako je popísaný vyššie (popis je vo Fyzickej infraštruktúre).</w:t>
      </w:r>
    </w:p>
    <w:p w14:paraId="5F30200A"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inštaláciu riešenia nebude potrebný Admin alebo Root alebo iný super používateľ. Okrem presne striktne vopred dohodnutých postupov, ktoré musia byť vopred (čiže na začiatku projektu) oznámené, spísané v dokumentácii a NBS schválené.</w:t>
      </w:r>
    </w:p>
    <w:p w14:paraId="544A0D07"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7" w:name="_Toc110518792"/>
      <w:r w:rsidRPr="00D42B04">
        <w:rPr>
          <w:rFonts w:ascii="Cambria" w:eastAsia="Yu Gothic Light" w:hAnsi="Cambria"/>
          <w:b/>
          <w:bCs/>
          <w:color w:val="2F5496"/>
          <w:szCs w:val="24"/>
        </w:rPr>
        <w:t>Nástroje na podporu prevádzky</w:t>
      </w:r>
      <w:bookmarkEnd w:id="167"/>
    </w:p>
    <w:p w14:paraId="37E2A6E0"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Súčasťou dodávky budú aj aplikácie a nástroje na podporu prevádzky DWH, novo vznikajúcich procesov a zjednodušenie/sprehľadnenie práce odborných používateľov. Najmä požadujeme adresovať tieto oblasti či procesy:</w:t>
      </w:r>
    </w:p>
    <w:p w14:paraId="0D28B758"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Podporu správy, riadenia a monitoring aktualizačných úloh (Workflow Management – Data Orchestration).</w:t>
      </w:r>
    </w:p>
    <w:p w14:paraId="6E0E67E2"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číselníkov, mostíkov, referenčných dát,  hierarchií jednotlivých dimenzií a manuálnych vstupov.</w:t>
      </w:r>
    </w:p>
    <w:p w14:paraId="39B43CCB"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Bezpečné nahrávanie veľkého počtu a rôznych súborov, t. j. všetky a práve raz (Ingestion framework).</w:t>
      </w:r>
    </w:p>
    <w:p w14:paraId="528CFC9B"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Správa dátovej kvality - automatické spúšťanie a vyhodnocovanie testov.</w:t>
      </w:r>
    </w:p>
    <w:p w14:paraId="05C39D61"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prístupov (riadenie bezpečnosti) k dátam.</w:t>
      </w:r>
    </w:p>
    <w:p w14:paraId="3C794843"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dokumentácie k DWH a iných metadát (o modeli, o reportoch, mapovaní zdroj-cieľ).</w:t>
      </w:r>
    </w:p>
    <w:p w14:paraId="13D60AC2" w14:textId="77777777" w:rsidR="00D42B04" w:rsidRPr="00D42B04" w:rsidRDefault="00D42B04" w:rsidP="00D42B04">
      <w:pPr>
        <w:numPr>
          <w:ilvl w:val="0"/>
          <w:numId w:val="8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dátovej retencie.</w:t>
      </w:r>
    </w:p>
    <w:p w14:paraId="156774D8"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Tieto nástroje budú dodané a nasadené v kontextu implementácie platforiem DataLake a DWH, ale rozsah ich využitia by nemal byť v budúcnosti obmedzený iba na tieto platformy. Tieto nástroje by mali byť schopné aplikovať potrebné koncepty a procesy aj v rámci ďalších systémov NBS.</w:t>
      </w:r>
    </w:p>
    <w:p w14:paraId="3CFA371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Workflow Management – Data Orchestration</w:t>
      </w:r>
    </w:p>
    <w:p w14:paraId="661F74A5"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Kvalitné riadenie a správa aktualizácie dátového skladu je jedným z kritických ukazovateľov úspešnosti implementácie dátového skladu. Len aktualizácia, ktorá dáva presný obraz o svojom behu dáva dôveru biznis používateľovi, že dáta uložené v dátovom sklade sú korektné a pripravené spracovanie v reportoch. Preto takýto framework musí umožňovať:</w:t>
      </w:r>
    </w:p>
    <w:p w14:paraId="5FCAC63D"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Nastavenie kalendára a času spustenia jednotlivých úloh</w:t>
      </w:r>
    </w:p>
    <w:p w14:paraId="01240C5F"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Riadenie závislostí (dynamické zapínanie a vypínanie)</w:t>
      </w:r>
    </w:p>
    <w:p w14:paraId="5EFB55CD"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 xml:space="preserve">Error handling – znovu spustenie, nastavenie chybovej vetvy behu </w:t>
      </w:r>
    </w:p>
    <w:p w14:paraId="6B1789A4"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Manuálne spustenie úlohy</w:t>
      </w:r>
    </w:p>
    <w:p w14:paraId="01083AAA"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Nastavenie cyklického spracovania dát</w:t>
      </w:r>
    </w:p>
    <w:p w14:paraId="33BF3665"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Riadenie heterogénneho prostredia, t. j. ako relačnej časti DWH, tak aj DataLake časti</w:t>
      </w:r>
    </w:p>
    <w:p w14:paraId="499681BB"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Logovanie behu úloh</w:t>
      </w:r>
    </w:p>
    <w:p w14:paraId="2DFBBB63"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Analytiku nad logmi behov jednotlivých úloh</w:t>
      </w:r>
    </w:p>
    <w:p w14:paraId="2D509C08"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Nastavenie používateľských práv a prístupov</w:t>
      </w:r>
    </w:p>
    <w:p w14:paraId="087EBB4C"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Riadenie prístupu do aplikácie cez login modul napojeného na NBS LDAP/AD.</w:t>
      </w:r>
    </w:p>
    <w:p w14:paraId="00E404AA" w14:textId="77777777" w:rsidR="00D42B04" w:rsidRPr="00D42B04" w:rsidRDefault="00D42B04" w:rsidP="00D42B04">
      <w:pPr>
        <w:spacing w:before="120" w:after="120" w:line="240" w:lineRule="atLeast"/>
        <w:ind w:left="720" w:hanging="360"/>
        <w:contextualSpacing/>
        <w:jc w:val="both"/>
        <w:rPr>
          <w:rFonts w:ascii="Cambria" w:eastAsia="Yu Mincho" w:hAnsi="Cambria" w:cs="Arial"/>
          <w:sz w:val="22"/>
          <w:szCs w:val="22"/>
        </w:rPr>
      </w:pPr>
      <w:r w:rsidRPr="00D42B04">
        <w:rPr>
          <w:rFonts w:ascii="Cambria" w:eastAsia="Yu Mincho" w:hAnsi="Cambria" w:cs="Arial"/>
          <w:sz w:val="22"/>
          <w:szCs w:val="22"/>
        </w:rPr>
        <w:t>Webové rozhranie použiteľne v prehliadači Chrome, ktorý je štandardom v NBS prostredí. Editor metadát môže byť riešený ako inštalovaná aplikácia vo MS Windows 10 prostredí.</w:t>
      </w:r>
    </w:p>
    <w:p w14:paraId="4693AE1F" w14:textId="77777777" w:rsidR="00D42B04" w:rsidRPr="00D42B04" w:rsidRDefault="00D42B04" w:rsidP="00D42B04">
      <w:pPr>
        <w:spacing w:before="120" w:after="120" w:line="240" w:lineRule="atLeast"/>
        <w:ind w:left="720" w:hanging="360"/>
        <w:contextualSpacing/>
        <w:jc w:val="both"/>
        <w:rPr>
          <w:rFonts w:ascii="Cambria" w:eastAsia="Yu Mincho" w:hAnsi="Cambria" w:cs="Arial"/>
          <w:sz w:val="22"/>
          <w:szCs w:val="22"/>
        </w:rPr>
      </w:pPr>
      <w:r w:rsidRPr="00D42B04">
        <w:rPr>
          <w:rFonts w:ascii="Cambria" w:eastAsia="Yu Mincho" w:hAnsi="Cambria" w:cs="Arial"/>
          <w:sz w:val="22"/>
          <w:szCs w:val="22"/>
        </w:rPr>
        <w:t>Všetky metadáta uložené v databáze s prehľadným API</w:t>
      </w:r>
    </w:p>
    <w:p w14:paraId="2A8BB63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je možné rozdeliť do viacerých logických celkov:</w:t>
      </w:r>
    </w:p>
    <w:p w14:paraId="4CDAA1A4" w14:textId="77777777" w:rsidR="00D42B04" w:rsidRPr="00D42B04" w:rsidRDefault="00D42B04" w:rsidP="00D42B04">
      <w:pPr>
        <w:numPr>
          <w:ilvl w:val="0"/>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Požiadavky na editovanie metadát schedullera/workflow manažéra:</w:t>
      </w:r>
    </w:p>
    <w:p w14:paraId="7A77F0DC"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Vytváranie/Vymazávanie úloh</w:t>
      </w:r>
    </w:p>
    <w:p w14:paraId="6660116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Prioritizácia úloh</w:t>
      </w:r>
    </w:p>
    <w:p w14:paraId="0E892C7C"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Rozdelenie úloh do vertikálnych a horizontálnych skupín, presun existujúcej úlohy medzi skupinami, možnosť riadenia skupín samostatne</w:t>
      </w:r>
    </w:p>
    <w:p w14:paraId="3F7C5921"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definovania parametru pre maximálny paralelný beh jednotlivých úloh v rámci skupiny</w:t>
      </w:r>
    </w:p>
    <w:p w14:paraId="207416CA"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Rozdelenie úloh na automaticky spúšťané podľa kalendára, manuálne spúšťané, alebo automaticky v definovaných cykloch</w:t>
      </w:r>
    </w:p>
    <w:p w14:paraId="209B0805"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Definovanie závislostí medzi úlohami v heterogénnom prostredí (PL/SQL, ODI, JAVA, WebService, ShellScript a iné)</w:t>
      </w:r>
    </w:p>
    <w:p w14:paraId="768F69FA"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definovania závislosti aj medzi úlohami v rôznych skupinách</w:t>
      </w:r>
    </w:p>
    <w:p w14:paraId="76E18491"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zapínať a vypínať jednotlivé skupiny (zaradenie a vyradenie z denného behu).</w:t>
      </w:r>
    </w:p>
    <w:p w14:paraId="44A7AC7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definovania anonymného bloku SQL namiesto zavolania externej úlohy</w:t>
      </w:r>
    </w:p>
    <w:p w14:paraId="6F90C39F"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Definovanie kalendára</w:t>
      </w:r>
    </w:p>
    <w:p w14:paraId="1FAD9BE8"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Vyhľadávanie v metadátach (Fulltext, podľa definovaných polí) a vložených anonymných blokov SQL</w:t>
      </w:r>
    </w:p>
    <w:p w14:paraId="6242D18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Verzionovanie zmien, vyhľadávanie v zmenách, porovnanie verzií a detailné zobrazenie rozdielov</w:t>
      </w:r>
    </w:p>
    <w:p w14:paraId="386DBF87"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Logovanie používateľských aktivít</w:t>
      </w:r>
    </w:p>
    <w:p w14:paraId="65596573"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Nastavenie prístupových práv používateľov pre právo tvorby metadát podľa vertikálnych a horizontálnych skupín, t. j. môže existovať používateľ, ktorý má len právo čítať všetky metadáta</w:t>
      </w:r>
    </w:p>
    <w:p w14:paraId="3195CA97"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Podpora spolupráce medzi používateľmi:</w:t>
      </w:r>
    </w:p>
    <w:p w14:paraId="5A89C637"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Check-in/check-out metóda (nutnosť riešiť problematiku hraničného prípadu nečakaného pádu aplikácie a automatického check-out po stanovenej časovej hranici – napr. 4 hodiny nečinnosti).</w:t>
      </w:r>
    </w:p>
    <w:p w14:paraId="72861122"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iný používatelia uvidia v GUI, že daný uzol ETL je v režime check-in (uzamknutý)</w:t>
      </w:r>
    </w:p>
    <w:p w14:paraId="1C4C276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vkladanie poznámok</w:t>
      </w:r>
    </w:p>
    <w:p w14:paraId="30919E53"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Vkladanie metadát pomocou predpripravených šablón. T. j. pri vkladaní uzla úlohy do stromu závislostí úloh sa napríklad:</w:t>
      </w:r>
    </w:p>
    <w:p w14:paraId="5D739730"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automaticky vytvoria podúlohy na riadenie chybových stavov pre reštart a samoopravu preddefinovaných chybových stavov</w:t>
      </w:r>
    </w:p>
    <w:p w14:paraId="367BFFC1"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rôzne typy úloh (ODI, SQL, Ozee, Nifi, ...) sú povinné iné nastavenia, ktoré definuje šablóna</w:t>
      </w:r>
    </w:p>
    <w:p w14:paraId="4E0F577E"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možnosť doplnenia šablóny (pridať ďalšiu funkcionalitu vkladania uzla do stromu závislostí) prostredníctvom plugin, t. j. bez nutnosti novej verzie aplikácie (GUI)  </w:t>
      </w:r>
    </w:p>
    <w:p w14:paraId="3D9C6872"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Základný monitoring behu úlohy:</w:t>
      </w:r>
    </w:p>
    <w:p w14:paraId="345FB7EE"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Prehľad logu behu, vyhľadávanie v správach, filtrovanie len chybových správ</w:t>
      </w:r>
    </w:p>
    <w:p w14:paraId="571FE91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Stav predchodcov – analýza zisťovania, prečo sa úloha ešte nespustila</w:t>
      </w:r>
    </w:p>
    <w:p w14:paraId="7E3F24EC"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Reporting konzumácie pamäťových častí servera – TEMP, PGA</w:t>
      </w:r>
    </w:p>
    <w:p w14:paraId="577869B2"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 je úloha volaná do ODI agenta, tak editor by mal mať možnosť zobraziť  metadáta ODI (aj cez verzie) a tiež generovaný SQL skript systémom ODI na kontrolu kvality skriptov</w:t>
      </w:r>
    </w:p>
    <w:p w14:paraId="417BA429"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Základné vlastnosti uzla úlohy:</w:t>
      </w:r>
    </w:p>
    <w:p w14:paraId="3F559236"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Id, meno</w:t>
      </w:r>
    </w:p>
    <w:p w14:paraId="50D6E8E0"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Typ úlohy (SQL, PL/SQL, UNIX shell script, JAVA volanie, ODI volanie, WebService volanie)</w:t>
      </w:r>
    </w:p>
    <w:p w14:paraId="5FB0A93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Čas spustenia – ak nie je zadaný, spustí hneď ako sú splnené závislosti</w:t>
      </w:r>
    </w:p>
    <w:p w14:paraId="1759C7DB"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Čas pozdržania pri chybe pre vyskúšanie samoobnovy. Ak je definovaná chybová vetva spustenia, tá sa spustí okamžite. Tento parameter sa ignoruje</w:t>
      </w:r>
    </w:p>
    <w:p w14:paraId="6A54DA99"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Parametre uzla – context spustenia (vstupy pre ODI, bankový deň, prostredie, používateľ)</w:t>
      </w:r>
    </w:p>
    <w:p w14:paraId="545308B5"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Závislosti na predchodcov a nasledovníkov</w:t>
      </w:r>
    </w:p>
    <w:p w14:paraId="1081DB87"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32kB freetext pre skript</w:t>
      </w:r>
    </w:p>
    <w:p w14:paraId="60CF805D"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pre editovanie metadát by malo jednotlivé uzly ETL procesu vedieť zobraziť ako stromovú štruktúru (podobne ako súborový prehliadač v MS Windows):</w:t>
      </w:r>
    </w:p>
    <w:p w14:paraId="137C6414"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podľa vertikálnych a horizontálnych skupín</w:t>
      </w:r>
    </w:p>
    <w:p w14:paraId="26180326"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závislostí a vedieť sa v závislostiach pohybovať cez prelinky (predchodcovia, nasledovníci)</w:t>
      </w:r>
    </w:p>
    <w:p w14:paraId="023D7EE8"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zobrazenia viacerých editačných okien pre viacero uzlov naraz</w:t>
      </w:r>
    </w:p>
    <w:p w14:paraId="0C3A434E"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hromadného zavretia nepotrebných okien</w:t>
      </w:r>
    </w:p>
    <w:p w14:paraId="3234C395" w14:textId="77777777" w:rsidR="00D42B04" w:rsidRPr="00D42B04" w:rsidRDefault="00D42B04" w:rsidP="00D42B04">
      <w:pPr>
        <w:numPr>
          <w:ilvl w:val="0"/>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Požiadavky pre RunTime časť:</w:t>
      </w:r>
    </w:p>
    <w:p w14:paraId="2D3FF719"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Automatická príprava default kalendára (ak neexistuje konkrétny pre daný deň) a plánu spustenia úloh, t. j. RunTime vytvorí dennú kópiu metadát, ktoré bude postupne spúšťať</w:t>
      </w:r>
    </w:p>
    <w:p w14:paraId="09F74BB8"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RunTime časť by mala používať DBMS_SCHEDULER balíček DWH relačnej časti a to z dôvodu riešenia hraničných stavov počas pádu celej databázy a transparentného nábehu.</w:t>
      </w:r>
    </w:p>
    <w:p w14:paraId="6F209491"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Spúšťanie úloh podľa kalendára, závislostí a stavov (zaradenie a vyradenie) ich skupín. Úloha sa môže pustiť len práve raz a včas.</w:t>
      </w:r>
    </w:p>
    <w:p w14:paraId="4FF06224"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Automatická reštartovateľnosť úlohy pri definovanej chybe</w:t>
      </w:r>
    </w:p>
    <w:p w14:paraId="53F1F10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Automatická prioritizácia úloh podľa výsledku behu</w:t>
      </w:r>
    </w:p>
    <w:p w14:paraId="03B91767"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Úlohy, ktoré nemajú definovaný presný čas spustenia, sa spustia okamžite po dobehnutí všetkých jej predchodcov.</w:t>
      </w:r>
    </w:p>
    <w:p w14:paraId="6EC38D2D"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Cyklická úloha ak náhodou bežala dlhšie ako bol definovaný čas dĺžky cyklického samospustenia, sa spustí okamžite ako skončí. Za predpokladu, že nemá iné závislosti.</w:t>
      </w:r>
    </w:p>
    <w:p w14:paraId="5F0BF17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Logovanie behu</w:t>
      </w:r>
    </w:p>
    <w:p w14:paraId="683BD885"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Manažment Runtimu nesmie zaťažovať server nadmiernou aktivitou. Toto bude overené cez AWR reporting.</w:t>
      </w:r>
    </w:p>
    <w:p w14:paraId="5AEE422D"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Manažment Runtimu nesmie vykazovať v relačnej časti DWH žiadne LATCH, alebo DEAD LOCK. Zamykanie metadát musí byť maximálne na úrovni 1% behu všetkých úloh. Bude merané cez AWR reporting.</w:t>
      </w:r>
    </w:p>
    <w:p w14:paraId="016DACB7" w14:textId="77777777" w:rsidR="00D42B04" w:rsidRPr="00D42B04" w:rsidRDefault="00D42B04" w:rsidP="00D42B04">
      <w:pPr>
        <w:keepNext/>
        <w:numPr>
          <w:ilvl w:val="0"/>
          <w:numId w:val="81"/>
        </w:numPr>
        <w:spacing w:before="120" w:after="120" w:line="240" w:lineRule="atLeast"/>
        <w:ind w:left="714" w:hanging="357"/>
        <w:contextualSpacing/>
        <w:jc w:val="both"/>
        <w:rPr>
          <w:rFonts w:ascii="Cambria" w:eastAsia="Calibri" w:hAnsi="Cambria" w:cs="Arial"/>
          <w:sz w:val="22"/>
          <w:szCs w:val="22"/>
        </w:rPr>
      </w:pPr>
      <w:r w:rsidRPr="00D42B04">
        <w:rPr>
          <w:rFonts w:ascii="Cambria" w:eastAsia="Calibri" w:hAnsi="Cambria" w:cs="Arial"/>
          <w:sz w:val="22"/>
          <w:szCs w:val="22"/>
        </w:rPr>
        <w:t>Požiadavky pre sledovanie, kontrolu a riadenie behu (monitoring):</w:t>
      </w:r>
    </w:p>
    <w:p w14:paraId="67879F53"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podporujúci admin konzolu pre bežný dohľad - Celkový pohľad na end-to-end spracovanie z jedného miesta</w:t>
      </w:r>
    </w:p>
    <w:p w14:paraId="58F831D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Sledovanie stavu behu ETL:</w:t>
      </w:r>
    </w:p>
    <w:p w14:paraId="449D89C8"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 najvyššej úrovni v near-online režime (+/- 5 minút)</w:t>
      </w:r>
    </w:p>
    <w:p w14:paraId="6ABB94B8"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stav kontrolných bodov (počet úloh do dosiahnutie cieľa; percento spracovania; linka na úlohu, ktorá blokuje beh);</w:t>
      </w:r>
    </w:p>
    <w:p w14:paraId="39455998"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celkový pohľad na stav skupiny úloh</w:t>
      </w:r>
    </w:p>
    <w:p w14:paraId="348AF4A3"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počet aktuálne chybných úloh</w:t>
      </w:r>
    </w:p>
    <w:p w14:paraId="51D7D194"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zoznam posledných 10 úloh, ktoré boli v chybe</w:t>
      </w:r>
    </w:p>
    <w:p w14:paraId="5F8FF5BA"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kontrola behu podľa tradičného (vážená snímka minulosti) behu</w:t>
      </w:r>
    </w:p>
    <w:p w14:paraId="30D2CE0B"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Grafy a reporty s podporou drill-down na detailné zobrazenia.</w:t>
      </w:r>
    </w:p>
    <w:p w14:paraId="22373DE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Detailný pohľad na stav úlohy v reálnom režime s funkcionalitou:</w:t>
      </w:r>
    </w:p>
    <w:p w14:paraId="3C4FCDAB"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Pozastaviť úlohu</w:t>
      </w:r>
    </w:p>
    <w:p w14:paraId="5C91FCC6"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Znovu spustiť</w:t>
      </w:r>
    </w:p>
    <w:p w14:paraId="679B2818"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Úplne zastaviť</w:t>
      </w:r>
    </w:p>
    <w:p w14:paraId="465E1DB3"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Zrušiť beh – t. j. strom nasledujúcich úloh sa rozbehne ako keby úloha dobehla korektne</w:t>
      </w:r>
    </w:p>
    <w:p w14:paraId="23A634F8"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Dátum čas spustenia, ukončenia úlohy</w:t>
      </w:r>
    </w:p>
    <w:p w14:paraId="3A4AD8D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Detail ETL úloh:</w:t>
      </w:r>
    </w:p>
    <w:p w14:paraId="646EC77D"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Sledovanie logu a kódu, ktorý zbehne/zbiehal (SQL, ODI, OOZEE, ...)</w:t>
      </w:r>
    </w:p>
    <w:p w14:paraId="08E7F682"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Nastavenia úlohy – tradičný čas behu, v akej skupine sa úloha nachádza a podobne.</w:t>
      </w:r>
    </w:p>
    <w:p w14:paraId="45E88283"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Prechádzať na nasledujúcu/predchádzajúcu úlohu</w:t>
      </w:r>
    </w:p>
    <w:p w14:paraId="03E3B8A8"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Zobrazenie kritickej cesty pre zvolenú úlohu a zvolený deň spracovania so zobrazením časov behu aktualizácie, dĺžky jednotlivých úloh a meškaní (predbiehaní) oproti tradičnému behu.</w:t>
      </w:r>
    </w:p>
    <w:p w14:paraId="522FA912"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pre manuálny štart neautomatizovaných úloh s možnosťou zadania parametrov</w:t>
      </w:r>
    </w:p>
    <w:p w14:paraId="0975FF8B"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Analýza štatistík o spúšťaní jednotlivých úloh v histórii až 180 dní v dvoch grafoch:</w:t>
      </w:r>
    </w:p>
    <w:p w14:paraId="0ED92F79"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Časy spustenia a dokončenia úlohy s porovnaním na tradičný beh. Ak úloha sa reštartovala z dôvodu chybového stavu je zobrazený minimálny čas spustenia a maximálny čas dobehnutia.</w:t>
      </w:r>
    </w:p>
    <w:p w14:paraId="3CFEDC5F" w14:textId="77777777" w:rsidR="00D42B04" w:rsidRPr="00D42B04" w:rsidRDefault="00D42B04" w:rsidP="00D42B04">
      <w:pPr>
        <w:numPr>
          <w:ilvl w:val="3"/>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Dĺžka behu úlohy s porovnaním na tradičný beh. Ak úloha sa reštartovala z dôvodu chybového stavu je zobrazený len posledný úspešný beh.</w:t>
      </w:r>
    </w:p>
    <w:p w14:paraId="1858F0D2"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Analýza dohodnutej SLA o dobehnutí ETL úloh</w:t>
      </w:r>
    </w:p>
    <w:p w14:paraId="271B66A2"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podporujúci zjednodušenú konzolu pre kontrolný dohľad, napr. vybraným biznisovým používateľom</w:t>
      </w:r>
    </w:p>
    <w:p w14:paraId="613D0D1F"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Manuálna reštartovateľnosť úloh v prípade poruchy – schopnosť nadviazať na už vykonané úlohy</w:t>
      </w:r>
    </w:p>
    <w:p w14:paraId="7E2D47E8"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GUI pre spustenie výpočtu tradičného (vážená snímka minulosti) behu</w:t>
      </w:r>
    </w:p>
    <w:p w14:paraId="2A2C93D5"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Notifikácie (e-mail) v prípade dobehnutia alebo chybových stavov spracovania</w:t>
      </w:r>
    </w:p>
    <w:p w14:paraId="0B30124C"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Definovanie kontrolných bodov a reporting na sledovanie dosiahnuteľnosti týchto kontrolných bodov:</w:t>
      </w:r>
    </w:p>
    <w:p w14:paraId="4E3A9EC3"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Počet úloh, ktoré musia zbehnúť v tomto behu na dosiahnutie kontrolného bodu</w:t>
      </w:r>
    </w:p>
    <w:p w14:paraId="39E97EAC"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Predpokladaný čas na dosiahnutie kontrolného bodu</w:t>
      </w:r>
    </w:p>
    <w:p w14:paraId="4DAD7289"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Tradičný čas na dosiahnutie kontrolného bodu</w:t>
      </w:r>
    </w:p>
    <w:p w14:paraId="120FDABF"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Indikátor (smerník) na úlohu, ktorá práve blokuje dosiahnutie kontrolného bodu</w:t>
      </w:r>
    </w:p>
    <w:p w14:paraId="05479739" w14:textId="77777777" w:rsidR="00D42B04" w:rsidRPr="00D42B04" w:rsidRDefault="00D42B04" w:rsidP="00D42B04">
      <w:pPr>
        <w:numPr>
          <w:ilvl w:val="2"/>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Graf času dosiahnutia kontrolného bodu v histórii až 180 dní</w:t>
      </w:r>
    </w:p>
    <w:p w14:paraId="26812446" w14:textId="77777777" w:rsidR="00D42B04" w:rsidRPr="00D42B04" w:rsidRDefault="00D42B04" w:rsidP="00D42B04">
      <w:pPr>
        <w:numPr>
          <w:ilvl w:val="0"/>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procedúry pre logovanie a samotné logovacie tabuľky:</w:t>
      </w:r>
    </w:p>
    <w:p w14:paraId="43595E9B"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Popísané API na jednotné logovanie</w:t>
      </w:r>
    </w:p>
    <w:p w14:paraId="568F3D98"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Integrované API (VIEW) pre čítanie ODI logov</w:t>
      </w:r>
    </w:p>
    <w:p w14:paraId="503ACF87" w14:textId="77777777" w:rsidR="00D42B04" w:rsidRPr="00D42B04" w:rsidRDefault="00D42B04" w:rsidP="00D42B04">
      <w:pPr>
        <w:numPr>
          <w:ilvl w:val="1"/>
          <w:numId w:val="8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Existencia API pre zasielanie informácií do centrálneho monitoringu IT prostredia (položky ako v bode 3.g. bez grafu)</w:t>
      </w:r>
    </w:p>
    <w:p w14:paraId="7B3849AD" w14:textId="77777777" w:rsidR="00D42B04" w:rsidRPr="00D42B04" w:rsidRDefault="00D42B04" w:rsidP="00D42B04">
      <w:pPr>
        <w:spacing w:before="120" w:after="120"/>
        <w:jc w:val="both"/>
        <w:rPr>
          <w:rFonts w:ascii="Cambria" w:eastAsia="Calibri" w:hAnsi="Cambria" w:cs="Arial"/>
          <w:sz w:val="22"/>
          <w:szCs w:val="22"/>
          <w:highlight w:val="green"/>
        </w:rPr>
      </w:pPr>
      <w:r w:rsidRPr="00D42B04">
        <w:rPr>
          <w:rFonts w:ascii="Cambria" w:eastAsia="Calibri" w:hAnsi="Cambria" w:cs="Arial"/>
          <w:sz w:val="22"/>
          <w:szCs w:val="22"/>
        </w:rPr>
        <w:t>Riadenie spracovania dát v prostredí NBS bude riešené jedným spoločným nástrojom, ktorý bude dostatočne technologicky zdatný dizajnovať, spúšťať a administrovať tok spracovania cez rôzne technické platformy. Táto požiadavka zabezpečí, že jednotlivé kroky dátového spracovania bude možné vykonávať na rozdielnych platformách, čo bude mať za dôsledok efektívnejšiu správu zdrojov nad platformami.</w:t>
      </w:r>
    </w:p>
    <w:p w14:paraId="396F77AC"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Správu číselníkov, mostíkov, referenčných dát a hierarchií</w:t>
      </w:r>
    </w:p>
    <w:p w14:paraId="044EC4D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klasifikáciu údajov v DWH/BI je možné vychádzať z číselníkov a klasifikácií, ktoré sú poskytované zdrojovými systémami ako súčasť jeho natívneho dátového modelu.</w:t>
      </w:r>
    </w:p>
    <w:p w14:paraId="5CE2779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Pre reporting však vznikajú aj požiadavky na triedenie dát podľa odvodených charakteristík, prípadne unifikovaných klasifikácií, ktorých kódovníky nie sú v zdrojových systémoch k dispozícii, resp. zdrojové systémy neposkytujú potrebné údaje (napr. užívateľské hierarchie, súčtové prvky, príznaky, deskriptívne názvy a pod.).</w:t>
      </w:r>
    </w:p>
    <w:p w14:paraId="7713F0D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správu týchto rôznych číselníkov a sú základom pre kvalitný reporting, je nevyhnutné mať viac ako menej rôznych formulárov, ktoré podporia:</w:t>
      </w:r>
    </w:p>
    <w:p w14:paraId="530B5F64"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referenčných dát a hierarchií údajov.</w:t>
      </w:r>
    </w:p>
    <w:p w14:paraId="76575FC2"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číselníky / kódovníky</w:t>
      </w:r>
    </w:p>
    <w:p w14:paraId="11018CEA"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klasifikácie a iné malé dimenzie</w:t>
      </w:r>
    </w:p>
    <w:p w14:paraId="0387B52B"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definície hierarchie</w:t>
      </w:r>
    </w:p>
    <w:p w14:paraId="083DE307"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lookup tabuľky pre konsolidáciu číselníkov a ich obohatenie o dodatočné informácie (popisy, príznaky)</w:t>
      </w:r>
    </w:p>
    <w:p w14:paraId="493B440E"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Správa konverzných mostíkov (napr. aj pre potreby ETL – transformácia technických transakcií na biznisové definície pre niektoré hviezdicové schémy):</w:t>
      </w:r>
    </w:p>
    <w:p w14:paraId="01AEB5FD"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parametre (zoznamy, podmnožiny hodnôt) používané v rozhodovacej logike spracovania dát</w:t>
      </w:r>
    </w:p>
    <w:p w14:paraId="268869C7"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rozhodovacie tabuľky pre odvodenie dát a aplikáciu obchodných pravidiel pri spracovaní dát v DWH</w:t>
      </w:r>
    </w:p>
    <w:p w14:paraId="5A4EB9FB"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Udržovanie nastavení DWH metadát – napr. spôsob distribúcie niektorých automatických reportov cez e-mail a podobne.</w:t>
      </w:r>
    </w:p>
    <w:p w14:paraId="1941B5FE"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Manuálne vstupy statických dát malého rozsahu, ktoré nie sú primárne uložené a obhospodarované v inom systéme</w:t>
      </w:r>
    </w:p>
    <w:p w14:paraId="08EF82A8" w14:textId="77777777" w:rsidR="00D42B04" w:rsidRPr="00D42B04" w:rsidRDefault="00D42B04" w:rsidP="00D42B04">
      <w:pPr>
        <w:spacing w:before="120" w:after="120"/>
        <w:jc w:val="both"/>
        <w:rPr>
          <w:rFonts w:ascii="Cambria" w:eastAsia="Calibri" w:hAnsi="Cambria" w:cs="Arial"/>
          <w:noProof/>
          <w:sz w:val="22"/>
          <w:szCs w:val="22"/>
        </w:rPr>
      </w:pPr>
      <w:r w:rsidRPr="00D42B04">
        <w:rPr>
          <w:rFonts w:ascii="Cambria" w:eastAsia="Calibri" w:hAnsi="Cambria" w:cs="Arial"/>
          <w:sz w:val="22"/>
          <w:szCs w:val="22"/>
        </w:rPr>
        <w:t xml:space="preserve">Tento systém </w:t>
      </w:r>
      <w:r w:rsidRPr="00D42B04">
        <w:rPr>
          <w:rFonts w:ascii="Cambria" w:eastAsia="Calibri" w:hAnsi="Cambria" w:cs="Arial"/>
          <w:noProof/>
          <w:sz w:val="22"/>
          <w:szCs w:val="22"/>
        </w:rPr>
        <w:t>by mal poskytovať minimálne tieto funkcie a nástroje pre správu referenčných dát:</w:t>
      </w:r>
    </w:p>
    <w:p w14:paraId="67740F0A"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umožniť používateľom (odborným aj technickým) modifikovať referenčné dáta cez jednoduchý GUI formou selfservice:</w:t>
      </w:r>
    </w:p>
    <w:p w14:paraId="6A71F2AF"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pridanie nového záznamu (ak je používateľ oprávnený)</w:t>
      </w:r>
    </w:p>
    <w:p w14:paraId="30780DAD"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odstránenie záznamu (ak je používateľ oprávnený)</w:t>
      </w:r>
    </w:p>
    <w:p w14:paraId="08B1611F"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lastRenderedPageBreak/>
        <w:t>zneplatnenie záznamu (ak je používateľ oprávnený)</w:t>
      </w:r>
    </w:p>
    <w:p w14:paraId="17E78961"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editácia záznamu (ak je používateľ oprávnený)</w:t>
      </w:r>
    </w:p>
    <w:p w14:paraId="288DFAAC"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podpora triedenia, filtrovania, pop-up nápovedy</w:t>
      </w:r>
    </w:p>
    <w:p w14:paraId="69D6674F"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podpora master-slave dát, t. j. zobrazenie dát v drop-down/pickliste z master objektu</w:t>
      </w:r>
    </w:p>
    <w:p w14:paraId="61461ED5"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možnosť nastaviť niektoré (definovateľné) stĺpce ako R/O (len na čítanie)</w:t>
      </w:r>
    </w:p>
    <w:p w14:paraId="5A19C91D"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možnosť exportu dát do dohodnutého formátu - CSV, XSL, JSON.</w:t>
      </w:r>
    </w:p>
    <w:p w14:paraId="2A45416B" w14:textId="77777777" w:rsidR="00D42B04" w:rsidRPr="00D42B04" w:rsidRDefault="00D42B04" w:rsidP="00D42B04">
      <w:pPr>
        <w:numPr>
          <w:ilvl w:val="1"/>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 xml:space="preserve">v závislosti od návrhu číselníkov mať možnosť nastaviť platnosť dát </w:t>
      </w:r>
    </w:p>
    <w:p w14:paraId="3DEB5E38"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všetky dáta a metadáta budú uložené v technickom používateľovi v Relačnej časti DWH. ETL DWH bude tieto dáta aktualizovať pravidelna počas ETL procesov v dennom režime a micro-batch režime v priebehu dňa - napr. pri zmene v dátach, rovnako ako pre Relačnú časť tak aj pre DataLake.</w:t>
      </w:r>
    </w:p>
    <w:p w14:paraId="098A549A"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riadiť prístup k jednotlivým referenčným dátam s autentifikáciou a autorizáciou užívateľov k jednotlivým referenčným dátam</w:t>
      </w:r>
    </w:p>
    <w:p w14:paraId="1ADC4BA6"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auditovať všetky akcie a verzovať zmeny v záznamoch s časovými značkami</w:t>
      </w:r>
    </w:p>
    <w:p w14:paraId="104EDF85"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umožňovať definíciu nových referenčných dát s validáciami vstupných dát (minimálne na doménovú a referenčnú integritu)</w:t>
      </w:r>
    </w:p>
    <w:p w14:paraId="3CE1BE58"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sprístupniť dáta pre ETL proces cez definované rozhranie</w:t>
      </w:r>
    </w:p>
    <w:p w14:paraId="3B50055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poskytne mechanismus pre notifikáciu resp. spustenie micro-batch spracovania v prípade zmeny v dátach</w:t>
      </w:r>
    </w:p>
    <w:p w14:paraId="07E8DBFB"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poskytovať online služby pre ostatné aplikačné systémy, ktoré chcú svoje referenčné dáta delegovať na RDM, t. j. systém bude vedieť vystaviť REST API pre definovaný číselník s funkciou READ vo formáte JSON.</w:t>
      </w:r>
    </w:p>
    <w:p w14:paraId="0B4BE0B6"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 xml:space="preserve">vytváranie číselníkov (pridávanie nových referenčných štruktúr) bude </w:t>
      </w:r>
      <w:r w:rsidRPr="00D42B04">
        <w:rPr>
          <w:rFonts w:ascii="Cambria" w:eastAsia="Calibri" w:hAnsi="Cambria" w:cs="Arial"/>
          <w:sz w:val="22"/>
          <w:szCs w:val="22"/>
        </w:rPr>
        <w:t>s podporou a prístupom low-code/no-code (bez softvérového vývoja), všetky parametre číselníkov musia byť uložené v metadátach.</w:t>
      </w:r>
      <w:r w:rsidRPr="00D42B04">
        <w:rPr>
          <w:rFonts w:ascii="Cambria" w:eastAsia="Calibri" w:hAnsi="Cambria" w:cs="Arial"/>
          <w:noProof/>
          <w:sz w:val="22"/>
          <w:szCs w:val="22"/>
        </w:rPr>
        <w:t xml:space="preserve"> </w:t>
      </w:r>
    </w:p>
    <w:p w14:paraId="78F86641"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noProof/>
          <w:sz w:val="22"/>
          <w:szCs w:val="22"/>
        </w:rPr>
      </w:pPr>
      <w:r w:rsidRPr="00D42B04">
        <w:rPr>
          <w:rFonts w:ascii="Cambria" w:eastAsia="Calibri" w:hAnsi="Cambria" w:cs="Arial"/>
          <w:noProof/>
          <w:sz w:val="22"/>
          <w:szCs w:val="22"/>
        </w:rPr>
        <w:t>automatická notifikácia cez e-mail definovanému odbornému pracovníkovi, ak nastane nejaká udalosť v číselníku (napr. vloženie nového záznamu s default hodnotou)</w:t>
      </w:r>
    </w:p>
    <w:p w14:paraId="6C77B808"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Webové rozhranie použiteľne v prehliadači Chrome, ktorý je štandardom v NBS prostredí.</w:t>
      </w:r>
    </w:p>
    <w:p w14:paraId="47DC04D0"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do aplikácie cez login modul napojeného na NBS LDAP/AD.</w:t>
      </w:r>
    </w:p>
    <w:p w14:paraId="5EB18DC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Riešenie RDM bude koncipované ako „s úložiskom priamo v DWH“ s možnosťou batchovej či okamžitej synchronizácie do DWH/DataLake. Rovnako musí prostredie RDM poskytnúť REST API pre prístup k dátam iným aplikačným systémom.</w:t>
      </w:r>
    </w:p>
    <w:p w14:paraId="5C9912E9"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Manuálne vstupy – selfservice pre používateľov</w:t>
      </w:r>
    </w:p>
    <w:p w14:paraId="77776C0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Táto požiadavka rozširuje požiadavku pre GUI RDM pre “Manuálne vstupy statických dát malého rozsahu” a funkcionalitu vytvorenia importného medzikroku na kontrolu dátovej kvality importovaných dát na základe zadefinovaných pravidiel.</w:t>
      </w:r>
    </w:p>
    <w:p w14:paraId="3B7749C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Proces manuálneho importu používateľom bude následne vyzerať (navyše okrem štandardnej RDM funkcionality):</w:t>
      </w:r>
    </w:p>
    <w:p w14:paraId="6A55B127"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Importované dáta zo známeho a predom dohodnutého formátu sú transformované (rozšírené o mapované dohodnuté dimenzie) do medzipamäte</w:t>
      </w:r>
    </w:p>
    <w:p w14:paraId="747A13E9"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zobrazí stav importu s tým, že chybné dáta sa zobrazia červenou farbou. Chybné dáta budú rozoznateľné cez nastavené pravidlá:</w:t>
      </w:r>
    </w:p>
    <w:p w14:paraId="0A5ABD52" w14:textId="77777777" w:rsidR="00D42B04" w:rsidRPr="00D42B04" w:rsidRDefault="00D42B04" w:rsidP="00D42B04">
      <w:pPr>
        <w:numPr>
          <w:ilvl w:val="1"/>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neexistuje JOIN na číselník</w:t>
      </w:r>
    </w:p>
    <w:p w14:paraId="561DA703" w14:textId="77777777" w:rsidR="00D42B04" w:rsidRPr="00D42B04" w:rsidRDefault="00D42B04" w:rsidP="00D42B04">
      <w:pPr>
        <w:numPr>
          <w:ilvl w:val="1"/>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hodnota je mimo definovaný povolený rozsah</w:t>
      </w:r>
    </w:p>
    <w:p w14:paraId="4A9D0F15"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 nemusí mať podporu na opravu týchto dát</w:t>
      </w:r>
    </w:p>
    <w:p w14:paraId="06586F2D"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 kontrole a správnom nastavení všetkých riadkov sa importný balík označí metaznačkou v STAGE vrstve DWH</w:t>
      </w:r>
    </w:p>
    <w:p w14:paraId="09ADBCF6"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Importovacie GUI musí obsahovať sumárny report (súbor, kedy, stav, počet chýb, atď.) pre sledovanie importnej činnosti priamo používateľom.</w:t>
      </w:r>
    </w:p>
    <w:p w14:paraId="6936D1E7" w14:textId="77777777" w:rsidR="00D42B04" w:rsidRPr="00D42B04" w:rsidRDefault="00D42B04" w:rsidP="00D42B04">
      <w:pPr>
        <w:numPr>
          <w:ilvl w:val="0"/>
          <w:numId w:val="83"/>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Webové rozhranie použiteľne v prehliadači Chrome, ktorý je štandardom v NBS prostredí.</w:t>
      </w:r>
    </w:p>
    <w:p w14:paraId="771F6F05" w14:textId="77777777" w:rsidR="00D42B04" w:rsidRPr="00D42B04" w:rsidRDefault="00D42B04" w:rsidP="00D42B04">
      <w:pPr>
        <w:numPr>
          <w:ilvl w:val="0"/>
          <w:numId w:val="8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Riadenie prístupu do aplikácie cez login modul napojeného na NBS LDAP/AD.</w:t>
      </w:r>
    </w:p>
    <w:p w14:paraId="0BF3066F"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Ingestion framework - nahrávania veľkého počtu rôznych súborov</w:t>
      </w:r>
    </w:p>
    <w:p w14:paraId="054A8E4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Súčasťou DWH/DL platformy by mal byť Ingestion framework, ktorý by primárne zabezpečoval importovanie externých zdrojov do Stage Zóny platformy. Externé zdroje sú dostupné prostredníctvom API rozhraní, parsovania public  webových stránok alebo sťahovania dát zo vzdialených SFTP serverov mimo alebo v NBS infraštruktúre. Spracovanie Ingestion frameworku musí byť riadené prostredníctvom Workflow managera.</w:t>
      </w:r>
    </w:p>
    <w:p w14:paraId="18418F0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Požiadavky na Ingestion Framework :</w:t>
      </w:r>
    </w:p>
    <w:p w14:paraId="26194A87"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pridávania nových externých zdrojov do frameworku:</w:t>
      </w:r>
    </w:p>
    <w:p w14:paraId="334CD2FE"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SOAP/REST API, parsovanie Web stránok, SFTP, Kafka, JDBC, súborový systém, MS Sharepoint, HDFS</w:t>
      </w:r>
    </w:p>
    <w:p w14:paraId="25472BB9"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nastavenia odkladania spracovaných dát na „archívne“ miesto</w:t>
      </w:r>
    </w:p>
    <w:p w14:paraId="36651CB1"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nastavenia vymazania zdroj dát</w:t>
      </w:r>
    </w:p>
    <w:p w14:paraId="600A8CE3"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Schopnosť metadátovo definovať parser čítača pre známe formáty ako je CSV, AVRO, JSON , XML, DBF a podobne. </w:t>
      </w:r>
    </w:p>
    <w:p w14:paraId="0FCBD176"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priamo čítať ZIP na vstupe</w:t>
      </w:r>
    </w:p>
    <w:p w14:paraId="192F4C0C"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metadátovo definovať mapovania zdroj-cieľ (low-code/no-code programovanie)</w:t>
      </w:r>
    </w:p>
    <w:p w14:paraId="46853A55"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priamo počas spracovania dát tieto dáta obohacovať o iné dáta definovanou reláciou na mapovacie dimenzie.</w:t>
      </w:r>
    </w:p>
    <w:p w14:paraId="001B9DC8"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toto obohacovanie a transformácia dát má prebiehať nezávisle od zdroja a formátu dát aj s možnosťou zmeny zdroja bez nutnosti úpravy transformácií</w:t>
      </w:r>
    </w:p>
    <w:p w14:paraId="3E80BF66"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spracovať transformácie in-memory</w:t>
      </w:r>
    </w:p>
    <w:p w14:paraId="6C3B794E"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relácie môžu byť definované aj ako best-match (hľadaj najbližší najlepší), t. j. nie je nutné mať definované tvrdé 1:1 prepojenie</w:t>
      </w:r>
    </w:p>
    <w:p w14:paraId="40A997FA"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mapovania by mali byť definovateľné deklaratívne spôsobom low-code</w:t>
      </w:r>
    </w:p>
    <w:p w14:paraId="4538285D"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Spúšťaný z centralizovaného Workflow managera.</w:t>
      </w:r>
    </w:p>
    <w:p w14:paraId="167149C2"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importovať len inkrementy dát pričom Ingestion framework by mal byť zodpovedný za udržiavanie kompletného prehľadu o už spracovaných dávkach. T. j. musí mať mechanizmy ako spracovať „práve raz a všetky“ vstupné zdroje. napr. pri zdroji so súborového systému je možné definovať spracovanie cez masku súboru. Framework vyberie a spracuje len tie súbory, ktoré vyhovujú nastaveniu. Pri iných typoch zdrojov sú to iné nastavenia, ktoré podporia požiadavku udržania kompletnosti spracovania.</w:t>
      </w:r>
    </w:p>
    <w:p w14:paraId="13276661"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Spracovanie musí byť kontrolované, auditované a reportovateľné – interface, beh, čas, počet spracovaných vstupných riadkov, počet výstupných riadkov, počet chybových riadkov, počet zahodených riadkov z dôvodu duplicita a atd.</w:t>
      </w:r>
    </w:p>
    <w:p w14:paraId="698F54FA"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Udržiavať si metadáta o externých zdrojoch (API kľúče, mená, heslá, tokeny, logy, aktuálny stav spracovania + v prípade inkrementálneho spracovania všetky potrebné informácie potrebné pre stiahnutie ďalšieho inkrementu, počty exportovaných záznamov pre každé spustenie)</w:t>
      </w:r>
    </w:p>
    <w:p w14:paraId="3ABBEE6F"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spracované dáta uložiť cez JDBC do STAGE DWH, alebo cez HDFS konektor priamo do zóny DL.</w:t>
      </w:r>
    </w:p>
    <w:p w14:paraId="56B6FC94"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robiť tzv. multi-insert, t. z. keď vstupný tok dát obsahuje viac rôznych dátových formátov, tak dodaný framework tieto formáty bude vedieť rozoznať a uložiť do rôznych cieľových objektov v rôznych technológiách, t. j. či DataLake, alebo Relačná časť DWH.</w:t>
      </w:r>
    </w:p>
    <w:p w14:paraId="450494F4"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v cykle vyčítať jednotlivé záznamy z WebService, kedy nie je možné vyčítať všetky záznamy, ale je nutné volať WebAPI cez parameter. Zoznam všetkých hodnôt parametrov bude si framework vedieť prečítať z databázovej tabuľky, ktorá bude metadátovo nastaviteľná pre každé vlákno zvlášť.</w:t>
      </w:r>
    </w:p>
    <w:p w14:paraId="5BD330A7"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odložiť chybné záznamy počas spracovania do iného dohodnutého objektu na ďalšiu analýzu. Túto schopnosť bude možné nastaviť metadátovo.</w:t>
      </w:r>
    </w:p>
    <w:p w14:paraId="4FFE529B"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Schopnosť identifikovať duplicity v dohodnutom spracovávanom okne a v rámci jedného streamu. Kontrolu duplicít bude možné nastaviť metadátovo.</w:t>
      </w:r>
    </w:p>
    <w:p w14:paraId="6AB3D946"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Podpora tvorby dokumentácie z kódu spracovania vo formáte HTML, PDF, Excel, API na vkladanie do databázy</w:t>
      </w:r>
    </w:p>
    <w:p w14:paraId="10A351E3"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Rýchlosť spracovania (bez transformácie dát) na úrovni 1 milióna riadkov z XML súboru za 15 minút pri jednovláknovom spracovaní do Oracle DB na konfigurácii CPU podľa kapitoly 3.2.4.</w:t>
      </w:r>
    </w:p>
    <w:p w14:paraId="648923D1" w14:textId="77777777" w:rsidR="00D42B04" w:rsidRPr="00D42B04" w:rsidRDefault="00D42B04" w:rsidP="00D42B04">
      <w:pPr>
        <w:numPr>
          <w:ilvl w:val="0"/>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Detailné logovanie behu a spracovania:</w:t>
      </w:r>
    </w:p>
    <w:p w14:paraId="7C2FE529"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Online monitoring a management procesov spracovanie cez JMX</w:t>
      </w:r>
    </w:p>
    <w:p w14:paraId="547746BC"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Rozdelenie logov podľa typov a príslušnosti procesu. Detailné logy môžu byť vo file systéme servera</w:t>
      </w:r>
    </w:p>
    <w:p w14:paraId="7EE18969" w14:textId="77777777" w:rsidR="00D42B04" w:rsidRPr="00D42B04" w:rsidRDefault="00D42B04" w:rsidP="00D42B04">
      <w:pPr>
        <w:numPr>
          <w:ilvl w:val="1"/>
          <w:numId w:val="4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Jeden centrálny log (najlepšie v databáze) s integráciou na workflow manažér, ktorý hovorí o aktuálnom dni spracovania, ktorý súbor (alebo skupina súborov) je už spracovaný, či čaká na spracovanie a s akým výsledkom (počet vstupných, výstupných, odložených, chybných riadkov). Dátum čas začatia a skončenia procesu.</w:t>
      </w:r>
    </w:p>
    <w:p w14:paraId="2D618FA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Prvý príklad</w:t>
      </w:r>
      <w:r w:rsidRPr="00D42B04">
        <w:rPr>
          <w:rFonts w:ascii="Cambria" w:eastAsia="Calibri" w:hAnsi="Cambria" w:cs="Arial"/>
          <w:sz w:val="22"/>
          <w:szCs w:val="22"/>
        </w:rPr>
        <w:t xml:space="preserve"> použitia vyššie uvedených požiadaviek je čítanie dát z ESMA zdroja (</w:t>
      </w:r>
      <w:hyperlink r:id="rId33" w:history="1">
        <w:r w:rsidRPr="00D42B04">
          <w:rPr>
            <w:rFonts w:ascii="Cambria" w:eastAsia="Calibri" w:hAnsi="Cambria" w:cs="Arial"/>
            <w:color w:val="0563C1"/>
            <w:sz w:val="22"/>
            <w:szCs w:val="22"/>
            <w:u w:val="single"/>
          </w:rPr>
          <w:t>https://www.esma.europa.eu/</w:t>
        </w:r>
      </w:hyperlink>
      <w:r w:rsidRPr="00D42B04">
        <w:rPr>
          <w:rFonts w:ascii="Cambria" w:eastAsia="Calibri" w:hAnsi="Cambria" w:cs="Arial"/>
          <w:sz w:val="22"/>
          <w:szCs w:val="22"/>
        </w:rPr>
        <w:t>). Tento zdroj kategorizujú tieto atribúty:</w:t>
      </w:r>
    </w:p>
    <w:p w14:paraId="12D10C75" w14:textId="77777777" w:rsidR="00D42B04" w:rsidRPr="00D42B04" w:rsidRDefault="00D42B04" w:rsidP="00D42B04">
      <w:pPr>
        <w:numPr>
          <w:ilvl w:val="0"/>
          <w:numId w:val="10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Veľký objem dát – rádovo stovky GB až desiatky TB</w:t>
      </w:r>
    </w:p>
    <w:p w14:paraId="78D7919C" w14:textId="77777777" w:rsidR="00D42B04" w:rsidRPr="00D42B04" w:rsidRDefault="00D42B04" w:rsidP="00D42B04">
      <w:pPr>
        <w:numPr>
          <w:ilvl w:val="0"/>
          <w:numId w:val="10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sú vo formáte XML</w:t>
      </w:r>
    </w:p>
    <w:p w14:paraId="00F9F4DA" w14:textId="77777777" w:rsidR="00D42B04" w:rsidRPr="00D42B04" w:rsidRDefault="00D42B04" w:rsidP="00D42B04">
      <w:pPr>
        <w:numPr>
          <w:ilvl w:val="0"/>
          <w:numId w:val="10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Súbory sú ZIPnuté</w:t>
      </w:r>
    </w:p>
    <w:p w14:paraId="10330752" w14:textId="77777777" w:rsidR="00D42B04" w:rsidRPr="00D42B04" w:rsidRDefault="00D42B04" w:rsidP="00D42B04">
      <w:pPr>
        <w:numPr>
          <w:ilvl w:val="0"/>
          <w:numId w:val="10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Jeden súbor XML obsahuje viac podstromov</w:t>
      </w:r>
    </w:p>
    <w:p w14:paraId="10AC8A2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 z., že je vyžadované pri tomto zdroji čítať priamo ZIP (nebude miesto na unzip), v pamäti parsovať XML, vyberať definované podstromy a robiť MULTI-INSERT do rôznych objektov v DWH bez rozdielu cieľa technológie, t. j. či DataLake, alebo Relačná časť.</w:t>
      </w:r>
    </w:p>
    <w:p w14:paraId="463C52A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Ako </w:t>
      </w:r>
      <w:r w:rsidRPr="00D42B04">
        <w:rPr>
          <w:rFonts w:ascii="Cambria" w:eastAsia="Calibri" w:hAnsi="Cambria" w:cs="Arial"/>
          <w:b/>
          <w:bCs/>
          <w:sz w:val="22"/>
          <w:szCs w:val="22"/>
        </w:rPr>
        <w:t>druhý príklad</w:t>
      </w:r>
      <w:r w:rsidRPr="00D42B04">
        <w:rPr>
          <w:rFonts w:ascii="Cambria" w:eastAsia="Calibri" w:hAnsi="Cambria" w:cs="Arial"/>
          <w:sz w:val="22"/>
          <w:szCs w:val="22"/>
        </w:rPr>
        <w:t xml:space="preserve"> je ITMS2014 (</w:t>
      </w:r>
      <w:hyperlink r:id="rId34" w:history="1">
        <w:r w:rsidRPr="00D42B04">
          <w:rPr>
            <w:rFonts w:ascii="Cambria" w:eastAsia="Calibri" w:hAnsi="Cambria" w:cs="Arial"/>
            <w:color w:val="0563C1"/>
            <w:sz w:val="22"/>
            <w:szCs w:val="22"/>
            <w:u w:val="single"/>
          </w:rPr>
          <w:t>https://opendata.itms2014.sk/swagger/?url=/v2/swagger.json</w:t>
        </w:r>
      </w:hyperlink>
      <w:r w:rsidRPr="00D42B04">
        <w:rPr>
          <w:rFonts w:ascii="Cambria" w:eastAsia="Calibri" w:hAnsi="Cambria" w:cs="Arial"/>
          <w:sz w:val="22"/>
          <w:szCs w:val="22"/>
        </w:rPr>
        <w:t>) kde je nutné cez REST API vyčítavať informácie v cykle, kde nie je známe o aké a koľko dát pôjde. Tieto dáta budú ukladané podľa definície do rôznych (napr. /v2/ciselniky) alebo rovnakých tabuliek (napr. /v2/dodavatelia/{dodavatelId}). Niektoré vstupné vlákna obsahujú rozvetvené podstromy.</w:t>
      </w:r>
    </w:p>
    <w:p w14:paraId="133B51A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Tretí príklad</w:t>
      </w:r>
      <w:r w:rsidRPr="00D42B04">
        <w:rPr>
          <w:rFonts w:ascii="Cambria" w:eastAsia="Calibri" w:hAnsi="Cambria" w:cs="Arial"/>
          <w:sz w:val="22"/>
          <w:szCs w:val="22"/>
        </w:rPr>
        <w:t xml:space="preserve"> je import dát z Katastrálneho úradu Slovenskej republiky. Tieto dáta po podpísaní zmluvy sa dajú stiahnuť v stanovený deň a čas zo zabezpečeného úložiska ako ZIP súbor, ktorý obsahuje niekoľko DBF (formát dBase) súborov. T. j. systém musí vedieť všetky a práve raz tieto súbory načítať do určených objektov. Pokiaľ sa nepodarí nahrať všetky súbory do cieľového stavu, musí framework vedieť generovať chybový kód na zastavenie behu vo Workflow managerovi.</w:t>
      </w:r>
    </w:p>
    <w:p w14:paraId="65B9582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Data Quality Management</w:t>
      </w:r>
    </w:p>
    <w:p w14:paraId="127899A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Systém pre DQM (Prostredie pre správu, spúšťanie a vyhodnocovanie dátovej kvality) bude riešiť nasledujúcu funkcionalitu:</w:t>
      </w:r>
    </w:p>
    <w:p w14:paraId="37AA82D1"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Konfigurovať pravidlá pre meranie dátovej kvality (DQ indikátory)</w:t>
      </w:r>
    </w:p>
    <w:p w14:paraId="236950C9"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Organizovať pravidlá DQ do skupín a plánov ich spúšťania</w:t>
      </w:r>
    </w:p>
    <w:p w14:paraId="1A4D0617"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Spúšťať a plánovať spúšťanie vybraných skupín indikátorov</w:t>
      </w:r>
    </w:p>
    <w:p w14:paraId="17EF5662"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Monitorovať výsledky meraní cez reporty a grafy</w:t>
      </w:r>
    </w:p>
    <w:p w14:paraId="53D19FA7"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Možnosť zasielať výsledky kontrol na e-mail - generovať podklady pre Data Quality Incident</w:t>
      </w:r>
    </w:p>
    <w:p w14:paraId="2BE6B065"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odkladanie chybných záznamov do špeciálnych tabuliek pre následnú kontrolu a riešenie incidentov</w:t>
      </w:r>
    </w:p>
    <w:p w14:paraId="4C09EDA7" w14:textId="77777777" w:rsidR="00D42B04" w:rsidRPr="00D42B04" w:rsidRDefault="00D42B04" w:rsidP="00D42B04">
      <w:pPr>
        <w:numPr>
          <w:ilvl w:val="0"/>
          <w:numId w:val="47"/>
        </w:numPr>
        <w:spacing w:before="120" w:after="120" w:line="240" w:lineRule="atLeast"/>
        <w:contextualSpacing/>
        <w:jc w:val="both"/>
        <w:rPr>
          <w:rFonts w:ascii="Cambria" w:eastAsia="Calibri" w:hAnsi="Cambria" w:cs="Arial"/>
          <w:sz w:val="22"/>
          <w:szCs w:val="22"/>
        </w:rPr>
      </w:pPr>
      <w:r w:rsidRPr="00D42B04">
        <w:rPr>
          <w:rFonts w:ascii="Cambria" w:eastAsia="Yu Mincho" w:hAnsi="Cambria" w:cs="Arial"/>
          <w:sz w:val="22"/>
          <w:szCs w:val="22"/>
        </w:rPr>
        <w:t>zastavenie E</w:t>
      </w:r>
      <w:r w:rsidRPr="00D42B04">
        <w:rPr>
          <w:rFonts w:ascii="Cambria" w:eastAsia="Calibri" w:hAnsi="Cambria" w:cs="Arial"/>
          <w:sz w:val="22"/>
          <w:szCs w:val="22"/>
        </w:rPr>
        <w:t>TL procesu pri prekročení hraničného počtu chýb</w:t>
      </w:r>
    </w:p>
    <w:p w14:paraId="33EF0D24" w14:textId="77777777" w:rsidR="00D42B04" w:rsidRPr="00D42B04" w:rsidRDefault="00D42B04" w:rsidP="00D42B04">
      <w:pPr>
        <w:numPr>
          <w:ilvl w:val="0"/>
          <w:numId w:val="47"/>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zakomponovanie spustenia DQ kontroly do procesu ETL – ako samostatný krok spracovania</w:t>
      </w:r>
    </w:p>
    <w:p w14:paraId="74D7E003" w14:textId="77777777" w:rsidR="00D42B04" w:rsidRPr="00D42B04" w:rsidRDefault="00D42B04" w:rsidP="00D42B04">
      <w:pPr>
        <w:spacing w:before="120" w:after="120"/>
        <w:jc w:val="both"/>
        <w:rPr>
          <w:rFonts w:ascii="Cambria" w:eastAsia="Yu Mincho" w:hAnsi="Cambria" w:cs="Arial"/>
          <w:sz w:val="22"/>
          <w:szCs w:val="22"/>
        </w:rPr>
      </w:pPr>
      <w:r w:rsidRPr="00D42B04">
        <w:rPr>
          <w:rFonts w:ascii="Cambria" w:eastAsia="Calibri" w:hAnsi="Cambria" w:cs="Arial"/>
          <w:sz w:val="22"/>
          <w:szCs w:val="22"/>
        </w:rPr>
        <w:t>Tento systém bude</w:t>
      </w:r>
      <w:r w:rsidRPr="00D42B04">
        <w:rPr>
          <w:rFonts w:ascii="Cambria" w:eastAsia="Yu Mincho" w:hAnsi="Cambria" w:cs="Arial"/>
          <w:sz w:val="22"/>
          <w:szCs w:val="22"/>
        </w:rPr>
        <w:t xml:space="preserve"> pripojený na DWH, nad ktorým bude prebiehať meranie indikátorov kvality cez rôzne dátové vrstvy. Riešenie by malo obsahovať komponenty pre podporu riadenia dátovej kvality na úrovni:</w:t>
      </w:r>
    </w:p>
    <w:p w14:paraId="18B9CD4D" w14:textId="77777777" w:rsidR="00D42B04" w:rsidRPr="00D42B04" w:rsidRDefault="00D42B04" w:rsidP="00D42B04">
      <w:pPr>
        <w:numPr>
          <w:ilvl w:val="0"/>
          <w:numId w:val="47"/>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lastRenderedPageBreak/>
        <w:t>Technických kontrol – štandardné/generické kontroly vyplývajúce z dátového modelu</w:t>
      </w:r>
    </w:p>
    <w:p w14:paraId="2B05C057" w14:textId="77777777" w:rsidR="00D42B04" w:rsidRPr="00D42B04" w:rsidRDefault="00D42B04" w:rsidP="00D42B04">
      <w:pPr>
        <w:numPr>
          <w:ilvl w:val="0"/>
          <w:numId w:val="47"/>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Biznisový kontrol – užívateľsky definované parametre kvality na úrovni atribútov (data quality indikátory)</w:t>
      </w:r>
    </w:p>
    <w:p w14:paraId="16B09A6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Yu Mincho" w:hAnsi="Cambria" w:cs="Arial"/>
          <w:b/>
          <w:sz w:val="22"/>
          <w:szCs w:val="22"/>
        </w:rPr>
        <w:t>Technické kontroly</w:t>
      </w:r>
      <w:r w:rsidRPr="00D42B04">
        <w:rPr>
          <w:rFonts w:ascii="Cambria" w:eastAsia="Yu Mincho" w:hAnsi="Cambria" w:cs="Arial"/>
          <w:sz w:val="22"/>
          <w:szCs w:val="22"/>
        </w:rPr>
        <w:t xml:space="preserve"> by mali z</w:t>
      </w:r>
      <w:r w:rsidRPr="00D42B04">
        <w:rPr>
          <w:rFonts w:ascii="Cambria" w:eastAsia="Calibri" w:hAnsi="Cambria" w:cs="Arial"/>
          <w:sz w:val="22"/>
          <w:szCs w:val="22"/>
        </w:rPr>
        <w:t>ahŕňať:</w:t>
      </w:r>
    </w:p>
    <w:p w14:paraId="101F4DBD"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Dátové typy</w:t>
      </w:r>
    </w:p>
    <w:p w14:paraId="1BF5FE9D"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Obmedzenia (Constraints) – povinné hodnoty, unikátnosť, referenčná integrita</w:t>
      </w:r>
    </w:p>
    <w:p w14:paraId="4735944B"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Doménové kontroly – validácia na prípustné hodnoty</w:t>
      </w:r>
    </w:p>
    <w:p w14:paraId="6D86D11E" w14:textId="77777777" w:rsidR="00D42B04" w:rsidRPr="00D42B04" w:rsidRDefault="00D42B04" w:rsidP="00D42B04">
      <w:pPr>
        <w:numPr>
          <w:ilvl w:val="0"/>
          <w:numId w:val="84"/>
        </w:numPr>
        <w:spacing w:before="120" w:after="120" w:line="240" w:lineRule="atLeast"/>
        <w:contextualSpacing/>
        <w:jc w:val="both"/>
        <w:rPr>
          <w:rFonts w:ascii="Cambria" w:eastAsia="Calibri" w:hAnsi="Cambria" w:cs="Arial"/>
          <w:sz w:val="22"/>
          <w:szCs w:val="22"/>
        </w:rPr>
      </w:pPr>
      <w:r w:rsidRPr="00D42B04">
        <w:rPr>
          <w:rFonts w:ascii="Cambria" w:eastAsia="Yu Mincho" w:hAnsi="Cambria" w:cs="Arial"/>
          <w:sz w:val="22"/>
          <w:szCs w:val="22"/>
        </w:rPr>
        <w:t>Kv</w:t>
      </w:r>
      <w:r w:rsidRPr="00D42B04">
        <w:rPr>
          <w:rFonts w:ascii="Cambria" w:eastAsia="Calibri" w:hAnsi="Cambria" w:cs="Arial"/>
          <w:sz w:val="22"/>
          <w:szCs w:val="22"/>
        </w:rPr>
        <w:t>alita zbehnutia SCD</w:t>
      </w:r>
    </w:p>
    <w:p w14:paraId="68115DD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Spúšťanie technických kontrol by malo byť integrálnou súčasťou ETL procesu.</w:t>
      </w:r>
    </w:p>
    <w:p w14:paraId="7D4ACBC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sz w:val="22"/>
          <w:szCs w:val="22"/>
        </w:rPr>
        <w:t>Biznisové kontroly</w:t>
      </w:r>
      <w:r w:rsidRPr="00D42B04">
        <w:rPr>
          <w:rFonts w:ascii="Cambria" w:eastAsia="Calibri" w:hAnsi="Cambria" w:cs="Arial"/>
          <w:sz w:val="22"/>
          <w:szCs w:val="22"/>
        </w:rPr>
        <w:t xml:space="preserve"> môžu byť voľne definované zo strany užívateľov (resp. Data Stewardov) vo forme tzv. </w:t>
      </w:r>
      <w:r w:rsidRPr="00D42B04">
        <w:rPr>
          <w:rFonts w:ascii="Cambria" w:eastAsia="Calibri" w:hAnsi="Cambria" w:cs="Arial"/>
          <w:i/>
          <w:iCs/>
          <w:sz w:val="22"/>
          <w:szCs w:val="22"/>
        </w:rPr>
        <w:t>indikátorov dátovej kvality (DQI)</w:t>
      </w:r>
      <w:r w:rsidRPr="00D42B04">
        <w:rPr>
          <w:rFonts w:ascii="Cambria" w:eastAsia="Calibri" w:hAnsi="Cambria" w:cs="Arial"/>
          <w:sz w:val="22"/>
          <w:szCs w:val="22"/>
        </w:rPr>
        <w:t>, napríklad:</w:t>
      </w:r>
    </w:p>
    <w:p w14:paraId="3977E7EF"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hraničné (podozrivé) hodnoty atribútov</w:t>
      </w:r>
    </w:p>
    <w:p w14:paraId="48098B79"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neočakávané kombinácie hodnôt súvisiacich atribútov</w:t>
      </w:r>
    </w:p>
    <w:p w14:paraId="31387E05" w14:textId="77777777" w:rsidR="00D42B04" w:rsidRPr="00D42B04" w:rsidRDefault="00D42B04" w:rsidP="00D42B04">
      <w:pPr>
        <w:numPr>
          <w:ilvl w:val="0"/>
          <w:numId w:val="84"/>
        </w:numPr>
        <w:spacing w:before="120" w:after="120" w:line="240" w:lineRule="atLeast"/>
        <w:contextualSpacing/>
        <w:jc w:val="both"/>
        <w:rPr>
          <w:rFonts w:ascii="Cambria" w:eastAsia="Calibri" w:hAnsi="Cambria" w:cs="Arial"/>
          <w:sz w:val="22"/>
          <w:szCs w:val="22"/>
        </w:rPr>
      </w:pPr>
      <w:r w:rsidRPr="00D42B04">
        <w:rPr>
          <w:rFonts w:ascii="Cambria" w:eastAsia="Yu Mincho" w:hAnsi="Cambria" w:cs="Arial"/>
          <w:sz w:val="22"/>
          <w:szCs w:val="22"/>
        </w:rPr>
        <w:t>neoč</w:t>
      </w:r>
      <w:r w:rsidRPr="00D42B04">
        <w:rPr>
          <w:rFonts w:ascii="Cambria" w:eastAsia="Calibri" w:hAnsi="Cambria" w:cs="Arial"/>
          <w:sz w:val="22"/>
          <w:szCs w:val="22"/>
        </w:rPr>
        <w:t>akávané vzory v dátach a pod.</w:t>
      </w:r>
    </w:p>
    <w:p w14:paraId="5F47503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Tieto indikátory môžu mať komplexnú definíciu, a teda môžu byť definované vo forme SQL dotazu. </w:t>
      </w:r>
    </w:p>
    <w:p w14:paraId="4DDD5C58"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Testovací framework</w:t>
      </w:r>
    </w:p>
    <w:p w14:paraId="402C7A4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Testovací framework (softwarový komponent, ktorý je možné konfigurovať matadátami) predstavuje funkcie pre definíciu a automatizované spúšťanie a vyhodnocovanie testovacích scenárov cez rôzne prostredia. Typicky slúži na automatizované (alebo opakované) vykonávanie rôznych testovacích prípadov v rámci SDLC procesu, napr.:</w:t>
      </w:r>
    </w:p>
    <w:p w14:paraId="055CD01E"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kontroly stavu prostredia</w:t>
      </w:r>
    </w:p>
    <w:p w14:paraId="54A8B0D7"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funkčné testy (správne plnenie cieľových štruktúr)</w:t>
      </w:r>
    </w:p>
    <w:p w14:paraId="66950CCF"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regresné testy</w:t>
      </w:r>
    </w:p>
    <w:p w14:paraId="7F193FD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by mal poskytovať minimálne tieto funkcie:</w:t>
      </w:r>
    </w:p>
    <w:p w14:paraId="06B2B808"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repozitár testovacích skriptov (SQL)</w:t>
      </w:r>
    </w:p>
    <w:p w14:paraId="114AC2E2"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mechanizmus pre automatizované spúšťanie zvolených testovacích skriptov</w:t>
      </w:r>
    </w:p>
    <w:p w14:paraId="7C22FF83" w14:textId="77777777" w:rsidR="00D42B04" w:rsidRPr="00D42B04" w:rsidRDefault="00D42B04" w:rsidP="00D42B04">
      <w:pPr>
        <w:numPr>
          <w:ilvl w:val="0"/>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logovanie výsledkov testov a ich sprístupnenie pre vyhodnotenie (SQL, resp. v reportoch cez BI nástroj)</w:t>
      </w:r>
    </w:p>
    <w:p w14:paraId="65B13342" w14:textId="77777777" w:rsidR="00D42B04" w:rsidRPr="00D42B04" w:rsidRDefault="00D42B04" w:rsidP="00D42B04">
      <w:pPr>
        <w:numPr>
          <w:ilvl w:val="0"/>
          <w:numId w:val="35"/>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Webové rozhranie použiteľne v prehliadači Chrome, ktorý je štandardom v NBS prostredí.</w:t>
      </w:r>
    </w:p>
    <w:p w14:paraId="5A084FC1" w14:textId="77777777" w:rsidR="00D42B04" w:rsidRPr="00D42B04" w:rsidRDefault="00D42B04" w:rsidP="00D42B04">
      <w:pPr>
        <w:numPr>
          <w:ilvl w:val="1"/>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Jednoduchý reporting GUI pre sledovanie zbehnutia a výsledku zbehnutia</w:t>
      </w:r>
    </w:p>
    <w:p w14:paraId="0BE884B8" w14:textId="77777777" w:rsidR="00D42B04" w:rsidRPr="00D42B04" w:rsidRDefault="00D42B04" w:rsidP="00D42B04">
      <w:pPr>
        <w:numPr>
          <w:ilvl w:val="1"/>
          <w:numId w:val="3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do aplikácie cez login modul napojeného na NBS LDAP/AD.</w:t>
      </w:r>
    </w:p>
    <w:p w14:paraId="72384601" w14:textId="77777777" w:rsidR="00D42B04" w:rsidRPr="00D42B04" w:rsidRDefault="00D42B04" w:rsidP="00D42B04">
      <w:pPr>
        <w:numPr>
          <w:ilvl w:val="0"/>
          <w:numId w:val="35"/>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Všetky metadáta uložené v databáze s prehľadným API</w:t>
      </w:r>
    </w:p>
    <w:p w14:paraId="73E2994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Je možné tento framework spojiť s DQM podporou, ale potom sa vyžaduje aby nastavenie metadát DQM a jeho exekúcia, prípadne reporting boli jasne, zrozumiteľne a ľahko oddeliteľné od zadaných Testovacích scenárov.</w:t>
      </w:r>
    </w:p>
    <w:p w14:paraId="571F6859"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 xml:space="preserve">Security GUI (relačná časť DWH) </w:t>
      </w:r>
    </w:p>
    <w:p w14:paraId="6AF30EA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Framework pre správu prístupov je kritický komponent, ktorý umožňuje riadiť viditeľnosť dát a celkové práva používateľov DWH systému. </w:t>
      </w:r>
    </w:p>
    <w:p w14:paraId="0985DAD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má mať dve časti:</w:t>
      </w:r>
    </w:p>
    <w:p w14:paraId="6F29FAC4" w14:textId="77777777" w:rsidR="00D42B04" w:rsidRPr="00D42B04" w:rsidRDefault="00D42B04" w:rsidP="00D42B04">
      <w:pPr>
        <w:numPr>
          <w:ilvl w:val="0"/>
          <w:numId w:val="11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GUI</w:t>
      </w:r>
    </w:p>
    <w:p w14:paraId="38863108" w14:textId="77777777" w:rsidR="00D42B04" w:rsidRPr="00D42B04" w:rsidRDefault="00D42B04" w:rsidP="00D42B04">
      <w:pPr>
        <w:numPr>
          <w:ilvl w:val="1"/>
          <w:numId w:val="11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Webové rozhranie použiteľne v prehliadači Chrome, ktorý je štandardom v NBS prostredí.</w:t>
      </w:r>
    </w:p>
    <w:p w14:paraId="0F13D541" w14:textId="77777777" w:rsidR="00D42B04" w:rsidRPr="00D42B04" w:rsidRDefault="00D42B04" w:rsidP="00D42B04">
      <w:pPr>
        <w:numPr>
          <w:ilvl w:val="1"/>
          <w:numId w:val="11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prístupu do aplikácie cez login modul napojeného na NBS LDAP/AD.</w:t>
      </w:r>
    </w:p>
    <w:p w14:paraId="06E8CDD2" w14:textId="77777777" w:rsidR="00D42B04" w:rsidRPr="00D42B04" w:rsidRDefault="00D42B04" w:rsidP="00D42B04">
      <w:pPr>
        <w:numPr>
          <w:ilvl w:val="0"/>
          <w:numId w:val="111"/>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Server DB časť</w:t>
      </w:r>
    </w:p>
    <w:p w14:paraId="2C2CB56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GUI musí umožňovať:</w:t>
      </w:r>
    </w:p>
    <w:p w14:paraId="4A37E82A"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Definícia skupiny používateľov a priradenie reálneho používateľa z DB</w:t>
      </w:r>
    </w:p>
    <w:p w14:paraId="5DD2727D"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lastRenderedPageBreak/>
        <w:t>Definícia objektovej skupiny (prístupovej role) a priradenie reálnej role z DB</w:t>
      </w:r>
    </w:p>
    <w:p w14:paraId="6D7F2071"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Definícia riadkovej bezpečnosti objektu</w:t>
      </w:r>
    </w:p>
    <w:p w14:paraId="410C72A1"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Definícia stĺpcovej bezpečnosti objektu</w:t>
      </w:r>
    </w:p>
    <w:p w14:paraId="159673C4"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Priradenie riadkovej a stĺpcovej bezpečnosti objektu k objektovej skupine</w:t>
      </w:r>
    </w:p>
    <w:p w14:paraId="47E3E18C"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 xml:space="preserve">Priradenie role objektová skupina na skupinu používateľov </w:t>
      </w:r>
    </w:p>
    <w:p w14:paraId="0C508C4F"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Možnosť simulovaného behu nastavenia rolí a bezpečnostných pravidiel</w:t>
      </w:r>
    </w:p>
    <w:p w14:paraId="09235B0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nesmie umožňovať z bezpečnostných dôvodov:</w:t>
      </w:r>
    </w:p>
    <w:p w14:paraId="2C67514A"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Definícia DB používateľa,</w:t>
      </w:r>
    </w:p>
    <w:p w14:paraId="12A65D80"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Definícia DB role,</w:t>
      </w:r>
    </w:p>
    <w:p w14:paraId="135DB44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tieto informácie musí vedieť v DWH identifikovať a ponúknuť v zozname (pick list) pri nastavení práv.</w:t>
      </w:r>
    </w:p>
    <w:p w14:paraId="0CD97A7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Framework Server DB časť musí vedieť na požiadanie:</w:t>
      </w:r>
    </w:p>
    <w:p w14:paraId="0E3BA79C" w14:textId="77777777" w:rsidR="00D42B04" w:rsidRPr="00D42B04" w:rsidRDefault="00D42B04" w:rsidP="00D42B04">
      <w:pPr>
        <w:numPr>
          <w:ilvl w:val="0"/>
          <w:numId w:val="11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Vygenerovať požadované pridelenie rolí, nastaviť VPD politiky a vytvoriť požadovanú stĺpcovú bezpečnosť pre jednotlivých používateľov,</w:t>
      </w:r>
    </w:p>
    <w:p w14:paraId="2199BBA1" w14:textId="77777777" w:rsidR="00D42B04" w:rsidRPr="00D42B04" w:rsidRDefault="00D42B04" w:rsidP="00D42B04">
      <w:pPr>
        <w:numPr>
          <w:ilvl w:val="0"/>
          <w:numId w:val="11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Skontrolovať nastavenia a prípadné nezrovnalosti v DB nastavení so schváleným nastavením v metadátach odobrať. T. j. ide o odobratie prístupových práv ak by niekto urobil zmeny ručne mimo systém.</w:t>
      </w:r>
    </w:p>
    <w:p w14:paraId="21BFCC8F"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Metadata Management / Wikipédia o DWH</w:t>
      </w:r>
    </w:p>
    <w:p w14:paraId="56173ED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procesoch DWH vzniká množstvo metadát, ktoré popisujú vecnú aj technickú stránku spracúvaných a publikovaných dát, ktoré je potrebné efektívne sprístupniť širšej základni používateľov a analytikov, a uľahčiť tak ich navigáciu v dostupných dátach.</w:t>
      </w:r>
    </w:p>
    <w:p w14:paraId="54D2EDD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Budúci systém integrácie dát by mal byť doplnený o riešenie pre správu metadát, ktoré bude poskytovať NBS nástroje pre správu biznis katalógov, data lineage,  data katalog a navigáciu v nich.</w:t>
      </w:r>
    </w:p>
    <w:p w14:paraId="3AFA1C6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Medzi tieto metadáta patria:</w:t>
      </w:r>
    </w:p>
    <w:p w14:paraId="281F8A95"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Biznis slovník pojmov</w:t>
      </w:r>
    </w:p>
    <w:p w14:paraId="5D144BB2"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Dátové katalógy – popisujúce dostupné dáta, zdroje, DataLake, DWH</w:t>
      </w:r>
    </w:p>
    <w:p w14:paraId="6EA8D622"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Ďalšie katalógy, napr. KPI katalóg, DQI katalóg, katalóg reportov</w:t>
      </w:r>
    </w:p>
    <w:p w14:paraId="5E2BDAD3"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Relácie medzi pojmami a dátovými modelmi resp. dátovými katalógmi</w:t>
      </w:r>
    </w:p>
    <w:p w14:paraId="5376AFE3"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Údaje o dostupnosti a kvalite dát</w:t>
      </w:r>
    </w:p>
    <w:p w14:paraId="0B466C23"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Nástroj pre manažment metadát bude umožňovať tieto funkcie:</w:t>
      </w:r>
    </w:p>
    <w:p w14:paraId="27AF37EF"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Správa a audit Biznisového slovníka:</w:t>
      </w:r>
    </w:p>
    <w:p w14:paraId="08018EAA" w14:textId="77777777" w:rsidR="00D42B04" w:rsidRPr="00D42B04" w:rsidRDefault="00D42B04" w:rsidP="00D42B04">
      <w:pPr>
        <w:numPr>
          <w:ilvl w:val="1"/>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Nástroje pre správu biznisového slovníka, t. j. centrálnu definíciu dôležitých konceptov a pojmov, ich významu a klasifikácie.</w:t>
      </w:r>
    </w:p>
    <w:p w14:paraId="3ECAC422"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Správa a audit Dátového katalógu s popisom dát v dátových zdrojoch, DWH a DataLake</w:t>
      </w:r>
    </w:p>
    <w:p w14:paraId="03D324EC"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Automatické (na spustenie) naplnenie metadát z dostupných metadát DB, ODI, Workflow Managera a podobne. Vyžaduje sa minimalizácia (na úrovni jednotiek hodín do mesiaca) manuálnej správy informácií.</w:t>
      </w:r>
    </w:p>
    <w:p w14:paraId="563C19AC"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Funkcionalita data lineage a impact analýzy nad objektami zaznamenanými v katalógoch (biznisové pojmy, KPI, DQI) a importovanými metadátami o objektoch.</w:t>
      </w:r>
    </w:p>
    <w:p w14:paraId="5AB1AE34"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Jednoduchá navigácia medzi objektami dátového modelu na základe zachytených väzieb (lineage informácie)</w:t>
      </w:r>
    </w:p>
    <w:p w14:paraId="6D74EF1C"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Funkcia fulltextového vyhľadávania v rámci všetkých atribútov katalógov a importovaných metadát</w:t>
      </w:r>
    </w:p>
    <w:p w14:paraId="3A05E66E"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Portál s webovým frontend-om pre navigáciu biznisových používateľov v metadátach:</w:t>
      </w:r>
    </w:p>
    <w:p w14:paraId="0F65DB1D" w14:textId="77777777" w:rsidR="00D42B04" w:rsidRPr="00D42B04" w:rsidRDefault="00D42B04" w:rsidP="00D42B04">
      <w:pPr>
        <w:numPr>
          <w:ilvl w:val="1"/>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Stránky sa musia generovať dynamicky (t. j. môže ich byť ľubovoľne veľa a v čase sa rozširovať) na základe nastavených metadát a definovaného template. Požadované template:</w:t>
      </w:r>
    </w:p>
    <w:p w14:paraId="51939025"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Jednoduchý report</w:t>
      </w:r>
    </w:p>
    <w:p w14:paraId="250DC684"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lastRenderedPageBreak/>
        <w:t>Názov</w:t>
      </w:r>
    </w:p>
    <w:p w14:paraId="1C857F16"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w:t>
      </w:r>
    </w:p>
    <w:p w14:paraId="48692D42"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Výsledok SQL SELECT z Relačnej časti DWH databázy (vrátené hodnoty riadkov môžu obsahovať dohodnuté TAGY na prelinkovanie na ďalšie objekty/stránky)</w:t>
      </w:r>
    </w:p>
    <w:p w14:paraId="05FA14A6"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Informačná stránka, alebo skupinová stránka</w:t>
      </w:r>
    </w:p>
    <w:p w14:paraId="65F6C559"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Názov</w:t>
      </w:r>
    </w:p>
    <w:p w14:paraId="46FDC524"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w:t>
      </w:r>
    </w:p>
    <w:p w14:paraId="1080DFCE"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Obrázok (napr. diagram dátového modelu pre vizualizáciu entít a vzťahov medzi nimi)</w:t>
      </w:r>
    </w:p>
    <w:p w14:paraId="3B16A0A0"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Linky na ďalšie podstránky</w:t>
      </w:r>
    </w:p>
    <w:p w14:paraId="6E1CFC34"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Linky na dokumenty uložené v Sharepointe NBS (nebude sa zobrazovať ak k danej stránky nebudú žiadne priradené)</w:t>
      </w:r>
    </w:p>
    <w:p w14:paraId="69044E2D"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Objekt (automatický import z DB)</w:t>
      </w:r>
    </w:p>
    <w:p w14:paraId="6537F4C7"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Názov</w:t>
      </w:r>
    </w:p>
    <w:p w14:paraId="2EB66DBB"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w:t>
      </w:r>
    </w:p>
    <w:p w14:paraId="279C66F1"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Stĺpec</w:t>
      </w:r>
    </w:p>
    <w:p w14:paraId="3625F462"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 (okrem popisu objektu, bude toto pole obsahovať dohodnuté TAGY na prelinkovanie na ďalšie objekty/stránky)</w:t>
      </w:r>
    </w:p>
    <w:p w14:paraId="691D1C5B"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Metadata z  ETL mapovania (obsah podľa metadát ODI), t. j. minimálne:</w:t>
      </w:r>
    </w:p>
    <w:p w14:paraId="1CD5B736"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Názov</w:t>
      </w:r>
    </w:p>
    <w:p w14:paraId="4DE25886"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w:t>
      </w:r>
    </w:p>
    <w:p w14:paraId="7F6AF893"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Zdroje (s prelinkovaním na ne)</w:t>
      </w:r>
    </w:p>
    <w:p w14:paraId="45CF0ED2"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Cieľe (s prelinkovaním na ne)</w:t>
      </w:r>
    </w:p>
    <w:p w14:paraId="33786C07"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 xml:space="preserve">Použitý </w:t>
      </w:r>
      <w:r w:rsidRPr="00D42B04">
        <w:rPr>
          <w:rFonts w:ascii="Cambria" w:eastAsia="Yu Mincho" w:hAnsi="Cambria" w:cs="Arial"/>
          <w:sz w:val="22"/>
          <w:szCs w:val="22"/>
          <w:lang w:val="en-US"/>
        </w:rPr>
        <w:t>Knowledge</w:t>
      </w:r>
      <w:r w:rsidRPr="00D42B04">
        <w:rPr>
          <w:rFonts w:ascii="Cambria" w:eastAsia="Yu Mincho" w:hAnsi="Cambria" w:cs="Arial"/>
          <w:sz w:val="22"/>
          <w:szCs w:val="22"/>
        </w:rPr>
        <w:t xml:space="preserve"> modul s jeho nastaveniami v danom mapovaej úlohe</w:t>
      </w:r>
    </w:p>
    <w:p w14:paraId="2DD504F0"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Parametre SQL, ako sú typy a nastavenia JOIN, WHERE a atď.</w:t>
      </w:r>
    </w:p>
    <w:p w14:paraId="602B2E19"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Detainé mapovanie stĺpcov</w:t>
      </w:r>
    </w:p>
    <w:p w14:paraId="739456C9"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Metadata z Workflow managera (obsah podľa metadát), t. j. minimálne:</w:t>
      </w:r>
    </w:p>
    <w:p w14:paraId="1CD257D4"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Názov uzla ETL úlohy</w:t>
      </w:r>
    </w:p>
    <w:p w14:paraId="4C802EC4"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Popis</w:t>
      </w:r>
    </w:p>
    <w:p w14:paraId="6C8EEB5E"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Predchodca a nasledovník (s prelinkovaním na ne)</w:t>
      </w:r>
    </w:p>
    <w:p w14:paraId="41E87101"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Typ uzla (SQL, REST API, volanie DL úlohy, volanie Ingestion úlohy, atď.)</w:t>
      </w:r>
    </w:p>
    <w:p w14:paraId="0D4416F2"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 xml:space="preserve">Nastavenie </w:t>
      </w:r>
    </w:p>
    <w:p w14:paraId="083104C1"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Plné znenie volania (text SQL, alebo volanie REST API atď) uzla ETL úlohy</w:t>
      </w:r>
    </w:p>
    <w:p w14:paraId="5B90147D" w14:textId="77777777" w:rsidR="00D42B04" w:rsidRPr="00D42B04" w:rsidRDefault="00D42B04" w:rsidP="00D42B04">
      <w:pPr>
        <w:numPr>
          <w:ilvl w:val="2"/>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Metadata z RDM</w:t>
      </w:r>
    </w:p>
    <w:p w14:paraId="416ED7FA"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Zoznam číselníkov a mostíkov s popisom</w:t>
      </w:r>
    </w:p>
    <w:p w14:paraId="5460601F"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Zoznam hlavných gestorov číselníkov</w:t>
      </w:r>
    </w:p>
    <w:p w14:paraId="105457FC" w14:textId="77777777" w:rsidR="00D42B04" w:rsidRPr="00D42B04" w:rsidRDefault="00D42B04" w:rsidP="00D42B04">
      <w:pPr>
        <w:numPr>
          <w:ilvl w:val="3"/>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Zoznam používateľov číselníkov s pridelenými právami</w:t>
      </w:r>
    </w:p>
    <w:p w14:paraId="0EC02668" w14:textId="77777777" w:rsidR="00D42B04" w:rsidRPr="00D42B04" w:rsidRDefault="00D42B04" w:rsidP="00D42B04">
      <w:pPr>
        <w:numPr>
          <w:ilvl w:val="1"/>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Fulltextové prehľadávanie a navigácia na vyhľadané topicy, či TAGY</w:t>
      </w:r>
    </w:p>
    <w:p w14:paraId="7C8E1EAC" w14:textId="77777777" w:rsidR="00D42B04" w:rsidRPr="00D42B04" w:rsidRDefault="00D42B04" w:rsidP="00D42B04">
      <w:pPr>
        <w:numPr>
          <w:ilvl w:val="1"/>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Portál bude nastavený v design manuáli NBS</w:t>
      </w:r>
    </w:p>
    <w:p w14:paraId="733BA3D8" w14:textId="77777777" w:rsidR="00D42B04" w:rsidRPr="00D42B04" w:rsidRDefault="00D42B04" w:rsidP="00D42B04">
      <w:pPr>
        <w:numPr>
          <w:ilvl w:val="0"/>
          <w:numId w:val="8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Nastavenie používateľských práv a prístupov</w:t>
      </w:r>
    </w:p>
    <w:p w14:paraId="52097CF2" w14:textId="77777777" w:rsidR="00D42B04" w:rsidRPr="00D42B04" w:rsidRDefault="00D42B04" w:rsidP="00D42B04">
      <w:pPr>
        <w:numPr>
          <w:ilvl w:val="0"/>
          <w:numId w:val="8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LDAP/AD.</w:t>
      </w:r>
    </w:p>
    <w:p w14:paraId="510B23E8" w14:textId="77777777" w:rsidR="00D42B04" w:rsidRPr="00D42B04" w:rsidRDefault="00D42B04" w:rsidP="00D42B04">
      <w:pPr>
        <w:numPr>
          <w:ilvl w:val="0"/>
          <w:numId w:val="84"/>
        </w:numPr>
        <w:spacing w:before="120" w:after="120" w:line="240" w:lineRule="atLeast"/>
        <w:contextualSpacing/>
        <w:jc w:val="both"/>
        <w:rPr>
          <w:rFonts w:ascii="Cambria" w:eastAsia="Yu Mincho" w:hAnsi="Cambria" w:cs="Arial"/>
          <w:sz w:val="22"/>
          <w:szCs w:val="22"/>
        </w:rPr>
      </w:pPr>
      <w:r w:rsidRPr="00D42B04">
        <w:rPr>
          <w:rFonts w:ascii="Cambria" w:eastAsia="Yu Mincho" w:hAnsi="Cambria" w:cs="Arial"/>
          <w:sz w:val="22"/>
          <w:szCs w:val="22"/>
        </w:rPr>
        <w:t>Webové rozhranie použiteľne v prehliadači Chrome, ktorý je štandardom v NBS prostredí.</w:t>
      </w:r>
    </w:p>
    <w:p w14:paraId="336D6CE0"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Riadenie dátovej retencie – management partícií</w:t>
      </w:r>
    </w:p>
    <w:p w14:paraId="07F68EF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Dátový sklad umožňuje uložiť dáta v histórii podľa požiadaviek používateľov, zvyčajne v nekonečnej. Avšak musí existovať retenčná politika napr. z dôvodu ochrany investícií do IT infraštruktúry, alebo z prípadných legislatívnych dôvodov.</w:t>
      </w:r>
    </w:p>
    <w:p w14:paraId="18D6648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Je požadované aby v rámci projektu NBS DWH bol dodaný framework kde:</w:t>
      </w:r>
    </w:p>
    <w:p w14:paraId="73DC6D7B"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lastRenderedPageBreak/>
        <w:t xml:space="preserve">Dátová retencia bude definovaná metadátami pre každý objekt (tabuľka) zvlášť. </w:t>
      </w:r>
    </w:p>
    <w:p w14:paraId="6A60F5FA"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Spustenie frameworku bude riadiť workflow manažér</w:t>
      </w:r>
    </w:p>
    <w:p w14:paraId="24C9600C"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Framework musí vedieť zalogovať svoj stav do riadiacej konzoly</w:t>
      </w:r>
    </w:p>
    <w:p w14:paraId="5C76793C"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Framework musí podporovať  tvorbu názvoslovia databázových tablespace a partícií</w:t>
      </w:r>
    </w:p>
    <w:p w14:paraId="4815DA93"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Detailné požiadavky na automatizáciu riadenia časových partícií:</w:t>
      </w:r>
    </w:p>
    <w:p w14:paraId="096F02D6"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pridávanie, </w:t>
      </w:r>
    </w:p>
    <w:p w14:paraId="02CC7F86"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rozdelenie poslednej časovej partície</w:t>
      </w:r>
    </w:p>
    <w:p w14:paraId="7A44D87F"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odpájanie (retencia) „starých “ dátových particií </w:t>
      </w:r>
    </w:p>
    <w:p w14:paraId="3E326F68"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presúvanie a defragmentovanie s nastaviteľnou možnosťou a výberom kompresie a tablespace. </w:t>
      </w:r>
    </w:p>
    <w:p w14:paraId="2FE8CF82" w14:textId="77777777" w:rsidR="00D42B04" w:rsidRPr="00D42B04" w:rsidRDefault="00D42B04" w:rsidP="00D42B04">
      <w:pPr>
        <w:spacing w:before="120" w:after="120" w:line="240" w:lineRule="atLeast"/>
        <w:ind w:left="720" w:hanging="360"/>
        <w:contextualSpacing/>
        <w:jc w:val="both"/>
        <w:rPr>
          <w:rFonts w:ascii="Cambria" w:eastAsia="Calibri" w:hAnsi="Cambria" w:cs="Arial"/>
          <w:sz w:val="22"/>
          <w:szCs w:val="22"/>
        </w:rPr>
      </w:pPr>
      <w:r w:rsidRPr="00D42B04">
        <w:rPr>
          <w:rFonts w:ascii="Cambria" w:eastAsia="Calibri" w:hAnsi="Cambria" w:cs="Arial"/>
          <w:sz w:val="22"/>
          <w:szCs w:val="22"/>
        </w:rPr>
        <w:t>Riadenie zámeny dát cez partície</w:t>
      </w:r>
    </w:p>
    <w:p w14:paraId="116D8931"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Výmena (zámena) partícií v objekte – zámena dát</w:t>
      </w:r>
    </w:p>
    <w:p w14:paraId="3234E3E9" w14:textId="77777777" w:rsidR="00D42B04" w:rsidRPr="00D42B04" w:rsidRDefault="00D42B04" w:rsidP="00D42B04">
      <w:pPr>
        <w:numPr>
          <w:ilvl w:val="1"/>
          <w:numId w:val="7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automatického znovu vytvorenia databázových indexov po procese zámeny</w:t>
      </w:r>
    </w:p>
    <w:p w14:paraId="32182395"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Dátové modelovanie</w:t>
      </w:r>
    </w:p>
    <w:p w14:paraId="6319DEF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Nástroj pre dátové modelovanie by mal podporovať vývojárov pri analýze, dizajne, implementácii, testovaní a nasadzovaní softwarových riešení. Okrem toho plní dokumentačnú funkciu, je zdrojom metadát dokumentujúcich dátové štruktúry a závislosti pre business data lineage (závislosti dát DWH na ultimatívnych zdrojových štruktúrach). V jednotlivých fázach SDLC sa využíva nasledujúcim spôsobom:</w:t>
      </w:r>
    </w:p>
    <w:p w14:paraId="728BDA1C" w14:textId="77777777" w:rsidR="00D42B04" w:rsidRPr="00D42B04" w:rsidRDefault="00D42B04" w:rsidP="00D42B04">
      <w:pPr>
        <w:numPr>
          <w:ilvl w:val="0"/>
          <w:numId w:val="43"/>
        </w:numPr>
        <w:spacing w:before="120" w:after="120" w:line="240" w:lineRule="atLeast"/>
        <w:ind w:left="709"/>
        <w:contextualSpacing/>
        <w:jc w:val="both"/>
        <w:rPr>
          <w:rFonts w:ascii="Cambria" w:eastAsia="Calibri" w:hAnsi="Cambria" w:cs="Arial"/>
          <w:noProof/>
          <w:sz w:val="22"/>
          <w:szCs w:val="22"/>
        </w:rPr>
      </w:pPr>
      <w:r w:rsidRPr="00D42B04">
        <w:rPr>
          <w:rFonts w:ascii="Cambria" w:eastAsia="Calibri" w:hAnsi="Cambria" w:cs="Arial"/>
          <w:sz w:val="22"/>
          <w:szCs w:val="22"/>
          <w:u w:val="single"/>
        </w:rPr>
        <w:t>Analýza</w:t>
      </w:r>
      <w:r w:rsidRPr="00D42B04">
        <w:rPr>
          <w:rFonts w:ascii="Cambria" w:eastAsia="Calibri" w:hAnsi="Cambria" w:cs="Arial"/>
          <w:sz w:val="22"/>
          <w:szCs w:val="22"/>
        </w:rPr>
        <w:t xml:space="preserve"> – reverse-</w:t>
      </w:r>
      <w:r w:rsidRPr="00D42B04">
        <w:rPr>
          <w:rFonts w:ascii="Cambria" w:eastAsia="Calibri" w:hAnsi="Cambria" w:cs="Arial"/>
          <w:noProof/>
          <w:sz w:val="22"/>
          <w:szCs w:val="22"/>
        </w:rPr>
        <w:t>engineering a dokumentácia dátových zdrojov, dopadová analýza zmien v zdrojových štruktúrach na štruktúry v DL/DWH, komunikačný prostriedok so zadávateľom</w:t>
      </w:r>
    </w:p>
    <w:p w14:paraId="7A3B5456" w14:textId="77777777" w:rsidR="00D42B04" w:rsidRPr="00D42B04" w:rsidRDefault="00D42B04" w:rsidP="00D42B04">
      <w:pPr>
        <w:numPr>
          <w:ilvl w:val="0"/>
          <w:numId w:val="43"/>
        </w:numPr>
        <w:spacing w:before="120" w:after="120" w:line="240" w:lineRule="atLeast"/>
        <w:ind w:left="709"/>
        <w:contextualSpacing/>
        <w:jc w:val="both"/>
        <w:rPr>
          <w:rFonts w:ascii="Cambria" w:eastAsia="Calibri" w:hAnsi="Cambria" w:cs="Arial"/>
          <w:noProof/>
          <w:sz w:val="22"/>
          <w:szCs w:val="22"/>
        </w:rPr>
      </w:pPr>
      <w:r w:rsidRPr="00D42B04">
        <w:rPr>
          <w:rFonts w:ascii="Cambria" w:eastAsia="Calibri" w:hAnsi="Cambria" w:cs="Arial"/>
          <w:noProof/>
          <w:sz w:val="22"/>
          <w:szCs w:val="22"/>
          <w:u w:val="single"/>
        </w:rPr>
        <w:t>Dizajn</w:t>
      </w:r>
      <w:r w:rsidRPr="00D42B04">
        <w:rPr>
          <w:rFonts w:ascii="Cambria" w:eastAsia="Calibri" w:hAnsi="Cambria" w:cs="Arial"/>
          <w:noProof/>
          <w:sz w:val="22"/>
          <w:szCs w:val="22"/>
        </w:rPr>
        <w:t xml:space="preserve"> – návrh a dokumentácia nových dátových štruktúr, definícia logiky mapovania na dátové zdroje, generovanie časti dokumentácie</w:t>
      </w:r>
    </w:p>
    <w:p w14:paraId="511F644C" w14:textId="77777777" w:rsidR="00D42B04" w:rsidRPr="00D42B04" w:rsidRDefault="00D42B04" w:rsidP="00D42B04">
      <w:pPr>
        <w:numPr>
          <w:ilvl w:val="0"/>
          <w:numId w:val="43"/>
        </w:numPr>
        <w:spacing w:before="120" w:after="120" w:line="240" w:lineRule="atLeast"/>
        <w:ind w:left="709"/>
        <w:contextualSpacing/>
        <w:jc w:val="both"/>
        <w:rPr>
          <w:rFonts w:ascii="Cambria" w:eastAsia="Calibri" w:hAnsi="Cambria" w:cs="Arial"/>
          <w:noProof/>
          <w:sz w:val="22"/>
          <w:szCs w:val="22"/>
        </w:rPr>
      </w:pPr>
      <w:r w:rsidRPr="00D42B04">
        <w:rPr>
          <w:rFonts w:ascii="Cambria" w:eastAsia="Calibri" w:hAnsi="Cambria" w:cs="Arial"/>
          <w:noProof/>
          <w:sz w:val="22"/>
          <w:szCs w:val="22"/>
          <w:u w:val="single"/>
        </w:rPr>
        <w:t>Implementácia</w:t>
      </w:r>
      <w:r w:rsidRPr="00D42B04">
        <w:rPr>
          <w:rFonts w:ascii="Cambria" w:eastAsia="Calibri" w:hAnsi="Cambria" w:cs="Arial"/>
          <w:noProof/>
          <w:sz w:val="22"/>
          <w:szCs w:val="22"/>
        </w:rPr>
        <w:t xml:space="preserve"> – generovanie kódu pre tvorbu a modifikáciu databázových štruktúr, exportovanie metadát pre generovanie niektorých transformácií a technických kontrol pri spracovaní dát v DL/DWH</w:t>
      </w:r>
    </w:p>
    <w:p w14:paraId="3C579798" w14:textId="77777777" w:rsidR="00D42B04" w:rsidRPr="00D42B04" w:rsidRDefault="00D42B04" w:rsidP="00D42B04">
      <w:pPr>
        <w:numPr>
          <w:ilvl w:val="0"/>
          <w:numId w:val="43"/>
        </w:numPr>
        <w:spacing w:before="120" w:after="120" w:line="240" w:lineRule="atLeast"/>
        <w:ind w:left="709"/>
        <w:contextualSpacing/>
        <w:jc w:val="both"/>
        <w:rPr>
          <w:rFonts w:ascii="Cambria" w:eastAsia="Calibri" w:hAnsi="Cambria" w:cs="Arial"/>
          <w:noProof/>
          <w:sz w:val="22"/>
          <w:szCs w:val="22"/>
        </w:rPr>
      </w:pPr>
      <w:r w:rsidRPr="00D42B04">
        <w:rPr>
          <w:rFonts w:ascii="Cambria" w:eastAsia="Calibri" w:hAnsi="Cambria" w:cs="Arial"/>
          <w:noProof/>
          <w:sz w:val="22"/>
          <w:szCs w:val="22"/>
          <w:u w:val="single"/>
        </w:rPr>
        <w:t>Testovanie</w:t>
      </w:r>
      <w:r w:rsidRPr="00D42B04">
        <w:rPr>
          <w:rFonts w:ascii="Cambria" w:eastAsia="Calibri" w:hAnsi="Cambria" w:cs="Arial"/>
          <w:noProof/>
          <w:sz w:val="22"/>
          <w:szCs w:val="22"/>
        </w:rPr>
        <w:t xml:space="preserve"> – zdroj informácií pre testerov k dátovému modelu a očakávanej transformačnej logike</w:t>
      </w:r>
    </w:p>
    <w:p w14:paraId="075F6FD9" w14:textId="77777777" w:rsidR="00D42B04" w:rsidRPr="00D42B04" w:rsidRDefault="00D42B04" w:rsidP="00D42B04">
      <w:pPr>
        <w:numPr>
          <w:ilvl w:val="0"/>
          <w:numId w:val="43"/>
        </w:numPr>
        <w:spacing w:before="120" w:after="120" w:line="240" w:lineRule="atLeast"/>
        <w:ind w:left="709"/>
        <w:contextualSpacing/>
        <w:jc w:val="both"/>
        <w:rPr>
          <w:rFonts w:ascii="Cambria" w:eastAsia="Calibri" w:hAnsi="Cambria" w:cs="Arial"/>
          <w:sz w:val="22"/>
          <w:szCs w:val="22"/>
        </w:rPr>
      </w:pPr>
      <w:r w:rsidRPr="00D42B04">
        <w:rPr>
          <w:rFonts w:ascii="Cambria" w:eastAsia="Calibri" w:hAnsi="Cambria" w:cs="Arial"/>
          <w:noProof/>
          <w:sz w:val="22"/>
          <w:szCs w:val="22"/>
          <w:u w:val="single"/>
        </w:rPr>
        <w:t>Nasadzovanie</w:t>
      </w:r>
      <w:r w:rsidRPr="00D42B04">
        <w:rPr>
          <w:rFonts w:ascii="Cambria" w:eastAsia="Calibri" w:hAnsi="Cambria" w:cs="Arial"/>
          <w:noProof/>
          <w:sz w:val="22"/>
          <w:szCs w:val="22"/>
        </w:rPr>
        <w:t xml:space="preserve"> - generovanie</w:t>
      </w:r>
      <w:r w:rsidRPr="00D42B04">
        <w:rPr>
          <w:rFonts w:ascii="Cambria" w:eastAsia="Calibri" w:hAnsi="Cambria" w:cs="Arial"/>
          <w:sz w:val="22"/>
          <w:szCs w:val="22"/>
        </w:rPr>
        <w:t xml:space="preserve"> kódu a metadát pre nasadenie, sledovanie stavu vývoja a nasadzovania štruktúr cez prostredia</w:t>
      </w:r>
    </w:p>
    <w:p w14:paraId="7352923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Voľba konkrétneho nástroja pre dátové modelovanie tak môže výrazne ovplyvniť spôsob a kvalitu implementácie. Prosíme odporučiť nástroj na podporu hore popísaného procesu, ktorý bude zakúpený separátne. Preferovaným nástrojom v NBS je Sparx Enterprise Architect (existujúce licencie) a/alebo Oracle Data Modeler (voľná licencia).</w:t>
      </w:r>
    </w:p>
    <w:p w14:paraId="41BF9B79"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68" w:name="_Toc110518793"/>
      <w:r w:rsidRPr="00D42B04">
        <w:rPr>
          <w:rFonts w:ascii="Cambria" w:eastAsia="Yu Gothic Light" w:hAnsi="Cambria"/>
          <w:b/>
          <w:bCs/>
          <w:color w:val="2F5496"/>
          <w:szCs w:val="24"/>
        </w:rPr>
        <w:t>Nástroje pre Data Governance a riešenia Master Data Managamentu</w:t>
      </w:r>
      <w:bookmarkEnd w:id="168"/>
    </w:p>
    <w:p w14:paraId="6EBC4EF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Projekt celobankového NBS DWH nebude pokrývať komplexitu MDM/DG procesu. Túto tému bude analyzovať paralelná štúdia pre MDM a zavedenia Data Governance. Táto veta ale neznamená, že vyššie popísané technické požiadavky kapitoly 3.2 nie je nutné naplniť, práve naopak.</w:t>
      </w:r>
    </w:p>
    <w:p w14:paraId="492F3E8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Až táto štúdia a ďalšie diskusie udajú implementačný zámer v celej šírke problematiky DG a MDM.</w:t>
      </w:r>
    </w:p>
    <w:p w14:paraId="347F0D13"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69" w:name="_Toc110518794"/>
      <w:r w:rsidRPr="00D42B04">
        <w:rPr>
          <w:rFonts w:ascii="Cambria" w:eastAsia="Yu Gothic Light" w:hAnsi="Cambria"/>
          <w:b/>
          <w:bCs/>
          <w:color w:val="2F5496"/>
          <w:sz w:val="26"/>
          <w:szCs w:val="26"/>
        </w:rPr>
        <w:t>Biznisové požiadavky</w:t>
      </w:r>
      <w:bookmarkEnd w:id="169"/>
    </w:p>
    <w:p w14:paraId="09255CAF"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V rámci dodávky projektu požadujeme implementáciu end to end (E2E)reportingového nástroja, ktorý bude podporovať analytické procesy.</w:t>
      </w:r>
    </w:p>
    <w:p w14:paraId="796163B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základe pred-analýzy boli identifikované kľúčové oblasti pre:</w:t>
      </w:r>
    </w:p>
    <w:p w14:paraId="283A4708" w14:textId="77777777" w:rsidR="00D42B04" w:rsidRPr="00D42B04" w:rsidRDefault="00D42B04" w:rsidP="00D42B04">
      <w:pPr>
        <w:numPr>
          <w:ilvl w:val="0"/>
          <w:numId w:val="3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Dátovú integráciu zdrojových systémov</w:t>
      </w:r>
    </w:p>
    <w:p w14:paraId="5EC3CD8E" w14:textId="77777777" w:rsidR="00D42B04" w:rsidRPr="00D42B04" w:rsidRDefault="00D42B04" w:rsidP="00D42B04">
      <w:pPr>
        <w:numPr>
          <w:ilvl w:val="0"/>
          <w:numId w:val="3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Reporting a analýzy</w:t>
      </w:r>
    </w:p>
    <w:p w14:paraId="18B19DA6" w14:textId="77777777" w:rsidR="00D42B04" w:rsidRPr="00D42B04" w:rsidRDefault="00D42B04" w:rsidP="00D42B04">
      <w:pPr>
        <w:numPr>
          <w:ilvl w:val="0"/>
          <w:numId w:val="3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Výstupné dátové oblasti</w:t>
      </w:r>
    </w:p>
    <w:p w14:paraId="70F9B3B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0" w:name="_Toc110518795"/>
      <w:r w:rsidRPr="00D42B04">
        <w:rPr>
          <w:rFonts w:ascii="Cambria" w:eastAsia="Yu Gothic Light" w:hAnsi="Cambria"/>
          <w:b/>
          <w:bCs/>
          <w:color w:val="2F5496"/>
          <w:szCs w:val="24"/>
        </w:rPr>
        <w:t>Zdrojové (vstupné) systémy</w:t>
      </w:r>
      <w:bookmarkEnd w:id="170"/>
    </w:p>
    <w:p w14:paraId="36700EC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Tabuľka nižšie obsahuje zoznam zdrojových systémov, ktoré je potrebné integrovať do nového NBS DWH. Tabuľka obsahuje systémy označené ako:</w:t>
      </w:r>
    </w:p>
    <w:p w14:paraId="03F2E074" w14:textId="77777777" w:rsidR="00D42B04" w:rsidRPr="00D42B04" w:rsidRDefault="00D42B04" w:rsidP="00D42B04">
      <w:pPr>
        <w:numPr>
          <w:ilvl w:val="0"/>
          <w:numId w:val="6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Interné – systém, ktorý nesie dáta požadované pre integráciu do DWH a je v internej sieti (infraštruktúre) NBS. Dáta sú uložené buď v databázach, alebo v extraktoch vo forme súborov.</w:t>
      </w:r>
    </w:p>
    <w:p w14:paraId="1799698E" w14:textId="77777777" w:rsidR="00D42B04" w:rsidRPr="00D42B04" w:rsidRDefault="00D42B04" w:rsidP="00D42B04">
      <w:pPr>
        <w:numPr>
          <w:ilvl w:val="0"/>
          <w:numId w:val="6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Externé – systém, ktorý obsahuje dáta požadované pre integráciu a je mimo infraštruktúry NBS. K dátam sa môže pristupovať rôzne cez API (Web Service) až po súborové rozhrania (HTTPS/SFTP a iné.)</w:t>
      </w:r>
    </w:p>
    <w:p w14:paraId="737334E4" w14:textId="77777777" w:rsidR="00D42B04" w:rsidRPr="00D42B04" w:rsidRDefault="00D42B04" w:rsidP="00D42B04">
      <w:pPr>
        <w:numPr>
          <w:ilvl w:val="0"/>
          <w:numId w:val="6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Manuálne dátové vstupy - ide o dáta získavané z neštruktúrovaných dátových zdrojov ako je napr. e-mail, web, ročenka, výročné správy, ktoré je možné ukladať v štruktúrovanej podobe do strojovo spracovateľných formátov, avšak ide o výsledok manuálnej práce spracovateľov týchto dát. V prehľade nižšie je rámcový výpis takýchto zdrojov rozdelených podľa účelu použitia v aktuálne dostupnom formáte. Predpokladom pre automatizáciu bude aj vytvorenie rozhrania, cez ktoré sa budú rôznorodé manuálne vstupy do procesu integrovať. Momentálne takéto rozhranie neexistuje a každé spracovanie používa prispôsobené logiky pre prácu s manuálnymi vstupmi a potrebné dáta extrahuje cez vlastný dekóder. Pozri kapitolu 3.2.13</w:t>
      </w:r>
    </w:p>
    <w:p w14:paraId="25C0F38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Význam ďalších atribútov tabuľky je nasledovný:</w:t>
      </w:r>
    </w:p>
    <w:p w14:paraId="764B870A" w14:textId="77777777" w:rsidR="00D42B04" w:rsidRPr="00D42B04" w:rsidRDefault="00D42B04" w:rsidP="00D42B04">
      <w:pPr>
        <w:numPr>
          <w:ilvl w:val="0"/>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Fáza- predpokladaná fáza dodávky dátovej integrácie do DWH (pozri kapitolu 3.4.5)</w:t>
      </w:r>
    </w:p>
    <w:p w14:paraId="4A887448" w14:textId="77777777" w:rsidR="00D42B04" w:rsidRPr="00D42B04" w:rsidRDefault="00D42B04" w:rsidP="00D42B04">
      <w:pPr>
        <w:numPr>
          <w:ilvl w:val="0"/>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Dôvod integrácie:</w:t>
      </w:r>
    </w:p>
    <w:p w14:paraId="6FE1CC7D"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BI - dáta z označeného systému pôjdu primárne použiť v BI reportingu</w:t>
      </w:r>
    </w:p>
    <w:p w14:paraId="446ECB8D"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OUT - dáta z takto označeného systému sú potrebné pre výstupy z DWH na odosielanie mimo NBS v presne definovanej štruktúre</w:t>
      </w:r>
    </w:p>
    <w:p w14:paraId="6983A8AD" w14:textId="77777777" w:rsidR="00D42B04" w:rsidRPr="00D42B04" w:rsidRDefault="00D42B04" w:rsidP="00D42B04">
      <w:pPr>
        <w:numPr>
          <w:ilvl w:val="0"/>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Databázový systém</w:t>
      </w:r>
    </w:p>
    <w:p w14:paraId="7AEAE77C"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DB - dáta uložené v NBS databáze (Oracle, MS SQL, MySQL)</w:t>
      </w:r>
    </w:p>
    <w:p w14:paraId="20BF7CCE"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Súbor - lokálne uložené súbor (CSV, MS Excel) na FTP úložisku alebo SharePoint v prostredí NBS</w:t>
      </w:r>
    </w:p>
    <w:p w14:paraId="6D23AEF1"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 WebAPI - Exsitencia WebAPI na externom serveri mimo NBS </w:t>
      </w:r>
    </w:p>
    <w:p w14:paraId="0CFB5807" w14:textId="77777777" w:rsidR="00D42B04" w:rsidRPr="00D42B04" w:rsidRDefault="00D42B04" w:rsidP="00D42B04">
      <w:pPr>
        <w:numPr>
          <w:ilvl w:val="1"/>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 Lotus Notes - dokumentačná databáza LN </w:t>
      </w:r>
    </w:p>
    <w:p w14:paraId="216CBD6A" w14:textId="77777777" w:rsidR="00D42B04" w:rsidRPr="00D42B04" w:rsidRDefault="00D42B04" w:rsidP="00D42B04">
      <w:pPr>
        <w:numPr>
          <w:ilvl w:val="0"/>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Objem dát (GB) - predpokladaný objem dát v Gigabajtoch (1.000.000.000 bajtov)</w:t>
      </w:r>
    </w:p>
    <w:p w14:paraId="63AB602D" w14:textId="77777777" w:rsidR="00D42B04" w:rsidRPr="00D42B04" w:rsidRDefault="00D42B04" w:rsidP="00D42B04">
      <w:pPr>
        <w:numPr>
          <w:ilvl w:val="0"/>
          <w:numId w:val="3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Počet objektov - tabuliek/súborov/API endpointov</w:t>
      </w:r>
    </w:p>
    <w:tbl>
      <w:tblPr>
        <w:tblStyle w:val="GridTable4-Accent52"/>
        <w:tblW w:w="8487" w:type="dxa"/>
        <w:tblLook w:val="0420" w:firstRow="1" w:lastRow="0" w:firstColumn="0" w:lastColumn="0" w:noHBand="0" w:noVBand="1"/>
      </w:tblPr>
      <w:tblGrid>
        <w:gridCol w:w="1212"/>
        <w:gridCol w:w="1491"/>
        <w:gridCol w:w="865"/>
        <w:gridCol w:w="553"/>
        <w:gridCol w:w="960"/>
        <w:gridCol w:w="1885"/>
        <w:gridCol w:w="807"/>
        <w:gridCol w:w="865"/>
      </w:tblGrid>
      <w:tr w:rsidR="00D42B04" w:rsidRPr="00D42B04" w14:paraId="0832E53F" w14:textId="77777777" w:rsidTr="00D42B04">
        <w:trPr>
          <w:cnfStyle w:val="100000000000" w:firstRow="1" w:lastRow="0" w:firstColumn="0" w:lastColumn="0" w:oddVBand="0" w:evenVBand="0" w:oddHBand="0" w:evenHBand="0" w:firstRowFirstColumn="0" w:firstRowLastColumn="0" w:lastRowFirstColumn="0" w:lastRowLastColumn="0"/>
          <w:cantSplit/>
          <w:trHeight w:val="626"/>
          <w:tblHeader/>
        </w:trPr>
        <w:tc>
          <w:tcPr>
            <w:tcW w:w="1092" w:type="dxa"/>
            <w:hideMark/>
          </w:tcPr>
          <w:p w14:paraId="409581E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Názov systému</w:t>
            </w:r>
          </w:p>
        </w:tc>
        <w:tc>
          <w:tcPr>
            <w:tcW w:w="1823" w:type="dxa"/>
            <w:hideMark/>
          </w:tcPr>
          <w:p w14:paraId="42A64A4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Popis systému</w:t>
            </w:r>
          </w:p>
        </w:tc>
        <w:tc>
          <w:tcPr>
            <w:tcW w:w="794" w:type="dxa"/>
            <w:hideMark/>
          </w:tcPr>
          <w:p w14:paraId="007D205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Interný</w:t>
            </w:r>
            <w:r w:rsidRPr="00D42B04">
              <w:rPr>
                <w:rFonts w:ascii="Cambria" w:hAnsi="Cambria"/>
                <w:sz w:val="16"/>
                <w:szCs w:val="16"/>
                <w:lang w:eastAsia="sk-SK"/>
              </w:rPr>
              <w:br/>
              <w:t>/externý</w:t>
            </w:r>
          </w:p>
        </w:tc>
        <w:tc>
          <w:tcPr>
            <w:tcW w:w="542" w:type="dxa"/>
            <w:hideMark/>
          </w:tcPr>
          <w:p w14:paraId="5B4ECEE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sz w:val="16"/>
                <w:szCs w:val="16"/>
                <w:lang w:eastAsia="sk-SK"/>
              </w:rPr>
              <w:t>Fáza</w:t>
            </w:r>
          </w:p>
        </w:tc>
        <w:tc>
          <w:tcPr>
            <w:tcW w:w="876" w:type="dxa"/>
            <w:hideMark/>
          </w:tcPr>
          <w:p w14:paraId="79641BD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sz w:val="16"/>
                <w:szCs w:val="16"/>
                <w:lang w:eastAsia="sk-SK"/>
              </w:rPr>
              <w:t>Dôvod integrácie</w:t>
            </w:r>
          </w:p>
        </w:tc>
        <w:tc>
          <w:tcPr>
            <w:tcW w:w="1749" w:type="dxa"/>
            <w:hideMark/>
          </w:tcPr>
          <w:p w14:paraId="108D7EB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sz w:val="16"/>
                <w:szCs w:val="16"/>
                <w:lang w:eastAsia="sk-SK"/>
              </w:rPr>
              <w:t>Databázový</w:t>
            </w:r>
            <w:r w:rsidRPr="00D42B04">
              <w:rPr>
                <w:rFonts w:ascii="Cambria" w:hAnsi="Cambria"/>
                <w:sz w:val="16"/>
                <w:szCs w:val="16"/>
                <w:lang w:eastAsia="sk-SK"/>
              </w:rPr>
              <w:br/>
              <w:t>systém</w:t>
            </w:r>
          </w:p>
        </w:tc>
        <w:tc>
          <w:tcPr>
            <w:tcW w:w="807" w:type="dxa"/>
            <w:hideMark/>
          </w:tcPr>
          <w:p w14:paraId="1F44254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sz w:val="16"/>
                <w:szCs w:val="16"/>
                <w:lang w:eastAsia="sk-SK"/>
              </w:rPr>
              <w:t>Objem dát</w:t>
            </w:r>
            <w:r w:rsidRPr="00D42B04">
              <w:rPr>
                <w:rFonts w:ascii="Cambria" w:hAnsi="Cambria"/>
                <w:sz w:val="16"/>
                <w:szCs w:val="16"/>
                <w:lang w:eastAsia="sk-SK"/>
              </w:rPr>
              <w:br/>
              <w:t>(GB)</w:t>
            </w:r>
          </w:p>
        </w:tc>
        <w:tc>
          <w:tcPr>
            <w:tcW w:w="804" w:type="dxa"/>
            <w:hideMark/>
          </w:tcPr>
          <w:p w14:paraId="1457D27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sz w:val="16"/>
                <w:szCs w:val="16"/>
                <w:lang w:eastAsia="sk-SK"/>
              </w:rPr>
              <w:t>Počet objektov</w:t>
            </w:r>
          </w:p>
        </w:tc>
      </w:tr>
      <w:tr w:rsidR="00D42B04" w:rsidRPr="00D42B04" w14:paraId="4E39A6D9"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23916194"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KL </w:t>
            </w:r>
          </w:p>
        </w:tc>
        <w:tc>
          <w:tcPr>
            <w:tcW w:w="1823" w:type="dxa"/>
          </w:tcPr>
          <w:p w14:paraId="1B592D6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Kurzový lístok ECB </w:t>
            </w:r>
          </w:p>
        </w:tc>
        <w:tc>
          <w:tcPr>
            <w:tcW w:w="794" w:type="dxa"/>
            <w:noWrap/>
          </w:tcPr>
          <w:p w14:paraId="472EA81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63F29F7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c>
          <w:tcPr>
            <w:tcW w:w="876" w:type="dxa"/>
          </w:tcPr>
          <w:p w14:paraId="6DDC8BC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tcPr>
          <w:p w14:paraId="40EAE1D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(XML) </w:t>
            </w:r>
          </w:p>
        </w:tc>
        <w:tc>
          <w:tcPr>
            <w:tcW w:w="807" w:type="dxa"/>
            <w:noWrap/>
          </w:tcPr>
          <w:p w14:paraId="0DE7479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7CB1DB5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r>
      <w:tr w:rsidR="00D42B04" w:rsidRPr="00D42B04" w14:paraId="2BA4B135" w14:textId="77777777" w:rsidTr="000C3B41">
        <w:trPr>
          <w:cantSplit/>
          <w:trHeight w:val="510"/>
        </w:trPr>
        <w:tc>
          <w:tcPr>
            <w:tcW w:w="1092" w:type="dxa"/>
          </w:tcPr>
          <w:p w14:paraId="14C2BCDC"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RPO </w:t>
            </w:r>
          </w:p>
        </w:tc>
        <w:tc>
          <w:tcPr>
            <w:tcW w:w="1823" w:type="dxa"/>
          </w:tcPr>
          <w:p w14:paraId="0DD3F83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právnických osôb </w:t>
            </w:r>
          </w:p>
        </w:tc>
        <w:tc>
          <w:tcPr>
            <w:tcW w:w="794" w:type="dxa"/>
          </w:tcPr>
          <w:p w14:paraId="17E6744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7F08A6C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c>
          <w:tcPr>
            <w:tcW w:w="876" w:type="dxa"/>
          </w:tcPr>
          <w:p w14:paraId="09F232D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2B94941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(XML) </w:t>
            </w:r>
          </w:p>
        </w:tc>
        <w:tc>
          <w:tcPr>
            <w:tcW w:w="807" w:type="dxa"/>
            <w:noWrap/>
          </w:tcPr>
          <w:p w14:paraId="7E02A64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2 </w:t>
            </w:r>
          </w:p>
        </w:tc>
        <w:tc>
          <w:tcPr>
            <w:tcW w:w="804" w:type="dxa"/>
            <w:noWrap/>
          </w:tcPr>
          <w:p w14:paraId="46B1BCC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w:t>
            </w:r>
          </w:p>
        </w:tc>
      </w:tr>
      <w:tr w:rsidR="00D42B04" w:rsidRPr="00D42B04" w14:paraId="43072A0F"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682F0296"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RS </w:t>
            </w:r>
          </w:p>
        </w:tc>
        <w:tc>
          <w:tcPr>
            <w:tcW w:w="1823" w:type="dxa"/>
          </w:tcPr>
          <w:p w14:paraId="6E83278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subjektov </w:t>
            </w:r>
          </w:p>
        </w:tc>
        <w:tc>
          <w:tcPr>
            <w:tcW w:w="794" w:type="dxa"/>
          </w:tcPr>
          <w:p w14:paraId="388F791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73258A0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c>
          <w:tcPr>
            <w:tcW w:w="876" w:type="dxa"/>
          </w:tcPr>
          <w:p w14:paraId="022CEF23"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10DEB50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Oracle (Tabuľky) </w:t>
            </w:r>
          </w:p>
        </w:tc>
        <w:tc>
          <w:tcPr>
            <w:tcW w:w="807" w:type="dxa"/>
            <w:noWrap/>
          </w:tcPr>
          <w:p w14:paraId="4AD2D66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60 </w:t>
            </w:r>
          </w:p>
        </w:tc>
        <w:tc>
          <w:tcPr>
            <w:tcW w:w="804" w:type="dxa"/>
            <w:noWrap/>
          </w:tcPr>
          <w:p w14:paraId="15784BF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18</w:t>
            </w:r>
          </w:p>
        </w:tc>
      </w:tr>
      <w:tr w:rsidR="00D42B04" w:rsidRPr="00D42B04" w14:paraId="01DFBD9E" w14:textId="77777777" w:rsidTr="000C3B41">
        <w:trPr>
          <w:cantSplit/>
          <w:trHeight w:val="45"/>
        </w:trPr>
        <w:tc>
          <w:tcPr>
            <w:tcW w:w="1092" w:type="dxa"/>
          </w:tcPr>
          <w:p w14:paraId="04E54770"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Subjekty 2.0 </w:t>
            </w:r>
          </w:p>
        </w:tc>
        <w:tc>
          <w:tcPr>
            <w:tcW w:w="1823" w:type="dxa"/>
          </w:tcPr>
          <w:p w14:paraId="6AF239D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Subjekty 2.0 </w:t>
            </w:r>
          </w:p>
        </w:tc>
        <w:tc>
          <w:tcPr>
            <w:tcW w:w="794" w:type="dxa"/>
          </w:tcPr>
          <w:p w14:paraId="69A13EF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69F8CE4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c>
          <w:tcPr>
            <w:tcW w:w="876" w:type="dxa"/>
          </w:tcPr>
          <w:p w14:paraId="090FAB5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392C8E4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MySQL (Tabuľky/JSON) </w:t>
            </w:r>
          </w:p>
        </w:tc>
        <w:tc>
          <w:tcPr>
            <w:tcW w:w="807" w:type="dxa"/>
            <w:noWrap/>
          </w:tcPr>
          <w:p w14:paraId="7D5C298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0,4 </w:t>
            </w:r>
          </w:p>
        </w:tc>
        <w:tc>
          <w:tcPr>
            <w:tcW w:w="804" w:type="dxa"/>
            <w:noWrap/>
          </w:tcPr>
          <w:p w14:paraId="53B27FD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r>
      <w:tr w:rsidR="00D42B04" w:rsidRPr="00D42B04" w14:paraId="18B0819D"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7F7A0DB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ESMA </w:t>
            </w:r>
          </w:p>
        </w:tc>
        <w:tc>
          <w:tcPr>
            <w:tcW w:w="1823" w:type="dxa"/>
          </w:tcPr>
          <w:p w14:paraId="086C417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European Securities and Market Authority </w:t>
            </w:r>
          </w:p>
        </w:tc>
        <w:tc>
          <w:tcPr>
            <w:tcW w:w="794" w:type="dxa"/>
          </w:tcPr>
          <w:p w14:paraId="3C17DD2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7A8CDF9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096B62D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77BB1BE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(XML) </w:t>
            </w:r>
          </w:p>
        </w:tc>
        <w:tc>
          <w:tcPr>
            <w:tcW w:w="807" w:type="dxa"/>
            <w:noWrap/>
          </w:tcPr>
          <w:p w14:paraId="602B6D2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500 </w:t>
            </w:r>
          </w:p>
        </w:tc>
        <w:tc>
          <w:tcPr>
            <w:tcW w:w="804" w:type="dxa"/>
            <w:noWrap/>
          </w:tcPr>
          <w:p w14:paraId="7D07360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w:t>
            </w:r>
          </w:p>
        </w:tc>
      </w:tr>
      <w:tr w:rsidR="00D42B04" w:rsidRPr="00D42B04" w14:paraId="58946688" w14:textId="77777777" w:rsidTr="000C3B41">
        <w:trPr>
          <w:cantSplit/>
          <w:trHeight w:val="45"/>
        </w:trPr>
        <w:tc>
          <w:tcPr>
            <w:tcW w:w="1092" w:type="dxa"/>
          </w:tcPr>
          <w:p w14:paraId="46691A35"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LEI kódy / GLEIF </w:t>
            </w:r>
          </w:p>
        </w:tc>
        <w:tc>
          <w:tcPr>
            <w:tcW w:w="1823" w:type="dxa"/>
          </w:tcPr>
          <w:p w14:paraId="491F499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 </w:t>
            </w:r>
          </w:p>
        </w:tc>
        <w:tc>
          <w:tcPr>
            <w:tcW w:w="794" w:type="dxa"/>
          </w:tcPr>
          <w:p w14:paraId="50579DC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4C4D507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4D147EE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265655E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(XML) </w:t>
            </w:r>
          </w:p>
        </w:tc>
        <w:tc>
          <w:tcPr>
            <w:tcW w:w="807" w:type="dxa"/>
            <w:noWrap/>
          </w:tcPr>
          <w:p w14:paraId="592AC99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0,05 </w:t>
            </w:r>
          </w:p>
        </w:tc>
        <w:tc>
          <w:tcPr>
            <w:tcW w:w="804" w:type="dxa"/>
            <w:noWrap/>
          </w:tcPr>
          <w:p w14:paraId="5984D96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r>
      <w:tr w:rsidR="00D42B04" w:rsidRPr="00D42B04" w14:paraId="287CFB72" w14:textId="77777777" w:rsidTr="00D42B04">
        <w:trPr>
          <w:cnfStyle w:val="000000100000" w:firstRow="0" w:lastRow="0" w:firstColumn="0" w:lastColumn="0" w:oddVBand="0" w:evenVBand="0" w:oddHBand="1" w:evenHBand="0" w:firstRowFirstColumn="0" w:firstRowLastColumn="0" w:lastRowFirstColumn="0" w:lastRowLastColumn="0"/>
          <w:cantSplit/>
          <w:trHeight w:val="78"/>
        </w:trPr>
        <w:tc>
          <w:tcPr>
            <w:tcW w:w="1092" w:type="dxa"/>
          </w:tcPr>
          <w:p w14:paraId="502E58C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lastRenderedPageBreak/>
              <w:t>RBUZ </w:t>
            </w:r>
          </w:p>
        </w:tc>
        <w:tc>
          <w:tcPr>
            <w:tcW w:w="1823" w:type="dxa"/>
          </w:tcPr>
          <w:p w14:paraId="1D0FCCC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bankových úverov a záruk </w:t>
            </w:r>
          </w:p>
        </w:tc>
        <w:tc>
          <w:tcPr>
            <w:tcW w:w="794" w:type="dxa"/>
          </w:tcPr>
          <w:p w14:paraId="023031B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0DEFBBC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4104998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688238F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Oracle (Tabuľky) </w:t>
            </w:r>
          </w:p>
        </w:tc>
        <w:tc>
          <w:tcPr>
            <w:tcW w:w="807" w:type="dxa"/>
            <w:noWrap/>
          </w:tcPr>
          <w:p w14:paraId="66D037A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30,6 </w:t>
            </w:r>
          </w:p>
        </w:tc>
        <w:tc>
          <w:tcPr>
            <w:tcW w:w="804" w:type="dxa"/>
            <w:noWrap/>
          </w:tcPr>
          <w:p w14:paraId="5CF4701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24</w:t>
            </w:r>
          </w:p>
        </w:tc>
      </w:tr>
      <w:tr w:rsidR="00D42B04" w:rsidRPr="00D42B04" w14:paraId="5FF32C56" w14:textId="77777777" w:rsidTr="000C3B41">
        <w:trPr>
          <w:cantSplit/>
          <w:trHeight w:val="381"/>
        </w:trPr>
        <w:tc>
          <w:tcPr>
            <w:tcW w:w="1092" w:type="dxa"/>
          </w:tcPr>
          <w:p w14:paraId="5DC71D2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REGFAP </w:t>
            </w:r>
          </w:p>
        </w:tc>
        <w:tc>
          <w:tcPr>
            <w:tcW w:w="1823" w:type="dxa"/>
          </w:tcPr>
          <w:p w14:paraId="3AB5573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finančných agentov a finančných poradcov </w:t>
            </w:r>
          </w:p>
        </w:tc>
        <w:tc>
          <w:tcPr>
            <w:tcW w:w="794" w:type="dxa"/>
          </w:tcPr>
          <w:p w14:paraId="59E0168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04CDE7D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6A438A3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3C1AC79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MySQL (Tabuľky) </w:t>
            </w:r>
          </w:p>
        </w:tc>
        <w:tc>
          <w:tcPr>
            <w:tcW w:w="807" w:type="dxa"/>
            <w:noWrap/>
          </w:tcPr>
          <w:p w14:paraId="6A678A4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213095E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30</w:t>
            </w:r>
          </w:p>
        </w:tc>
      </w:tr>
      <w:tr w:rsidR="00D42B04" w:rsidRPr="00D42B04" w14:paraId="05E50449" w14:textId="77777777" w:rsidTr="00D42B04">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0EF8B749"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RO </w:t>
            </w:r>
          </w:p>
        </w:tc>
        <w:tc>
          <w:tcPr>
            <w:tcW w:w="1823" w:type="dxa"/>
          </w:tcPr>
          <w:p w14:paraId="769C2F67"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organizácií (pre spracovanie MFI BSI, FA) </w:t>
            </w:r>
          </w:p>
        </w:tc>
        <w:tc>
          <w:tcPr>
            <w:tcW w:w="794" w:type="dxa"/>
            <w:noWrap/>
          </w:tcPr>
          <w:p w14:paraId="60D371F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AC8BC3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71E98AD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noWrap/>
          </w:tcPr>
          <w:p w14:paraId="2780DD9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(CSV) </w:t>
            </w:r>
          </w:p>
        </w:tc>
        <w:tc>
          <w:tcPr>
            <w:tcW w:w="807" w:type="dxa"/>
            <w:noWrap/>
          </w:tcPr>
          <w:p w14:paraId="15C177D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0,3 </w:t>
            </w:r>
          </w:p>
        </w:tc>
        <w:tc>
          <w:tcPr>
            <w:tcW w:w="804" w:type="dxa"/>
            <w:noWrap/>
          </w:tcPr>
          <w:p w14:paraId="3A20583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r>
      <w:tr w:rsidR="00D42B04" w:rsidRPr="00D42B04" w14:paraId="4BA8BD00" w14:textId="77777777" w:rsidTr="000C3B41">
        <w:trPr>
          <w:cantSplit/>
          <w:trHeight w:val="45"/>
        </w:trPr>
        <w:tc>
          <w:tcPr>
            <w:tcW w:w="1092" w:type="dxa"/>
          </w:tcPr>
          <w:p w14:paraId="3DE210E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RUZ </w:t>
            </w:r>
          </w:p>
        </w:tc>
        <w:tc>
          <w:tcPr>
            <w:tcW w:w="1823" w:type="dxa"/>
          </w:tcPr>
          <w:p w14:paraId="24AE4F9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účtovných závierok </w:t>
            </w:r>
          </w:p>
        </w:tc>
        <w:tc>
          <w:tcPr>
            <w:tcW w:w="794" w:type="dxa"/>
          </w:tcPr>
          <w:p w14:paraId="4E305B7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3032285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0F4192D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61AA9BF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(JSON) </w:t>
            </w:r>
          </w:p>
        </w:tc>
        <w:tc>
          <w:tcPr>
            <w:tcW w:w="807" w:type="dxa"/>
          </w:tcPr>
          <w:p w14:paraId="692E417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tcPr>
          <w:p w14:paraId="2E92AAA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6</w:t>
            </w:r>
          </w:p>
        </w:tc>
      </w:tr>
      <w:tr w:rsidR="00D42B04" w:rsidRPr="00D42B04" w14:paraId="1CAA59F9"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23679307"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SU SR </w:t>
            </w:r>
          </w:p>
        </w:tc>
        <w:tc>
          <w:tcPr>
            <w:tcW w:w="1823" w:type="dxa"/>
          </w:tcPr>
          <w:p w14:paraId="578027D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Číselníky a registre poskytované štatistickým úradom SR (pre spracovanie GFS, IC, BoP, FA a iné) </w:t>
            </w:r>
          </w:p>
        </w:tc>
        <w:tc>
          <w:tcPr>
            <w:tcW w:w="794" w:type="dxa"/>
          </w:tcPr>
          <w:p w14:paraId="6A855B1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19036D9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339058E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noWrap/>
          </w:tcPr>
          <w:p w14:paraId="43B06DD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(JSON, XML (štandard SDMX-ML), XLSX, CSV, ACCDB) </w:t>
            </w:r>
          </w:p>
        </w:tc>
        <w:tc>
          <w:tcPr>
            <w:tcW w:w="807" w:type="dxa"/>
          </w:tcPr>
          <w:p w14:paraId="6272A09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tcPr>
          <w:p w14:paraId="6288296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30</w:t>
            </w:r>
          </w:p>
        </w:tc>
      </w:tr>
      <w:tr w:rsidR="00D42B04" w:rsidRPr="00D42B04" w14:paraId="4AE2089E" w14:textId="77777777" w:rsidTr="000C3B41">
        <w:trPr>
          <w:cantSplit/>
          <w:trHeight w:val="123"/>
        </w:trPr>
        <w:tc>
          <w:tcPr>
            <w:tcW w:w="1092" w:type="dxa"/>
          </w:tcPr>
          <w:p w14:paraId="4E4A6658" w14:textId="77777777" w:rsidR="00D42B04" w:rsidRPr="00D42B04" w:rsidRDefault="00D42B04" w:rsidP="00D42B04">
            <w:pPr>
              <w:spacing w:before="120" w:after="120"/>
              <w:jc w:val="both"/>
              <w:rPr>
                <w:rFonts w:ascii="Cambria" w:hAnsi="Cambria"/>
                <w:b/>
                <w:bCs/>
                <w:color w:val="000000"/>
                <w:sz w:val="16"/>
                <w:szCs w:val="16"/>
                <w:lang w:eastAsia="sk-SK"/>
              </w:rPr>
            </w:pPr>
            <w:r w:rsidRPr="00D42B04">
              <w:rPr>
                <w:rFonts w:ascii="Cambria" w:hAnsi="Cambria" w:cs="Calibri"/>
                <w:b/>
                <w:bCs/>
                <w:sz w:val="16"/>
                <w:szCs w:val="16"/>
              </w:rPr>
              <w:t>ŠZP ESAS </w:t>
            </w:r>
          </w:p>
        </w:tc>
        <w:tc>
          <w:tcPr>
            <w:tcW w:w="1823" w:type="dxa"/>
          </w:tcPr>
          <w:p w14:paraId="1745235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ŠZP ESAS (XBRL Fujitsu) </w:t>
            </w:r>
          </w:p>
        </w:tc>
        <w:tc>
          <w:tcPr>
            <w:tcW w:w="794" w:type="dxa"/>
            <w:noWrap/>
          </w:tcPr>
          <w:p w14:paraId="5269DDF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4274C49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14A5A9D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3272968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(XBRL) </w:t>
            </w:r>
          </w:p>
        </w:tc>
        <w:tc>
          <w:tcPr>
            <w:tcW w:w="807" w:type="dxa"/>
            <w:noWrap/>
          </w:tcPr>
          <w:p w14:paraId="7105433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80 </w:t>
            </w:r>
          </w:p>
        </w:tc>
        <w:tc>
          <w:tcPr>
            <w:tcW w:w="804" w:type="dxa"/>
            <w:noWrap/>
          </w:tcPr>
          <w:p w14:paraId="71F1233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100</w:t>
            </w:r>
          </w:p>
        </w:tc>
      </w:tr>
      <w:tr w:rsidR="00D42B04" w:rsidRPr="00D42B04" w14:paraId="3357FE08"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5C71826B"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ŠZP ESAS </w:t>
            </w:r>
          </w:p>
        </w:tc>
        <w:tc>
          <w:tcPr>
            <w:tcW w:w="1823" w:type="dxa"/>
          </w:tcPr>
          <w:p w14:paraId="09A527B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ŠZP ESAS (XBRL Fujitsu) </w:t>
            </w:r>
          </w:p>
        </w:tc>
        <w:tc>
          <w:tcPr>
            <w:tcW w:w="794" w:type="dxa"/>
          </w:tcPr>
          <w:p w14:paraId="1FF1D0C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1AE343B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1BA908F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tcPr>
          <w:p w14:paraId="3EC9A48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Oracle (Tabuľky/BLOB obsahujú XML v ZIPe) </w:t>
            </w:r>
          </w:p>
        </w:tc>
        <w:tc>
          <w:tcPr>
            <w:tcW w:w="807" w:type="dxa"/>
            <w:noWrap/>
          </w:tcPr>
          <w:p w14:paraId="58B99CB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63BF0CB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100</w:t>
            </w:r>
          </w:p>
        </w:tc>
      </w:tr>
      <w:tr w:rsidR="00D42B04" w:rsidRPr="00D42B04" w14:paraId="3438EC9E" w14:textId="77777777" w:rsidTr="000C3B41">
        <w:trPr>
          <w:cantSplit/>
          <w:trHeight w:val="45"/>
        </w:trPr>
        <w:tc>
          <w:tcPr>
            <w:tcW w:w="1092" w:type="dxa"/>
          </w:tcPr>
          <w:p w14:paraId="51B9572A"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ŠZP </w:t>
            </w:r>
          </w:p>
        </w:tc>
        <w:tc>
          <w:tcPr>
            <w:tcW w:w="1823" w:type="dxa"/>
          </w:tcPr>
          <w:p w14:paraId="4E51D36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Štatistický zberový portál </w:t>
            </w:r>
          </w:p>
        </w:tc>
        <w:tc>
          <w:tcPr>
            <w:tcW w:w="794" w:type="dxa"/>
          </w:tcPr>
          <w:p w14:paraId="3428EF6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21748D4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c>
          <w:tcPr>
            <w:tcW w:w="876" w:type="dxa"/>
          </w:tcPr>
          <w:p w14:paraId="0F5D586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0B153F5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Oracle (Tabuľky) </w:t>
            </w:r>
          </w:p>
        </w:tc>
        <w:tc>
          <w:tcPr>
            <w:tcW w:w="807" w:type="dxa"/>
            <w:noWrap/>
          </w:tcPr>
          <w:p w14:paraId="492A9603"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250 </w:t>
            </w:r>
          </w:p>
        </w:tc>
        <w:tc>
          <w:tcPr>
            <w:tcW w:w="804" w:type="dxa"/>
            <w:noWrap/>
          </w:tcPr>
          <w:p w14:paraId="01C9C28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100</w:t>
            </w:r>
          </w:p>
        </w:tc>
      </w:tr>
      <w:tr w:rsidR="00D42B04" w:rsidRPr="00D42B04" w14:paraId="1FBFCEDD" w14:textId="77777777" w:rsidTr="00D42B04">
        <w:trPr>
          <w:cnfStyle w:val="000000100000" w:firstRow="0" w:lastRow="0" w:firstColumn="0" w:lastColumn="0" w:oddVBand="0" w:evenVBand="0" w:oddHBand="1" w:evenHBand="0" w:firstRowFirstColumn="0" w:firstRowLastColumn="0" w:lastRowFirstColumn="0" w:lastRowLastColumn="0"/>
          <w:cantSplit/>
          <w:trHeight w:val="172"/>
        </w:trPr>
        <w:tc>
          <w:tcPr>
            <w:tcW w:w="1092" w:type="dxa"/>
          </w:tcPr>
          <w:p w14:paraId="06DA43FE"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ARDAL </w:t>
            </w:r>
          </w:p>
        </w:tc>
        <w:tc>
          <w:tcPr>
            <w:tcW w:w="1823" w:type="dxa"/>
          </w:tcPr>
          <w:p w14:paraId="7E6F228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Agentúra pre riadenie dlhu alikvidity - údaje o úveroch, vkladoch, CP, derivátoch, repo obchodoch (stavy a transakcie); (pre spracovanie GFS, BoP, FA) </w:t>
            </w:r>
          </w:p>
        </w:tc>
        <w:tc>
          <w:tcPr>
            <w:tcW w:w="794" w:type="dxa"/>
            <w:noWrap/>
          </w:tcPr>
          <w:p w14:paraId="088CFBF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3AB526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7E85162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52B0B79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(XLSX) </w:t>
            </w:r>
          </w:p>
        </w:tc>
        <w:tc>
          <w:tcPr>
            <w:tcW w:w="807" w:type="dxa"/>
            <w:noWrap/>
          </w:tcPr>
          <w:p w14:paraId="6080878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3DDB43A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r>
      <w:tr w:rsidR="00D42B04" w:rsidRPr="00D42B04" w14:paraId="1FE10F7C" w14:textId="77777777" w:rsidTr="000C3B41">
        <w:trPr>
          <w:cantSplit/>
          <w:trHeight w:val="205"/>
        </w:trPr>
        <w:tc>
          <w:tcPr>
            <w:tcW w:w="1092" w:type="dxa"/>
          </w:tcPr>
          <w:p w14:paraId="1C6FC2AA"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BISNODE </w:t>
            </w:r>
          </w:p>
        </w:tc>
        <w:tc>
          <w:tcPr>
            <w:tcW w:w="1823" w:type="dxa"/>
          </w:tcPr>
          <w:p w14:paraId="068BA71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Databáza firiem - kvantitatívne akvalitatívne informácie o subjektoch </w:t>
            </w:r>
          </w:p>
        </w:tc>
        <w:tc>
          <w:tcPr>
            <w:tcW w:w="794" w:type="dxa"/>
          </w:tcPr>
          <w:p w14:paraId="3695BAB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929533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3169BF5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noWrap/>
          </w:tcPr>
          <w:p w14:paraId="40DF4BF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(CSV) </w:t>
            </w:r>
          </w:p>
        </w:tc>
        <w:tc>
          <w:tcPr>
            <w:tcW w:w="807" w:type="dxa"/>
            <w:noWrap/>
          </w:tcPr>
          <w:p w14:paraId="517151B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1,3 </w:t>
            </w:r>
          </w:p>
        </w:tc>
        <w:tc>
          <w:tcPr>
            <w:tcW w:w="804" w:type="dxa"/>
            <w:noWrap/>
          </w:tcPr>
          <w:p w14:paraId="03599CC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14</w:t>
            </w:r>
          </w:p>
        </w:tc>
      </w:tr>
      <w:tr w:rsidR="00D42B04" w:rsidRPr="00D42B04" w14:paraId="78F226E1" w14:textId="77777777" w:rsidTr="00D42B04">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181BC59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CERI </w:t>
            </w:r>
          </w:p>
        </w:tc>
        <w:tc>
          <w:tcPr>
            <w:tcW w:w="1823" w:type="dxa"/>
          </w:tcPr>
          <w:p w14:paraId="7C77040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Centrálna evidencia regulovaných informácií </w:t>
            </w:r>
          </w:p>
        </w:tc>
        <w:tc>
          <w:tcPr>
            <w:tcW w:w="794" w:type="dxa"/>
            <w:noWrap/>
          </w:tcPr>
          <w:p w14:paraId="7CE2246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0A9C907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335EEC7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5BA3474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MySQL DB (Tabuľky/JSON) </w:t>
            </w:r>
          </w:p>
        </w:tc>
        <w:tc>
          <w:tcPr>
            <w:tcW w:w="807" w:type="dxa"/>
            <w:noWrap/>
          </w:tcPr>
          <w:p w14:paraId="21F2872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703694A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r>
      <w:tr w:rsidR="00D42B04" w:rsidRPr="00D42B04" w14:paraId="7BB83925" w14:textId="77777777" w:rsidTr="000C3B41">
        <w:trPr>
          <w:cantSplit/>
          <w:trHeight w:val="45"/>
        </w:trPr>
        <w:tc>
          <w:tcPr>
            <w:tcW w:w="1092" w:type="dxa"/>
          </w:tcPr>
          <w:p w14:paraId="7CCA7FF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CSDB </w:t>
            </w:r>
          </w:p>
        </w:tc>
        <w:tc>
          <w:tcPr>
            <w:tcW w:w="1823" w:type="dxa"/>
          </w:tcPr>
          <w:p w14:paraId="7F9B4AA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Centralised Securities Database </w:t>
            </w:r>
          </w:p>
        </w:tc>
        <w:tc>
          <w:tcPr>
            <w:tcW w:w="794" w:type="dxa"/>
            <w:noWrap/>
          </w:tcPr>
          <w:p w14:paraId="038B6CC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16D95AE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2B81EBE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tcPr>
          <w:p w14:paraId="32439A1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(XML) </w:t>
            </w:r>
          </w:p>
        </w:tc>
        <w:tc>
          <w:tcPr>
            <w:tcW w:w="807" w:type="dxa"/>
            <w:noWrap/>
          </w:tcPr>
          <w:p w14:paraId="667A4AE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170 </w:t>
            </w:r>
          </w:p>
        </w:tc>
        <w:tc>
          <w:tcPr>
            <w:tcW w:w="804" w:type="dxa"/>
            <w:noWrap/>
          </w:tcPr>
          <w:p w14:paraId="7C9859C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r>
      <w:tr w:rsidR="00D42B04" w:rsidRPr="00D42B04" w14:paraId="094CB9EE" w14:textId="77777777" w:rsidTr="00D42B04">
        <w:trPr>
          <w:cnfStyle w:val="000000100000" w:firstRow="0" w:lastRow="0" w:firstColumn="0" w:lastColumn="0" w:oddVBand="0" w:evenVBand="0" w:oddHBand="1" w:evenHBand="0" w:firstRowFirstColumn="0" w:firstRowLastColumn="0" w:lastRowFirstColumn="0" w:lastRowLastColumn="0"/>
          <w:cantSplit/>
          <w:trHeight w:val="510"/>
        </w:trPr>
        <w:tc>
          <w:tcPr>
            <w:tcW w:w="1092" w:type="dxa"/>
          </w:tcPr>
          <w:p w14:paraId="65754058"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lastRenderedPageBreak/>
              <w:t>ESKN </w:t>
            </w:r>
          </w:p>
        </w:tc>
        <w:tc>
          <w:tcPr>
            <w:tcW w:w="1823" w:type="dxa"/>
          </w:tcPr>
          <w:p w14:paraId="5E324C3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Katastrálny úrad (nehnuteľnosti, listy vlastníctva, vlastníci, prepojenia medzi dátami) </w:t>
            </w:r>
          </w:p>
        </w:tc>
        <w:tc>
          <w:tcPr>
            <w:tcW w:w="794" w:type="dxa"/>
            <w:noWrap/>
          </w:tcPr>
          <w:p w14:paraId="4AA257B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510C8FE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69F96B2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208FC58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(DBF) </w:t>
            </w:r>
          </w:p>
        </w:tc>
        <w:tc>
          <w:tcPr>
            <w:tcW w:w="807" w:type="dxa"/>
            <w:noWrap/>
          </w:tcPr>
          <w:p w14:paraId="4698AAA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2 </w:t>
            </w:r>
          </w:p>
        </w:tc>
        <w:tc>
          <w:tcPr>
            <w:tcW w:w="804" w:type="dxa"/>
            <w:noWrap/>
          </w:tcPr>
          <w:p w14:paraId="69D7726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15</w:t>
            </w:r>
          </w:p>
        </w:tc>
      </w:tr>
      <w:tr w:rsidR="00D42B04" w:rsidRPr="00D42B04" w14:paraId="11C12238" w14:textId="77777777" w:rsidTr="000C3B41">
        <w:trPr>
          <w:cantSplit/>
          <w:trHeight w:val="45"/>
        </w:trPr>
        <w:tc>
          <w:tcPr>
            <w:tcW w:w="1092" w:type="dxa"/>
          </w:tcPr>
          <w:p w14:paraId="5F859123"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Eurofondy </w:t>
            </w:r>
          </w:p>
        </w:tc>
        <w:tc>
          <w:tcPr>
            <w:tcW w:w="1823" w:type="dxa"/>
          </w:tcPr>
          <w:p w14:paraId="221DD5F7"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Exporty dát z čerpania eurofondov </w:t>
            </w:r>
          </w:p>
        </w:tc>
        <w:tc>
          <w:tcPr>
            <w:tcW w:w="794" w:type="dxa"/>
            <w:noWrap/>
          </w:tcPr>
          <w:p w14:paraId="6DA62DE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1B3D156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116BA3C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6976F76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(JSON) </w:t>
            </w:r>
          </w:p>
        </w:tc>
        <w:tc>
          <w:tcPr>
            <w:tcW w:w="807" w:type="dxa"/>
            <w:noWrap/>
          </w:tcPr>
          <w:p w14:paraId="13FF5DF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50 </w:t>
            </w:r>
          </w:p>
        </w:tc>
        <w:tc>
          <w:tcPr>
            <w:tcW w:w="804" w:type="dxa"/>
            <w:noWrap/>
          </w:tcPr>
          <w:p w14:paraId="46C514F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39</w:t>
            </w:r>
          </w:p>
        </w:tc>
      </w:tr>
      <w:tr w:rsidR="00D42B04" w:rsidRPr="00D42B04" w14:paraId="43B8FFEB" w14:textId="77777777" w:rsidTr="00D42B04">
        <w:trPr>
          <w:cnfStyle w:val="000000100000" w:firstRow="0" w:lastRow="0" w:firstColumn="0" w:lastColumn="0" w:oddVBand="0" w:evenVBand="0" w:oddHBand="1" w:evenHBand="0" w:firstRowFirstColumn="0" w:firstRowLastColumn="0" w:lastRowFirstColumn="0" w:lastRowLastColumn="0"/>
          <w:cantSplit/>
          <w:trHeight w:val="105"/>
        </w:trPr>
        <w:tc>
          <w:tcPr>
            <w:tcW w:w="1092" w:type="dxa"/>
          </w:tcPr>
          <w:p w14:paraId="394A6874"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Finančná správy SR </w:t>
            </w:r>
          </w:p>
        </w:tc>
        <w:tc>
          <w:tcPr>
            <w:tcW w:w="1823" w:type="dxa"/>
          </w:tcPr>
          <w:p w14:paraId="7696072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Tabuľky Finančnej správy SR pre spracovanie BoP </w:t>
            </w:r>
          </w:p>
        </w:tc>
        <w:tc>
          <w:tcPr>
            <w:tcW w:w="794" w:type="dxa"/>
            <w:noWrap/>
          </w:tcPr>
          <w:p w14:paraId="749C406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9605B5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709D901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67ADC0F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(XLSX) </w:t>
            </w:r>
          </w:p>
        </w:tc>
        <w:tc>
          <w:tcPr>
            <w:tcW w:w="807" w:type="dxa"/>
            <w:noWrap/>
          </w:tcPr>
          <w:p w14:paraId="0FD15C7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0,5 </w:t>
            </w:r>
          </w:p>
        </w:tc>
        <w:tc>
          <w:tcPr>
            <w:tcW w:w="804" w:type="dxa"/>
            <w:noWrap/>
          </w:tcPr>
          <w:p w14:paraId="6DD5F23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r>
      <w:tr w:rsidR="00D42B04" w:rsidRPr="00D42B04" w14:paraId="5EF1E1DA" w14:textId="77777777" w:rsidTr="000C3B41">
        <w:trPr>
          <w:cantSplit/>
          <w:trHeight w:val="510"/>
        </w:trPr>
        <w:tc>
          <w:tcPr>
            <w:tcW w:w="1092" w:type="dxa"/>
          </w:tcPr>
          <w:p w14:paraId="2B3EA42D"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Makroek. DB </w:t>
            </w:r>
          </w:p>
        </w:tc>
        <w:tc>
          <w:tcPr>
            <w:tcW w:w="1823" w:type="dxa"/>
          </w:tcPr>
          <w:p w14:paraId="1D2D28F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Makroekonomická databáza </w:t>
            </w:r>
          </w:p>
        </w:tc>
        <w:tc>
          <w:tcPr>
            <w:tcW w:w="794" w:type="dxa"/>
            <w:noWrap/>
          </w:tcPr>
          <w:p w14:paraId="688964A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79E7E54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50531FD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1FF8851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(XLS/CSV) </w:t>
            </w:r>
          </w:p>
        </w:tc>
        <w:tc>
          <w:tcPr>
            <w:tcW w:w="807" w:type="dxa"/>
            <w:noWrap/>
          </w:tcPr>
          <w:p w14:paraId="1C16C05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5 </w:t>
            </w:r>
          </w:p>
        </w:tc>
        <w:tc>
          <w:tcPr>
            <w:tcW w:w="804" w:type="dxa"/>
            <w:noWrap/>
          </w:tcPr>
          <w:p w14:paraId="2FDD7C2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8</w:t>
            </w:r>
          </w:p>
        </w:tc>
      </w:tr>
      <w:tr w:rsidR="00D42B04" w:rsidRPr="00D42B04" w14:paraId="7264580F" w14:textId="77777777" w:rsidTr="00D42B04">
        <w:trPr>
          <w:cnfStyle w:val="000000100000" w:firstRow="0" w:lastRow="0" w:firstColumn="0" w:lastColumn="0" w:oddVBand="0" w:evenVBand="0" w:oddHBand="1" w:evenHBand="0" w:firstRowFirstColumn="0" w:firstRowLastColumn="0" w:lastRowFirstColumn="0" w:lastRowLastColumn="0"/>
          <w:cantSplit/>
          <w:trHeight w:val="123"/>
        </w:trPr>
        <w:tc>
          <w:tcPr>
            <w:tcW w:w="1092" w:type="dxa"/>
          </w:tcPr>
          <w:p w14:paraId="00724CAE"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manuálne vstupy </w:t>
            </w:r>
          </w:p>
        </w:tc>
        <w:tc>
          <w:tcPr>
            <w:tcW w:w="1823" w:type="dxa"/>
          </w:tcPr>
          <w:p w14:paraId="3BF4529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Konfiguračné metadáta pre všetky spracovania </w:t>
            </w:r>
          </w:p>
        </w:tc>
        <w:tc>
          <w:tcPr>
            <w:tcW w:w="794" w:type="dxa"/>
            <w:noWrap/>
          </w:tcPr>
          <w:p w14:paraId="2710C76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49BF160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42BD19A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noWrap/>
          </w:tcPr>
          <w:p w14:paraId="6B8E195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(XLS/CSV) </w:t>
            </w:r>
          </w:p>
        </w:tc>
        <w:tc>
          <w:tcPr>
            <w:tcW w:w="807" w:type="dxa"/>
            <w:noWrap/>
          </w:tcPr>
          <w:p w14:paraId="456E501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340301A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60</w:t>
            </w:r>
          </w:p>
        </w:tc>
      </w:tr>
      <w:tr w:rsidR="00D42B04" w:rsidRPr="00D42B04" w14:paraId="1228EA00" w14:textId="77777777" w:rsidTr="000C3B41">
        <w:trPr>
          <w:cantSplit/>
          <w:trHeight w:val="45"/>
        </w:trPr>
        <w:tc>
          <w:tcPr>
            <w:tcW w:w="1092" w:type="dxa"/>
          </w:tcPr>
          <w:p w14:paraId="0E932E37"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manuálne vstupy </w:t>
            </w:r>
          </w:p>
        </w:tc>
        <w:tc>
          <w:tcPr>
            <w:tcW w:w="1823" w:type="dxa"/>
          </w:tcPr>
          <w:p w14:paraId="3F60A3B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Týždenné štatistické ukazovatele </w:t>
            </w:r>
          </w:p>
        </w:tc>
        <w:tc>
          <w:tcPr>
            <w:tcW w:w="794" w:type="dxa"/>
            <w:noWrap/>
          </w:tcPr>
          <w:p w14:paraId="79754BA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23E3BA3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726B3ED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noWrap/>
          </w:tcPr>
          <w:p w14:paraId="1755E7A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(XLS/CSV) </w:t>
            </w:r>
          </w:p>
        </w:tc>
        <w:tc>
          <w:tcPr>
            <w:tcW w:w="807" w:type="dxa"/>
            <w:noWrap/>
          </w:tcPr>
          <w:p w14:paraId="55A4410A"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8 </w:t>
            </w:r>
          </w:p>
        </w:tc>
        <w:tc>
          <w:tcPr>
            <w:tcW w:w="804" w:type="dxa"/>
            <w:noWrap/>
          </w:tcPr>
          <w:p w14:paraId="195FFAE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100</w:t>
            </w:r>
          </w:p>
        </w:tc>
      </w:tr>
      <w:tr w:rsidR="00D42B04" w:rsidRPr="00D42B04" w14:paraId="29EB0A97"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46A5CE6D"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manuálne vstupy </w:t>
            </w:r>
          </w:p>
        </w:tc>
        <w:tc>
          <w:tcPr>
            <w:tcW w:w="1823" w:type="dxa"/>
          </w:tcPr>
          <w:p w14:paraId="61ED0FE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Ročné štatistické ukazovatele </w:t>
            </w:r>
          </w:p>
        </w:tc>
        <w:tc>
          <w:tcPr>
            <w:tcW w:w="794" w:type="dxa"/>
          </w:tcPr>
          <w:p w14:paraId="5E88D94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43036A8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7519B32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75FB96C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(XLS/CSV) </w:t>
            </w:r>
          </w:p>
        </w:tc>
        <w:tc>
          <w:tcPr>
            <w:tcW w:w="807" w:type="dxa"/>
            <w:noWrap/>
          </w:tcPr>
          <w:p w14:paraId="4FD4D4A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2 </w:t>
            </w:r>
          </w:p>
        </w:tc>
        <w:tc>
          <w:tcPr>
            <w:tcW w:w="804" w:type="dxa"/>
            <w:noWrap/>
          </w:tcPr>
          <w:p w14:paraId="32EF85C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20</w:t>
            </w:r>
          </w:p>
        </w:tc>
      </w:tr>
      <w:tr w:rsidR="00D42B04" w:rsidRPr="00D42B04" w14:paraId="265A9F61" w14:textId="77777777" w:rsidTr="000C3B41">
        <w:trPr>
          <w:cantSplit/>
          <w:trHeight w:val="45"/>
        </w:trPr>
        <w:tc>
          <w:tcPr>
            <w:tcW w:w="1092" w:type="dxa"/>
          </w:tcPr>
          <w:p w14:paraId="390215A7"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manuálne vstupy </w:t>
            </w:r>
          </w:p>
        </w:tc>
        <w:tc>
          <w:tcPr>
            <w:tcW w:w="1823" w:type="dxa"/>
          </w:tcPr>
          <w:p w14:paraId="2005767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Manuálne výkazy a kompilácie údajov NBS </w:t>
            </w:r>
          </w:p>
        </w:tc>
        <w:tc>
          <w:tcPr>
            <w:tcW w:w="794" w:type="dxa"/>
          </w:tcPr>
          <w:p w14:paraId="0C9F9CE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6253680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34CA455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4ED2AC9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(XLS/CSV) </w:t>
            </w:r>
          </w:p>
        </w:tc>
        <w:tc>
          <w:tcPr>
            <w:tcW w:w="807" w:type="dxa"/>
            <w:noWrap/>
          </w:tcPr>
          <w:p w14:paraId="0333E71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3 </w:t>
            </w:r>
          </w:p>
        </w:tc>
        <w:tc>
          <w:tcPr>
            <w:tcW w:w="804" w:type="dxa"/>
            <w:noWrap/>
          </w:tcPr>
          <w:p w14:paraId="7935F73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40</w:t>
            </w:r>
          </w:p>
        </w:tc>
      </w:tr>
      <w:tr w:rsidR="00D42B04" w:rsidRPr="00D42B04" w14:paraId="3F309354" w14:textId="77777777" w:rsidTr="00D42B04">
        <w:trPr>
          <w:cnfStyle w:val="000000100000" w:firstRow="0" w:lastRow="0" w:firstColumn="0" w:lastColumn="0" w:oddVBand="0" w:evenVBand="0" w:oddHBand="1" w:evenHBand="0" w:firstRowFirstColumn="0" w:firstRowLastColumn="0" w:lastRowFirstColumn="0" w:lastRowLastColumn="0"/>
          <w:cantSplit/>
          <w:trHeight w:val="45"/>
        </w:trPr>
        <w:tc>
          <w:tcPr>
            <w:tcW w:w="1092" w:type="dxa"/>
          </w:tcPr>
          <w:p w14:paraId="7DA109E7"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Ministerstvo financií SR </w:t>
            </w:r>
          </w:p>
        </w:tc>
        <w:tc>
          <w:tcPr>
            <w:tcW w:w="1823" w:type="dxa"/>
          </w:tcPr>
          <w:p w14:paraId="2605CF9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Tabuľky MF SR pre spracovanie BoP, FA </w:t>
            </w:r>
          </w:p>
        </w:tc>
        <w:tc>
          <w:tcPr>
            <w:tcW w:w="794" w:type="dxa"/>
            <w:noWrap/>
          </w:tcPr>
          <w:p w14:paraId="47F8AFD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A7E8D7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5406F21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2981411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(XLSX) </w:t>
            </w:r>
          </w:p>
        </w:tc>
        <w:tc>
          <w:tcPr>
            <w:tcW w:w="807" w:type="dxa"/>
            <w:noWrap/>
          </w:tcPr>
          <w:p w14:paraId="5EAB74D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72AF03C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r>
      <w:tr w:rsidR="00D42B04" w:rsidRPr="00D42B04" w14:paraId="08A16AF9" w14:textId="77777777" w:rsidTr="000C3B41">
        <w:trPr>
          <w:cantSplit/>
          <w:trHeight w:val="349"/>
        </w:trPr>
        <w:tc>
          <w:tcPr>
            <w:tcW w:w="1092" w:type="dxa"/>
          </w:tcPr>
          <w:p w14:paraId="4590D39C"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SHSDB </w:t>
            </w:r>
          </w:p>
        </w:tc>
        <w:tc>
          <w:tcPr>
            <w:tcW w:w="1823" w:type="dxa"/>
          </w:tcPr>
          <w:p w14:paraId="6012D63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Securities Holdings Statistics Database </w:t>
            </w:r>
          </w:p>
        </w:tc>
        <w:tc>
          <w:tcPr>
            <w:tcW w:w="794" w:type="dxa"/>
            <w:noWrap/>
          </w:tcPr>
          <w:p w14:paraId="4DB023C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7959DE3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07AFAC8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tcPr>
          <w:p w14:paraId="797B170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(XML) </w:t>
            </w:r>
          </w:p>
        </w:tc>
        <w:tc>
          <w:tcPr>
            <w:tcW w:w="807" w:type="dxa"/>
            <w:noWrap/>
          </w:tcPr>
          <w:p w14:paraId="022E584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170 </w:t>
            </w:r>
          </w:p>
        </w:tc>
        <w:tc>
          <w:tcPr>
            <w:tcW w:w="804" w:type="dxa"/>
            <w:noWrap/>
          </w:tcPr>
          <w:p w14:paraId="46FD909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r>
      <w:tr w:rsidR="00D42B04" w:rsidRPr="00D42B04" w14:paraId="1FDA943E" w14:textId="77777777" w:rsidTr="00D42B04">
        <w:trPr>
          <w:cnfStyle w:val="000000100000" w:firstRow="0" w:lastRow="0" w:firstColumn="0" w:lastColumn="0" w:oddVBand="0" w:evenVBand="0" w:oddHBand="1" w:evenHBand="0" w:firstRowFirstColumn="0" w:firstRowLastColumn="0" w:lastRowFirstColumn="0" w:lastRowLastColumn="0"/>
          <w:cantSplit/>
          <w:trHeight w:val="78"/>
        </w:trPr>
        <w:tc>
          <w:tcPr>
            <w:tcW w:w="1092" w:type="dxa"/>
          </w:tcPr>
          <w:p w14:paraId="339182B6"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Skúšky </w:t>
            </w:r>
          </w:p>
        </w:tc>
        <w:tc>
          <w:tcPr>
            <w:tcW w:w="1823" w:type="dxa"/>
          </w:tcPr>
          <w:p w14:paraId="7050590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Databáza otázok na skúšky, cvičné testy, ich výsledky, termíny skúšok </w:t>
            </w:r>
          </w:p>
        </w:tc>
        <w:tc>
          <w:tcPr>
            <w:tcW w:w="794" w:type="dxa"/>
            <w:noWrap/>
          </w:tcPr>
          <w:p w14:paraId="55755F3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12D318B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476762B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64420E1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MySQL (Tabuľky) </w:t>
            </w:r>
          </w:p>
        </w:tc>
        <w:tc>
          <w:tcPr>
            <w:tcW w:w="807" w:type="dxa"/>
          </w:tcPr>
          <w:p w14:paraId="5522A65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0,1 </w:t>
            </w:r>
          </w:p>
        </w:tc>
        <w:tc>
          <w:tcPr>
            <w:tcW w:w="804" w:type="dxa"/>
          </w:tcPr>
          <w:p w14:paraId="2D548E0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r>
      <w:tr w:rsidR="00D42B04" w:rsidRPr="00D42B04" w14:paraId="7CB7640E" w14:textId="77777777" w:rsidTr="000C3B41">
        <w:trPr>
          <w:cantSplit/>
          <w:trHeight w:val="175"/>
        </w:trPr>
        <w:tc>
          <w:tcPr>
            <w:tcW w:w="1092" w:type="dxa"/>
          </w:tcPr>
          <w:p w14:paraId="1F75CA3E"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Štátna pokladnica  </w:t>
            </w:r>
          </w:p>
        </w:tc>
        <w:tc>
          <w:tcPr>
            <w:tcW w:w="1823" w:type="dxa"/>
          </w:tcPr>
          <w:p w14:paraId="04DC7D7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Tabuľky Štátnej pokladnice pre spracovanie GFS </w:t>
            </w:r>
          </w:p>
        </w:tc>
        <w:tc>
          <w:tcPr>
            <w:tcW w:w="794" w:type="dxa"/>
          </w:tcPr>
          <w:p w14:paraId="19C55ED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43D47BE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3</w:t>
            </w:r>
          </w:p>
        </w:tc>
        <w:tc>
          <w:tcPr>
            <w:tcW w:w="876" w:type="dxa"/>
          </w:tcPr>
          <w:p w14:paraId="49A23B4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OUT </w:t>
            </w:r>
          </w:p>
        </w:tc>
        <w:tc>
          <w:tcPr>
            <w:tcW w:w="1749" w:type="dxa"/>
          </w:tcPr>
          <w:p w14:paraId="6FC94EB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(XLSX) </w:t>
            </w:r>
          </w:p>
        </w:tc>
        <w:tc>
          <w:tcPr>
            <w:tcW w:w="807" w:type="dxa"/>
            <w:noWrap/>
          </w:tcPr>
          <w:p w14:paraId="18DD8B3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5 </w:t>
            </w:r>
          </w:p>
        </w:tc>
        <w:tc>
          <w:tcPr>
            <w:tcW w:w="804" w:type="dxa"/>
            <w:noWrap/>
          </w:tcPr>
          <w:p w14:paraId="0633650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w:t>
            </w:r>
          </w:p>
        </w:tc>
      </w:tr>
      <w:tr w:rsidR="00D42B04" w:rsidRPr="00D42B04" w14:paraId="4A48FACB" w14:textId="77777777" w:rsidTr="00D42B04">
        <w:trPr>
          <w:cnfStyle w:val="000000100000" w:firstRow="0" w:lastRow="0" w:firstColumn="0" w:lastColumn="0" w:oddVBand="0" w:evenVBand="0" w:oddHBand="1" w:evenHBand="0" w:firstRowFirstColumn="0" w:firstRowLastColumn="0" w:lastRowFirstColumn="0" w:lastRowLastColumn="0"/>
          <w:cantSplit/>
          <w:trHeight w:val="220"/>
        </w:trPr>
        <w:tc>
          <w:tcPr>
            <w:tcW w:w="1092" w:type="dxa"/>
          </w:tcPr>
          <w:p w14:paraId="228654DD"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BLMBRG </w:t>
            </w:r>
          </w:p>
        </w:tc>
        <w:tc>
          <w:tcPr>
            <w:tcW w:w="1823" w:type="dxa"/>
          </w:tcPr>
          <w:p w14:paraId="16726BC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Bloomberg - obchodná platform </w:t>
            </w:r>
          </w:p>
        </w:tc>
        <w:tc>
          <w:tcPr>
            <w:tcW w:w="794" w:type="dxa"/>
          </w:tcPr>
          <w:p w14:paraId="3E9E057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4F4575D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36C65C0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72C51E6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(JSON/XML) </w:t>
            </w:r>
          </w:p>
        </w:tc>
        <w:tc>
          <w:tcPr>
            <w:tcW w:w="807" w:type="dxa"/>
            <w:noWrap/>
          </w:tcPr>
          <w:p w14:paraId="0F2B650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0ECF85B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50</w:t>
            </w:r>
          </w:p>
        </w:tc>
      </w:tr>
      <w:tr w:rsidR="00D42B04" w:rsidRPr="00D42B04" w14:paraId="56960952" w14:textId="77777777" w:rsidTr="000C3B41">
        <w:trPr>
          <w:cantSplit/>
          <w:trHeight w:val="362"/>
        </w:trPr>
        <w:tc>
          <w:tcPr>
            <w:tcW w:w="1092" w:type="dxa"/>
          </w:tcPr>
          <w:p w14:paraId="6CCA249F"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CRIBIS </w:t>
            </w:r>
          </w:p>
        </w:tc>
        <w:tc>
          <w:tcPr>
            <w:tcW w:w="1823" w:type="dxa"/>
          </w:tcPr>
          <w:p w14:paraId="21EBD0A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CRIBIS - databáza firiem, majetkové a personálne prepojenia </w:t>
            </w:r>
          </w:p>
        </w:tc>
        <w:tc>
          <w:tcPr>
            <w:tcW w:w="794" w:type="dxa"/>
          </w:tcPr>
          <w:p w14:paraId="6EB0C89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0F0D64D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0FE14C8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51412C5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REST API </w:t>
            </w:r>
          </w:p>
        </w:tc>
        <w:tc>
          <w:tcPr>
            <w:tcW w:w="807" w:type="dxa"/>
            <w:noWrap/>
          </w:tcPr>
          <w:p w14:paraId="4C4EA48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000B8FB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w:t>
            </w:r>
          </w:p>
        </w:tc>
      </w:tr>
      <w:tr w:rsidR="00D42B04" w:rsidRPr="00D42B04" w14:paraId="004110D5" w14:textId="77777777" w:rsidTr="00D42B04">
        <w:trPr>
          <w:cnfStyle w:val="000000100000" w:firstRow="0" w:lastRow="0" w:firstColumn="0" w:lastColumn="0" w:oddVBand="0" w:evenVBand="0" w:oddHBand="1" w:evenHBand="0" w:firstRowFirstColumn="0" w:firstRowLastColumn="0" w:lastRowFirstColumn="0" w:lastRowLastColumn="0"/>
          <w:cantSplit/>
          <w:trHeight w:val="255"/>
        </w:trPr>
        <w:tc>
          <w:tcPr>
            <w:tcW w:w="1092" w:type="dxa"/>
          </w:tcPr>
          <w:p w14:paraId="54F06974"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lastRenderedPageBreak/>
              <w:t>ECB SDW </w:t>
            </w:r>
          </w:p>
        </w:tc>
        <w:tc>
          <w:tcPr>
            <w:tcW w:w="1823" w:type="dxa"/>
          </w:tcPr>
          <w:p w14:paraId="260A666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European Central Bank Statistical Data Warehouse - všetky datasety kde figuruje krajina "SK" </w:t>
            </w:r>
          </w:p>
        </w:tc>
        <w:tc>
          <w:tcPr>
            <w:tcW w:w="794" w:type="dxa"/>
            <w:noWrap/>
          </w:tcPr>
          <w:p w14:paraId="7806458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23A6C91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507CC72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5DF1EB0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(CSV/XML) </w:t>
            </w:r>
          </w:p>
        </w:tc>
        <w:tc>
          <w:tcPr>
            <w:tcW w:w="807" w:type="dxa"/>
            <w:noWrap/>
          </w:tcPr>
          <w:p w14:paraId="24D34C8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592BCC1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50</w:t>
            </w:r>
          </w:p>
        </w:tc>
      </w:tr>
      <w:tr w:rsidR="00D42B04" w:rsidRPr="00D42B04" w14:paraId="6204B06A" w14:textId="77777777" w:rsidTr="000C3B41">
        <w:trPr>
          <w:cantSplit/>
          <w:trHeight w:val="123"/>
        </w:trPr>
        <w:tc>
          <w:tcPr>
            <w:tcW w:w="1092" w:type="dxa"/>
          </w:tcPr>
          <w:p w14:paraId="5B2F6EA1"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IDAS </w:t>
            </w:r>
          </w:p>
        </w:tc>
        <w:tc>
          <w:tcPr>
            <w:tcW w:w="1823" w:type="dxa"/>
          </w:tcPr>
          <w:p w14:paraId="45B3F99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Agendový systém dohľadu </w:t>
            </w:r>
          </w:p>
        </w:tc>
        <w:tc>
          <w:tcPr>
            <w:tcW w:w="794" w:type="dxa"/>
            <w:noWrap/>
          </w:tcPr>
          <w:p w14:paraId="247C168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47797470"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1974D16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noWrap/>
          </w:tcPr>
          <w:p w14:paraId="3191C7F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(CSV) </w:t>
            </w:r>
          </w:p>
        </w:tc>
        <w:tc>
          <w:tcPr>
            <w:tcW w:w="807" w:type="dxa"/>
            <w:noWrap/>
          </w:tcPr>
          <w:p w14:paraId="40B1120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55 </w:t>
            </w:r>
          </w:p>
        </w:tc>
        <w:tc>
          <w:tcPr>
            <w:tcW w:w="804" w:type="dxa"/>
            <w:noWrap/>
          </w:tcPr>
          <w:p w14:paraId="640D01A3"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w:t>
            </w:r>
          </w:p>
        </w:tc>
      </w:tr>
      <w:tr w:rsidR="00D42B04" w:rsidRPr="00D42B04" w14:paraId="65F5CCEF" w14:textId="77777777" w:rsidTr="00D42B04">
        <w:trPr>
          <w:cnfStyle w:val="000000100000" w:firstRow="0" w:lastRow="0" w:firstColumn="0" w:lastColumn="0" w:oddVBand="0" w:evenVBand="0" w:oddHBand="1" w:evenHBand="0" w:firstRowFirstColumn="0" w:firstRowLastColumn="0" w:lastRowFirstColumn="0" w:lastRowLastColumn="0"/>
          <w:cantSplit/>
          <w:trHeight w:val="220"/>
        </w:trPr>
        <w:tc>
          <w:tcPr>
            <w:tcW w:w="1092" w:type="dxa"/>
          </w:tcPr>
          <w:p w14:paraId="68F0C96B"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Register OFV </w:t>
            </w:r>
          </w:p>
        </w:tc>
        <w:tc>
          <w:tcPr>
            <w:tcW w:w="1823" w:type="dxa"/>
          </w:tcPr>
          <w:p w14:paraId="786BF1D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 </w:t>
            </w:r>
          </w:p>
        </w:tc>
        <w:tc>
          <w:tcPr>
            <w:tcW w:w="794" w:type="dxa"/>
          </w:tcPr>
          <w:p w14:paraId="6029115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228AB017"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3D921D6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297EB0FE"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DB – Oracle (Tabuľky) </w:t>
            </w:r>
          </w:p>
        </w:tc>
        <w:tc>
          <w:tcPr>
            <w:tcW w:w="807" w:type="dxa"/>
            <w:noWrap/>
          </w:tcPr>
          <w:p w14:paraId="7C58B911"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0,1 </w:t>
            </w:r>
          </w:p>
        </w:tc>
        <w:tc>
          <w:tcPr>
            <w:tcW w:w="804" w:type="dxa"/>
            <w:noWrap/>
          </w:tcPr>
          <w:p w14:paraId="72C0B53D"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2</w:t>
            </w:r>
          </w:p>
        </w:tc>
      </w:tr>
      <w:tr w:rsidR="00D42B04" w:rsidRPr="00D42B04" w14:paraId="4A92F136" w14:textId="77777777" w:rsidTr="000C3B41">
        <w:trPr>
          <w:cantSplit/>
          <w:trHeight w:val="45"/>
        </w:trPr>
        <w:tc>
          <w:tcPr>
            <w:tcW w:w="1092" w:type="dxa"/>
          </w:tcPr>
          <w:p w14:paraId="21C3DCB2"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Sociálna poisťovňa </w:t>
            </w:r>
          </w:p>
        </w:tc>
        <w:tc>
          <w:tcPr>
            <w:tcW w:w="1823" w:type="dxa"/>
          </w:tcPr>
          <w:p w14:paraId="71F6536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Tabuľky Sociálnej poisťovne pre spracovanie BoP </w:t>
            </w:r>
          </w:p>
        </w:tc>
        <w:tc>
          <w:tcPr>
            <w:tcW w:w="794" w:type="dxa"/>
          </w:tcPr>
          <w:p w14:paraId="11EAA63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71F7089B"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c>
          <w:tcPr>
            <w:tcW w:w="876" w:type="dxa"/>
          </w:tcPr>
          <w:p w14:paraId="2D121BD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OUT </w:t>
            </w:r>
          </w:p>
        </w:tc>
        <w:tc>
          <w:tcPr>
            <w:tcW w:w="1749" w:type="dxa"/>
          </w:tcPr>
          <w:p w14:paraId="2AC2F8EC"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Súbor (XLSX) </w:t>
            </w:r>
          </w:p>
        </w:tc>
        <w:tc>
          <w:tcPr>
            <w:tcW w:w="807" w:type="dxa"/>
            <w:noWrap/>
          </w:tcPr>
          <w:p w14:paraId="14D44C34"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0,2 </w:t>
            </w:r>
          </w:p>
        </w:tc>
        <w:tc>
          <w:tcPr>
            <w:tcW w:w="804" w:type="dxa"/>
            <w:noWrap/>
          </w:tcPr>
          <w:p w14:paraId="2F7C31E5"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4</w:t>
            </w:r>
          </w:p>
        </w:tc>
      </w:tr>
      <w:tr w:rsidR="00D42B04" w:rsidRPr="00D42B04" w14:paraId="64FEBD98" w14:textId="77777777" w:rsidTr="00D42B04">
        <w:trPr>
          <w:cnfStyle w:val="000000100000" w:firstRow="0" w:lastRow="0" w:firstColumn="0" w:lastColumn="0" w:oddVBand="0" w:evenVBand="0" w:oddHBand="1" w:evenHBand="0" w:firstRowFirstColumn="0" w:firstRowLastColumn="0" w:lastRowFirstColumn="0" w:lastRowLastColumn="0"/>
          <w:cantSplit/>
          <w:trHeight w:val="211"/>
        </w:trPr>
        <w:tc>
          <w:tcPr>
            <w:tcW w:w="1092" w:type="dxa"/>
          </w:tcPr>
          <w:p w14:paraId="023C885A"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ASDR </w:t>
            </w:r>
          </w:p>
        </w:tc>
        <w:tc>
          <w:tcPr>
            <w:tcW w:w="1823" w:type="dxa"/>
          </w:tcPr>
          <w:p w14:paraId="67478F1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Agendový systém dohľadu a regulácie - ISD (Informačný systém dohľadu) </w:t>
            </w:r>
          </w:p>
        </w:tc>
        <w:tc>
          <w:tcPr>
            <w:tcW w:w="794" w:type="dxa"/>
            <w:noWrap/>
          </w:tcPr>
          <w:p w14:paraId="3F49D14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interný </w:t>
            </w:r>
          </w:p>
        </w:tc>
        <w:tc>
          <w:tcPr>
            <w:tcW w:w="542" w:type="dxa"/>
          </w:tcPr>
          <w:p w14:paraId="0DEF8DA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w:t>
            </w:r>
          </w:p>
        </w:tc>
        <w:tc>
          <w:tcPr>
            <w:tcW w:w="876" w:type="dxa"/>
          </w:tcPr>
          <w:p w14:paraId="3A1A2439"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17EC6F6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Oracle DB </w:t>
            </w:r>
          </w:p>
        </w:tc>
        <w:tc>
          <w:tcPr>
            <w:tcW w:w="807" w:type="dxa"/>
            <w:noWrap/>
          </w:tcPr>
          <w:p w14:paraId="647AB44F"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9 </w:t>
            </w:r>
          </w:p>
        </w:tc>
        <w:tc>
          <w:tcPr>
            <w:tcW w:w="804" w:type="dxa"/>
            <w:noWrap/>
          </w:tcPr>
          <w:p w14:paraId="52641822"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100</w:t>
            </w:r>
          </w:p>
        </w:tc>
      </w:tr>
      <w:tr w:rsidR="00D42B04" w:rsidRPr="00D42B04" w14:paraId="58C2459A" w14:textId="77777777" w:rsidTr="000C3B41">
        <w:trPr>
          <w:cantSplit/>
          <w:trHeight w:val="45"/>
        </w:trPr>
        <w:tc>
          <w:tcPr>
            <w:tcW w:w="1092" w:type="dxa"/>
          </w:tcPr>
          <w:p w14:paraId="1BBC69FB" w14:textId="77777777" w:rsidR="00D42B04" w:rsidRPr="00D42B04" w:rsidRDefault="00D42B04" w:rsidP="00D42B04">
            <w:pPr>
              <w:spacing w:before="120" w:after="120"/>
              <w:jc w:val="both"/>
              <w:rPr>
                <w:rFonts w:ascii="Cambria" w:hAnsi="Cambria"/>
                <w:b/>
                <w:bCs/>
                <w:sz w:val="16"/>
                <w:szCs w:val="16"/>
                <w:lang w:eastAsia="sk-SK"/>
              </w:rPr>
            </w:pPr>
            <w:r w:rsidRPr="00D42B04">
              <w:rPr>
                <w:rFonts w:ascii="Cambria" w:hAnsi="Cambria" w:cs="Calibri"/>
                <w:b/>
                <w:bCs/>
                <w:sz w:val="16"/>
                <w:szCs w:val="16"/>
              </w:rPr>
              <w:t>oversi.gov.sk </w:t>
            </w:r>
          </w:p>
        </w:tc>
        <w:tc>
          <w:tcPr>
            <w:tcW w:w="1823" w:type="dxa"/>
          </w:tcPr>
          <w:p w14:paraId="263A7C0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Register trestov </w:t>
            </w:r>
          </w:p>
        </w:tc>
        <w:tc>
          <w:tcPr>
            <w:tcW w:w="794" w:type="dxa"/>
          </w:tcPr>
          <w:p w14:paraId="2CB4FB13"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cs="Calibri"/>
                <w:sz w:val="16"/>
                <w:szCs w:val="16"/>
              </w:rPr>
              <w:t>externý </w:t>
            </w:r>
          </w:p>
        </w:tc>
        <w:tc>
          <w:tcPr>
            <w:tcW w:w="542" w:type="dxa"/>
          </w:tcPr>
          <w:p w14:paraId="3610DC46"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5</w:t>
            </w:r>
          </w:p>
        </w:tc>
        <w:tc>
          <w:tcPr>
            <w:tcW w:w="876" w:type="dxa"/>
          </w:tcPr>
          <w:p w14:paraId="3FDF3123"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BI </w:t>
            </w:r>
          </w:p>
        </w:tc>
        <w:tc>
          <w:tcPr>
            <w:tcW w:w="1749" w:type="dxa"/>
          </w:tcPr>
          <w:p w14:paraId="706CDF08"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WEB API (-) </w:t>
            </w:r>
          </w:p>
        </w:tc>
        <w:tc>
          <w:tcPr>
            <w:tcW w:w="807" w:type="dxa"/>
            <w:noWrap/>
          </w:tcPr>
          <w:p w14:paraId="1BB53583" w14:textId="77777777" w:rsidR="00D42B04" w:rsidRPr="00D42B04" w:rsidRDefault="00D42B04" w:rsidP="00D42B04">
            <w:pPr>
              <w:spacing w:before="120" w:after="120"/>
              <w:rPr>
                <w:rFonts w:ascii="Cambria" w:hAnsi="Cambria"/>
                <w:sz w:val="16"/>
                <w:szCs w:val="16"/>
                <w:lang w:eastAsia="sk-SK"/>
              </w:rPr>
            </w:pPr>
            <w:r w:rsidRPr="00D42B04">
              <w:rPr>
                <w:rFonts w:ascii="Cambria" w:hAnsi="Cambria" w:cs="Calibri"/>
                <w:sz w:val="16"/>
                <w:szCs w:val="16"/>
              </w:rPr>
              <w:t>1 </w:t>
            </w:r>
          </w:p>
        </w:tc>
        <w:tc>
          <w:tcPr>
            <w:tcW w:w="804" w:type="dxa"/>
            <w:noWrap/>
          </w:tcPr>
          <w:p w14:paraId="11D2A2F5" w14:textId="77777777" w:rsidR="00D42B04" w:rsidRPr="00D42B04" w:rsidRDefault="00D42B04" w:rsidP="00D42B04">
            <w:pPr>
              <w:keepNext/>
              <w:spacing w:before="120" w:after="120"/>
              <w:rPr>
                <w:rFonts w:ascii="Cambria" w:hAnsi="Cambria"/>
                <w:sz w:val="16"/>
                <w:szCs w:val="16"/>
                <w:lang w:eastAsia="sk-SK"/>
              </w:rPr>
            </w:pPr>
            <w:r w:rsidRPr="00D42B04">
              <w:rPr>
                <w:rFonts w:ascii="Cambria" w:hAnsi="Cambria" w:cs="Calibri"/>
                <w:sz w:val="16"/>
                <w:szCs w:val="16"/>
              </w:rPr>
              <w:t>1</w:t>
            </w:r>
          </w:p>
        </w:tc>
      </w:tr>
    </w:tbl>
    <w:p w14:paraId="2FF5126B"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17</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Zoznam hlavných zdrojových systémov pre NBS DWH, ktoré budú integrované do relačnej časti DWH</w:t>
      </w:r>
    </w:p>
    <w:p w14:paraId="67D054C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rámci dátovej architektúry NBS existujú aj ďalšie databázy a importy z externých zdrojov, ktoré plánujeme počas projektu integrovať. Detaily sú v prílohe A - Zdrojové systémy NBS DWH. Stĺpec H označuje systémy relevantné pre tento projekt. Celkovo systémov na integráciu je 64. V hornej tabuľke č. 17 je zobrazených 36 systémov a priradených do jednotlivých fáz projektu. Tých, ktoré nie sú uvedené v hornej tabuľke ostáva 28. Tieto systémy majú rôzny rozsahu náročnosti integrácie. Niektoré z týchto systémov plánujeme integrovať priamo do relačnej časti DWH (registre, číselníky) a niektoré dátové zdroje plánujeme požadovať uložiť len do DataLake Stage vrstvy pre Data discovery účely. Táto integrácia prebehne v 3. až 5. etape projektu a je požadované tieto práce vykonať uchádzačom. Pre nacenenie projektu môžeme počítať pravidlo, že spôsob integrácie bude nasledovný:</w:t>
      </w:r>
    </w:p>
    <w:p w14:paraId="3E525D0B" w14:textId="77777777" w:rsidR="00D42B04" w:rsidRPr="00D42B04" w:rsidRDefault="00D42B04" w:rsidP="00D42B04">
      <w:pPr>
        <w:numPr>
          <w:ilvl w:val="0"/>
          <w:numId w:val="11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36 systémov primárne integrované do relačnej časti DWH (tabuľka č. 17) v TL a PL vrstvách podľa potrieb reportingu, viď. nasledovná kapitola. Označené v stĺpci B ako „BI“, „OUT“, „BI, OUT“.</w:t>
      </w:r>
    </w:p>
    <w:p w14:paraId="78C852A6" w14:textId="77777777" w:rsidR="00D42B04" w:rsidRPr="00D42B04" w:rsidRDefault="00D42B04" w:rsidP="00D42B04">
      <w:pPr>
        <w:numPr>
          <w:ilvl w:val="0"/>
          <w:numId w:val="11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13 systémov z prílohy pôjde tiež do primárne do relačnej časti DWH (registre, číselníky), integrácia dát bude požadovaná na úrovni TL vrstvy. Označené v stĺpci B ako „REGISTER“.</w:t>
      </w:r>
    </w:p>
    <w:p w14:paraId="38179A79" w14:textId="77777777" w:rsidR="00D42B04" w:rsidRPr="00D42B04" w:rsidRDefault="00D42B04" w:rsidP="00D42B04">
      <w:pPr>
        <w:numPr>
          <w:ilvl w:val="0"/>
          <w:numId w:val="113"/>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15 systémov z oblasti transakčných dát, t. j. tie ktoré nie sú registrami, či číselníkmi budú cez Ingestion framework načítané do DataLake v tabulárnom formáte bez zložitých transformácií, max 5 mapovaní na číselníky, či registre. Označené v stĺpci B ako „DISCOVERY“.</w:t>
      </w:r>
    </w:p>
    <w:p w14:paraId="7C8DEAA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1" w:name="_Toc110518796"/>
      <w:r w:rsidRPr="00D42B04">
        <w:rPr>
          <w:rFonts w:ascii="Cambria" w:eastAsia="Yu Gothic Light" w:hAnsi="Cambria"/>
          <w:b/>
          <w:bCs/>
          <w:color w:val="2F5496"/>
          <w:szCs w:val="24"/>
        </w:rPr>
        <w:t>Reportingová oblasť</w:t>
      </w:r>
      <w:bookmarkEnd w:id="171"/>
    </w:p>
    <w:p w14:paraId="6B6FC23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Integrácia dátových zdrojov do konsolidovanej dátovej základne bude hlavným predpokladom pre vybudovanie analytickej dátovej vrstvy – datamarty. Sú požadované vytvoriť aj ukážkové reporty, ale predpokladáme že ďalšie reporty a analýzy si NBS vytvorí na základe naučených vedomostí z projektu.</w:t>
      </w:r>
    </w:p>
    <w:p w14:paraId="397A7EA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Tieto datamarty budú slúžiť za účelom:</w:t>
      </w:r>
    </w:p>
    <w:p w14:paraId="2B591825" w14:textId="77777777" w:rsidR="00D42B04" w:rsidRPr="00D42B04" w:rsidRDefault="00D42B04" w:rsidP="00D42B04">
      <w:pPr>
        <w:numPr>
          <w:ilvl w:val="0"/>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„self-service“ vytvárania analytických výstupov (produktov):</w:t>
      </w:r>
    </w:p>
    <w:p w14:paraId="1400109F" w14:textId="77777777" w:rsidR="00D42B04" w:rsidRPr="00D42B04" w:rsidRDefault="00D42B04" w:rsidP="00D42B04">
      <w:pPr>
        <w:numPr>
          <w:ilvl w:val="1"/>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podporu manažérskeho rozhodovania,</w:t>
      </w:r>
    </w:p>
    <w:p w14:paraId="618A5AAF" w14:textId="77777777" w:rsidR="00D42B04" w:rsidRPr="00D42B04" w:rsidRDefault="00D42B04" w:rsidP="00D42B04">
      <w:pPr>
        <w:numPr>
          <w:ilvl w:val="1"/>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pre podporu strategických činností NBS – dohľad, regulácia, štatistika, ochrana spotrebiteľa,</w:t>
      </w:r>
    </w:p>
    <w:p w14:paraId="13C5CAE3" w14:textId="77777777" w:rsidR="00D42B04" w:rsidRPr="00D42B04" w:rsidRDefault="00D42B04" w:rsidP="00D42B04">
      <w:pPr>
        <w:numPr>
          <w:ilvl w:val="1"/>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 podporu operatívneho rozhodovania.</w:t>
      </w:r>
    </w:p>
    <w:p w14:paraId="26051BBE" w14:textId="77777777" w:rsidR="00D42B04" w:rsidRPr="00D42B04" w:rsidRDefault="00D42B04" w:rsidP="00D42B04">
      <w:pPr>
        <w:numPr>
          <w:ilvl w:val="0"/>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zdieľania analytických údajov a prehľadov v interaktívnej grafickej podobe naprieč spoločnosťou,</w:t>
      </w:r>
    </w:p>
    <w:p w14:paraId="2D06011F" w14:textId="77777777" w:rsidR="00D42B04" w:rsidRPr="00D42B04" w:rsidRDefault="00D42B04" w:rsidP="00D42B04">
      <w:pPr>
        <w:numPr>
          <w:ilvl w:val="0"/>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ukladanie a historizáciu analytických údajov,</w:t>
      </w:r>
    </w:p>
    <w:p w14:paraId="5A65C579" w14:textId="77777777" w:rsidR="00D42B04" w:rsidRPr="00D42B04" w:rsidRDefault="00D42B04" w:rsidP="00D42B04">
      <w:pPr>
        <w:numPr>
          <w:ilvl w:val="0"/>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prepojenie individuálnych a agregovaných údajov (a ich rekonciliácií),</w:t>
      </w:r>
    </w:p>
    <w:p w14:paraId="0D558A2D" w14:textId="77777777" w:rsidR="00D42B04" w:rsidRPr="00D42B04" w:rsidRDefault="00D42B04" w:rsidP="00D42B04">
      <w:pPr>
        <w:numPr>
          <w:ilvl w:val="0"/>
          <w:numId w:val="5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vytvorenie konsolidovanej informácie o subjektoch finančného trhu.</w:t>
      </w:r>
    </w:p>
    <w:p w14:paraId="25A2A44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Je požadované mať možnosť nastaviť v metadátach datamartoch, ktoré dáta za aké obdobie majú byť prepočítavané (a v akej periodicite) a ktoré obdobia majú byť už uzamknuté.</w:t>
      </w:r>
    </w:p>
    <w:p w14:paraId="6B863AD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rámci požadovaného projektu je zadefinovaných týchto 11 analytických oblastí:</w:t>
      </w:r>
    </w:p>
    <w:tbl>
      <w:tblPr>
        <w:tblStyle w:val="GridTable4-Accent52"/>
        <w:tblW w:w="8500" w:type="dxa"/>
        <w:tblLayout w:type="fixed"/>
        <w:tblLook w:val="04A0" w:firstRow="1" w:lastRow="0" w:firstColumn="1" w:lastColumn="0" w:noHBand="0" w:noVBand="1"/>
      </w:tblPr>
      <w:tblGrid>
        <w:gridCol w:w="440"/>
        <w:gridCol w:w="1823"/>
        <w:gridCol w:w="567"/>
        <w:gridCol w:w="2052"/>
        <w:gridCol w:w="3618"/>
      </w:tblGrid>
      <w:tr w:rsidR="00D42B04" w:rsidRPr="00D42B04" w14:paraId="587DDD2A"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40" w:type="dxa"/>
          </w:tcPr>
          <w:p w14:paraId="178D647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ID</w:t>
            </w:r>
          </w:p>
        </w:tc>
        <w:tc>
          <w:tcPr>
            <w:tcW w:w="1823" w:type="dxa"/>
          </w:tcPr>
          <w:p w14:paraId="2654E368"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Označenie datamartu</w:t>
            </w:r>
          </w:p>
        </w:tc>
        <w:tc>
          <w:tcPr>
            <w:tcW w:w="567" w:type="dxa"/>
          </w:tcPr>
          <w:p w14:paraId="21A4D803"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Fáza</w:t>
            </w:r>
          </w:p>
        </w:tc>
        <w:tc>
          <w:tcPr>
            <w:tcW w:w="2052" w:type="dxa"/>
          </w:tcPr>
          <w:p w14:paraId="4BFFACA7"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Popis datamartu</w:t>
            </w:r>
          </w:p>
        </w:tc>
        <w:tc>
          <w:tcPr>
            <w:tcW w:w="3618" w:type="dxa"/>
          </w:tcPr>
          <w:p w14:paraId="2A8F5A09"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Rámcový popis požadovaných prvkov</w:t>
            </w:r>
          </w:p>
        </w:tc>
      </w:tr>
      <w:tr w:rsidR="00D42B04" w:rsidRPr="00D42B04" w14:paraId="7E85E7CF"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6F9A828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1</w:t>
            </w:r>
          </w:p>
        </w:tc>
        <w:tc>
          <w:tcPr>
            <w:tcW w:w="1823" w:type="dxa"/>
          </w:tcPr>
          <w:p w14:paraId="158F437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REPORTS</w:t>
            </w:r>
          </w:p>
        </w:tc>
        <w:tc>
          <w:tcPr>
            <w:tcW w:w="567" w:type="dxa"/>
          </w:tcPr>
          <w:p w14:paraId="341B5FB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2052" w:type="dxa"/>
          </w:tcPr>
          <w:p w14:paraId="19345151"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Datamarty pre štatistické údaje vyzbierané cez výkazy portálu ŠZP.</w:t>
            </w:r>
          </w:p>
        </w:tc>
        <w:tc>
          <w:tcPr>
            <w:tcW w:w="3618" w:type="dxa"/>
          </w:tcPr>
          <w:p w14:paraId="072055BD"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časové rady ekonomických položiek, medzimesačné zmeny objemov súvahových položiek podľa rôznych ekonomických členení, výpočet vážených priemerov, etc.</w:t>
            </w:r>
          </w:p>
        </w:tc>
      </w:tr>
      <w:tr w:rsidR="00D42B04" w:rsidRPr="00D42B04" w14:paraId="3230C0AE"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40" w:type="dxa"/>
          </w:tcPr>
          <w:p w14:paraId="721ADA3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2</w:t>
            </w:r>
          </w:p>
        </w:tc>
        <w:tc>
          <w:tcPr>
            <w:tcW w:w="1823" w:type="dxa"/>
          </w:tcPr>
          <w:p w14:paraId="0B32977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MFI_ESAS_ANACREDIT</w:t>
            </w:r>
          </w:p>
        </w:tc>
        <w:tc>
          <w:tcPr>
            <w:tcW w:w="567" w:type="dxa"/>
          </w:tcPr>
          <w:p w14:paraId="2EE8C90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2052" w:type="dxa"/>
          </w:tcPr>
          <w:p w14:paraId="3375F35B"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Datamarty pre údaje o bankových úveroch a ich protistranách.</w:t>
            </w:r>
          </w:p>
          <w:p w14:paraId="4F05B8A8"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pre konsolidáciu agregovaných údajov ŠZP (menová a finančná štatistika) a individuálnych údajov RBÚZ.</w:t>
            </w:r>
          </w:p>
          <w:p w14:paraId="2989F3A1"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na rekonciliáciu údajov ESAS (COREP a FINREP) na RBÚZ, resp. kosolidované porovnanie týchto dát</w:t>
            </w:r>
          </w:p>
        </w:tc>
        <w:tc>
          <w:tcPr>
            <w:tcW w:w="3618" w:type="dxa"/>
          </w:tcPr>
          <w:p w14:paraId="2C541EDD"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časové rady ekonomických veličín (nominálna hodnota, priemerná úroková sadzba, etc.), prehľady podľa subjektu, nástroja, prijatého zabezpečenia, rizika protistrany, etc.</w:t>
            </w:r>
            <w:r w:rsidRPr="00D42B04">
              <w:rPr>
                <w:rFonts w:ascii="Cambria" w:hAnsi="Cambria"/>
                <w:sz w:val="16"/>
                <w:szCs w:val="16"/>
              </w:rPr>
              <w:br/>
              <w:t>konsolidované porovnanie nominálnych hodnôt agregátov menovej štatistiky a individuálnych nástrojov s možnosťou drill-down analýzy v zmysle BSI metodiky</w:t>
            </w:r>
            <w:r w:rsidRPr="00D42B04">
              <w:rPr>
                <w:rFonts w:ascii="Cambria" w:hAnsi="Cambria"/>
                <w:sz w:val="16"/>
                <w:szCs w:val="16"/>
              </w:rPr>
              <w:br/>
              <w:t>časové rady položiek, zmeny medzi referenčnými dátumami položiek (objemy a percentá), poradia subjektov</w:t>
            </w:r>
          </w:p>
        </w:tc>
      </w:tr>
      <w:tr w:rsidR="00D42B04" w:rsidRPr="00D42B04" w14:paraId="3AD7D3AC"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135C962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5</w:t>
            </w:r>
          </w:p>
        </w:tc>
        <w:tc>
          <w:tcPr>
            <w:tcW w:w="1823" w:type="dxa"/>
          </w:tcPr>
          <w:p w14:paraId="61F804F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AML</w:t>
            </w:r>
          </w:p>
        </w:tc>
        <w:tc>
          <w:tcPr>
            <w:tcW w:w="567" w:type="dxa"/>
          </w:tcPr>
          <w:p w14:paraId="02E3728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2052" w:type="dxa"/>
          </w:tcPr>
          <w:p w14:paraId="6AADE6CE"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spracovanie dát AML pre risk assessment.</w:t>
            </w:r>
          </w:p>
        </w:tc>
        <w:tc>
          <w:tcPr>
            <w:tcW w:w="3618" w:type="dxa"/>
          </w:tcPr>
          <w:p w14:paraId="2C7C6267"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výpočet AML rizikových indexov z výkazov ŠZP</w:t>
            </w:r>
          </w:p>
        </w:tc>
      </w:tr>
      <w:tr w:rsidR="00D42B04" w:rsidRPr="00D42B04" w14:paraId="7BFBB98F"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40" w:type="dxa"/>
          </w:tcPr>
          <w:p w14:paraId="04E0478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6</w:t>
            </w:r>
          </w:p>
        </w:tc>
        <w:tc>
          <w:tcPr>
            <w:tcW w:w="1823" w:type="dxa"/>
          </w:tcPr>
          <w:p w14:paraId="2B25AC7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EXR</w:t>
            </w:r>
          </w:p>
        </w:tc>
        <w:tc>
          <w:tcPr>
            <w:tcW w:w="567" w:type="dxa"/>
          </w:tcPr>
          <w:p w14:paraId="5F5511B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2052" w:type="dxa"/>
          </w:tcPr>
          <w:p w14:paraId="5D9568D4"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pre kurzový lístok</w:t>
            </w:r>
          </w:p>
        </w:tc>
        <w:tc>
          <w:tcPr>
            <w:tcW w:w="3618" w:type="dxa"/>
          </w:tcPr>
          <w:p w14:paraId="47E37491"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prehľad kurzového lístka, časové rady výmenných kurzov</w:t>
            </w:r>
          </w:p>
        </w:tc>
      </w:tr>
      <w:tr w:rsidR="00D42B04" w:rsidRPr="00D42B04" w14:paraId="537ACBBB"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030AAFD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4</w:t>
            </w:r>
          </w:p>
        </w:tc>
        <w:tc>
          <w:tcPr>
            <w:tcW w:w="1823" w:type="dxa"/>
          </w:tcPr>
          <w:p w14:paraId="4C07AAF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SECURITIES</w:t>
            </w:r>
          </w:p>
        </w:tc>
        <w:tc>
          <w:tcPr>
            <w:tcW w:w="567" w:type="dxa"/>
          </w:tcPr>
          <w:p w14:paraId="5D37590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2052" w:type="dxa"/>
          </w:tcPr>
          <w:p w14:paraId="2F5EECA2"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konsolidáciu údajov o cenných papieroch CSDB a vykazovaných údajoch o cenných papieroch ŠZP</w:t>
            </w:r>
          </w:p>
        </w:tc>
        <w:tc>
          <w:tcPr>
            <w:tcW w:w="3618" w:type="dxa"/>
          </w:tcPr>
          <w:p w14:paraId="67A8D831"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konsolidované porovnanie atribútov cenných papierov z výkazov ŠZP voči databáze CSDB a SHSDB</w:t>
            </w:r>
          </w:p>
        </w:tc>
      </w:tr>
      <w:tr w:rsidR="00D42B04" w:rsidRPr="00D42B04" w14:paraId="10B85F8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40" w:type="dxa"/>
          </w:tcPr>
          <w:p w14:paraId="28E6AF6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11</w:t>
            </w:r>
          </w:p>
        </w:tc>
        <w:tc>
          <w:tcPr>
            <w:tcW w:w="1823" w:type="dxa"/>
          </w:tcPr>
          <w:p w14:paraId="34E406E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ESMA</w:t>
            </w:r>
          </w:p>
        </w:tc>
        <w:tc>
          <w:tcPr>
            <w:tcW w:w="567" w:type="dxa"/>
          </w:tcPr>
          <w:p w14:paraId="2AE9381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2052" w:type="dxa"/>
          </w:tcPr>
          <w:p w14:paraId="5018927B"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pre cenné papiere</w:t>
            </w:r>
            <w:r w:rsidRPr="00D42B04">
              <w:rPr>
                <w:rFonts w:ascii="Cambria" w:hAnsi="Cambria"/>
                <w:sz w:val="16"/>
                <w:szCs w:val="16"/>
              </w:rPr>
              <w:br/>
              <w:t>Datamart pre ESMA dáta</w:t>
            </w:r>
          </w:p>
        </w:tc>
        <w:tc>
          <w:tcPr>
            <w:tcW w:w="3618" w:type="dxa"/>
          </w:tcPr>
          <w:p w14:paraId="59B85C43"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Obsah reportov približne obdobne ako v publikáciách ESMA: </w:t>
            </w:r>
            <w:r w:rsidRPr="00D42B04">
              <w:rPr>
                <w:rFonts w:ascii="Cambria" w:hAnsi="Cambria"/>
                <w:sz w:val="16"/>
                <w:szCs w:val="16"/>
              </w:rPr>
              <w:br/>
              <w:t>https://www.esma.europa.eu/file/122189/download?token=kTi4gzPC</w:t>
            </w:r>
            <w:r w:rsidRPr="00D42B04">
              <w:rPr>
                <w:rFonts w:ascii="Cambria" w:hAnsi="Cambria"/>
                <w:sz w:val="16"/>
                <w:szCs w:val="16"/>
              </w:rPr>
              <w:br/>
              <w:t>https://www.esma.europa.eu/file/122190/download?token=Cd0YfTB2</w:t>
            </w:r>
            <w:r w:rsidRPr="00D42B04">
              <w:rPr>
                <w:rFonts w:ascii="Cambria" w:hAnsi="Cambria"/>
                <w:sz w:val="16"/>
                <w:szCs w:val="16"/>
              </w:rPr>
              <w:br/>
            </w:r>
          </w:p>
        </w:tc>
      </w:tr>
      <w:tr w:rsidR="00D42B04" w:rsidRPr="00D42B04" w14:paraId="51386877"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0C360BE0"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16</w:t>
            </w:r>
          </w:p>
        </w:tc>
        <w:tc>
          <w:tcPr>
            <w:tcW w:w="1823" w:type="dxa"/>
          </w:tcPr>
          <w:p w14:paraId="1072429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MACROP___1</w:t>
            </w:r>
          </w:p>
        </w:tc>
        <w:tc>
          <w:tcPr>
            <w:tcW w:w="567" w:type="dxa"/>
          </w:tcPr>
          <w:p w14:paraId="0A70F61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2052" w:type="dxa"/>
          </w:tcPr>
          <w:p w14:paraId="2A9CBCE6"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monitoring fin. inštitúcií + CBD</w:t>
            </w:r>
          </w:p>
          <w:p w14:paraId="5A078B69"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proticyklický smerovník</w:t>
            </w:r>
          </w:p>
        </w:tc>
        <w:tc>
          <w:tcPr>
            <w:tcW w:w="3618" w:type="dxa"/>
          </w:tcPr>
          <w:p w14:paraId="6E7C1C66"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Reporty zamerané na základný monitoring a analýzu rizík predovšetkým v bankovom sektore v členení podľa jednotlivých oblastí - ziskovosť, kapitálová primeranosť, kvalita aktív, štruktúra bilancie, likvidita a pod. Možnosť uskutočňovať medzinárodné porovnania indikátorov pomocou údajov z databázy ECB SDW. </w:t>
            </w:r>
          </w:p>
          <w:p w14:paraId="2A5A6C6B"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Report na výpočet konsolidovaných bankových údajov (CBD), ktoré sa zasielajú na pravidelnej báze do ECB.</w:t>
            </w:r>
          </w:p>
          <w:p w14:paraId="69FE05FB"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Reporty zamerané na základný monitoring a analýzu rizík v nebankových sektoroch v členení podľa jednotlivých sektorov - DSS, DDS, KI, OCP. Report ma kvantifikáciu trhových rizík a výpočty stresového testovania pre fin, inštitúcie.</w:t>
            </w:r>
          </w:p>
        </w:tc>
      </w:tr>
      <w:tr w:rsidR="00D42B04" w:rsidRPr="00D42B04" w14:paraId="3CA6941E"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40" w:type="dxa"/>
          </w:tcPr>
          <w:p w14:paraId="7C0C87D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19</w:t>
            </w:r>
          </w:p>
        </w:tc>
        <w:tc>
          <w:tcPr>
            <w:tcW w:w="1823" w:type="dxa"/>
          </w:tcPr>
          <w:p w14:paraId="07C4A23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MACROP___3</w:t>
            </w:r>
          </w:p>
        </w:tc>
        <w:tc>
          <w:tcPr>
            <w:tcW w:w="567" w:type="dxa"/>
          </w:tcPr>
          <w:p w14:paraId="1D90FBA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2052" w:type="dxa"/>
          </w:tcPr>
          <w:p w14:paraId="5E138C1C"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pre podnikový sektor</w:t>
            </w:r>
          </w:p>
        </w:tc>
        <w:tc>
          <w:tcPr>
            <w:tcW w:w="3618" w:type="dxa"/>
          </w:tcPr>
          <w:p w14:paraId="2EF308D5"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Na komplexné pokrytie monitoringu podnikového sektora (primárne na účely finančnej stability) </w:t>
            </w:r>
          </w:p>
        </w:tc>
      </w:tr>
      <w:tr w:rsidR="00D42B04" w:rsidRPr="00D42B04" w14:paraId="1BA321B5"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5D8D1A57"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9</w:t>
            </w:r>
          </w:p>
        </w:tc>
        <w:tc>
          <w:tcPr>
            <w:tcW w:w="1823" w:type="dxa"/>
          </w:tcPr>
          <w:p w14:paraId="0938547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ESAS</w:t>
            </w:r>
          </w:p>
        </w:tc>
        <w:tc>
          <w:tcPr>
            <w:tcW w:w="567" w:type="dxa"/>
          </w:tcPr>
          <w:p w14:paraId="510D69C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c>
          <w:tcPr>
            <w:tcW w:w="2052" w:type="dxa"/>
          </w:tcPr>
          <w:p w14:paraId="0A9F6CCE"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dohľad nad kapitálovým trhom</w:t>
            </w:r>
          </w:p>
          <w:p w14:paraId="211DE431"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dohľad nad platobnými službami</w:t>
            </w:r>
          </w:p>
          <w:p w14:paraId="12C7FEF9"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Datamart pre risk-based supervison </w:t>
            </w:r>
          </w:p>
          <w:p w14:paraId="1D8D61C3"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dohľad nad poisťovníctvom</w:t>
            </w:r>
          </w:p>
          <w:p w14:paraId="53EC3E5F"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údaje bankového dohľadu v portáli ESAs</w:t>
            </w:r>
          </w:p>
        </w:tc>
        <w:tc>
          <w:tcPr>
            <w:tcW w:w="3618" w:type="dxa"/>
          </w:tcPr>
          <w:p w14:paraId="292195C2"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súvaha, výsledovka, analýza 1 subjektu, trhová analýza, zloženie portfólia aktív, výkonnosť, časové rady, medziročné zmeny, vážené priemery, definovanie vhodného metapopisu na integrované dáta, risk dashboard, SREP skóre, kapitálová primeranosť, pákový efekt, systémové riziko. </w:t>
            </w:r>
          </w:p>
          <w:p w14:paraId="087B05C0"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Sektory: centrálny depozitár, burza, obchodníci s cennými papiermi, správcovské spoločnosti a ich fondy, limity pre fondy</w:t>
            </w:r>
            <w:r w:rsidRPr="00D42B04">
              <w:rPr>
                <w:rFonts w:ascii="Cambria" w:hAnsi="Cambria"/>
                <w:sz w:val="16"/>
                <w:szCs w:val="16"/>
              </w:rPr>
              <w:br/>
              <w:t>časový pohľad na vývoj vybraných atribútov (napr. fin. ukazovateľov) 1 subjektu vrátane agregovaného výstupu za sektor vo forme tabuľky príp. grafu vrátane medzimesačného a medziročného porovnania;</w:t>
            </w:r>
          </w:p>
          <w:p w14:paraId="72985B28"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analýza 1 subjektu v podobe tabuľky (zahŕňajúca údaje z viacerých zdrojov od finančných ukazovateľov, rôzne kvalitatívne zdroje napr. údaje o osobách, konaniach...)</w:t>
            </w:r>
          </w:p>
          <w:p w14:paraId="59EE0783"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risk dashboard zahrňujúci analýzu časových radov, prehľad osôb, etc.</w:t>
            </w:r>
            <w:r w:rsidRPr="00D42B04">
              <w:rPr>
                <w:rFonts w:ascii="Cambria" w:hAnsi="Cambria"/>
                <w:sz w:val="16"/>
                <w:szCs w:val="16"/>
              </w:rPr>
              <w:br/>
              <w:t>časový pohľad na portfólio aktív v tabuľkových a grafických prezentáciách (statické tabuľky, kontingenčné tabuľky, koláčové grafy, etc.), medzimesačné, medziročné vývojové indexy</w:t>
            </w:r>
            <w:r w:rsidRPr="00D42B04">
              <w:rPr>
                <w:rFonts w:ascii="Cambria" w:hAnsi="Cambria"/>
                <w:sz w:val="16"/>
                <w:szCs w:val="16"/>
              </w:rPr>
              <w:br/>
              <w:t>časové rady položiek, zmeny medzi referenčnými dátumami položiek (objemy a percentá), poradia subjektov</w:t>
            </w:r>
          </w:p>
        </w:tc>
      </w:tr>
      <w:tr w:rsidR="00D42B04" w:rsidRPr="00D42B04" w14:paraId="7C95866F"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40" w:type="dxa"/>
          </w:tcPr>
          <w:p w14:paraId="5C50CC8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17</w:t>
            </w:r>
          </w:p>
        </w:tc>
        <w:tc>
          <w:tcPr>
            <w:tcW w:w="1823" w:type="dxa"/>
          </w:tcPr>
          <w:p w14:paraId="22C45F7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MACROP___2</w:t>
            </w:r>
          </w:p>
        </w:tc>
        <w:tc>
          <w:tcPr>
            <w:tcW w:w="567" w:type="dxa"/>
          </w:tcPr>
          <w:p w14:paraId="628E558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c>
          <w:tcPr>
            <w:tcW w:w="2052" w:type="dxa"/>
          </w:tcPr>
          <w:p w14:paraId="09750AD2"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Datamart pre databázu fin. aktív držaných fin. inštitúciami</w:t>
            </w:r>
          </w:p>
        </w:tc>
        <w:tc>
          <w:tcPr>
            <w:tcW w:w="3618" w:type="dxa"/>
          </w:tcPr>
          <w:p w14:paraId="6A2CD2C8"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Reporty zamerané na základný monitoring a analýzu rizík v nebankových sektoroch v členení podľa jednotlivých sektorov - DSS, DDS, KI, OCP.</w:t>
            </w:r>
          </w:p>
          <w:p w14:paraId="549F4136"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Report ma kvantifikáciu trhových rizík a výpočty stresového testovania pre fin, inštitúcie.</w:t>
            </w:r>
          </w:p>
        </w:tc>
      </w:tr>
      <w:tr w:rsidR="00D42B04" w:rsidRPr="00D42B04" w14:paraId="5A9279F7"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0" w:type="dxa"/>
          </w:tcPr>
          <w:p w14:paraId="0F535E0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14</w:t>
            </w:r>
          </w:p>
        </w:tc>
        <w:tc>
          <w:tcPr>
            <w:tcW w:w="1823" w:type="dxa"/>
          </w:tcPr>
          <w:p w14:paraId="0C4A858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ASDR</w:t>
            </w:r>
          </w:p>
        </w:tc>
        <w:tc>
          <w:tcPr>
            <w:tcW w:w="567" w:type="dxa"/>
          </w:tcPr>
          <w:p w14:paraId="21F0C61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w:t>
            </w:r>
          </w:p>
        </w:tc>
        <w:tc>
          <w:tcPr>
            <w:tcW w:w="2052" w:type="dxa"/>
          </w:tcPr>
          <w:p w14:paraId="2CEB14A1"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účely ASDR</w:t>
            </w:r>
          </w:p>
          <w:p w14:paraId="51831C89"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dohľad nad kapitálovým trhom</w:t>
            </w:r>
          </w:p>
          <w:p w14:paraId="2DEA8884"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Datamart pre dohľad nad kapitálovým trhom</w:t>
            </w:r>
          </w:p>
        </w:tc>
        <w:tc>
          <w:tcPr>
            <w:tcW w:w="3618" w:type="dxa"/>
          </w:tcPr>
          <w:p w14:paraId="1983F424"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Spájanie údajov (kvalitatívne, kvantitatívne a procesné údaje) pre účely dohľadu, ktoré má NBS k dispozícií o danom subjekte podľa jednotlivých sektorov. </w:t>
            </w:r>
          </w:p>
          <w:p w14:paraId="7639C7CA"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Early warnings, vykazovanie načas, KPIs, benchmarkové porovnania.</w:t>
            </w:r>
          </w:p>
          <w:p w14:paraId="21B291DC" w14:textId="77777777" w:rsidR="00D42B04" w:rsidRPr="00D42B04" w:rsidRDefault="00D42B04" w:rsidP="00D42B04">
            <w:pPr>
              <w:keepNext/>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Prehľady subjektov podľa sektorov, pôsobenie osôb vo funkciách, konflikty záujmov, nedôverihodnosť, odborná spôsobilosť...</w:t>
            </w:r>
          </w:p>
        </w:tc>
      </w:tr>
    </w:tbl>
    <w:p w14:paraId="405DD8CA"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18</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Zoznam DataMartov pre projekt NBS DWH</w:t>
      </w:r>
    </w:p>
    <w:p w14:paraId="6B5291F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nasledujúcej tabuľke je kvantifikácia komplexnosti dátových oblastí pre BI reporting. Každá oblasť je definovaná požadovanou dátovou integráciou, predpokladanou náročnosťou výpočtu jednotlivých KPI a predpokladaným rozsahom faktových tabuliek. Počet a rozdelenie dátových oblastí sa môže meniť (ale nie zásadne) pri návrhu realizovaného riešenia.</w:t>
      </w:r>
    </w:p>
    <w:tbl>
      <w:tblPr>
        <w:tblStyle w:val="GridTable4-Accent52"/>
        <w:tblW w:w="8559" w:type="dxa"/>
        <w:tblLayout w:type="fixed"/>
        <w:tblLook w:val="04E0" w:firstRow="1" w:lastRow="1" w:firstColumn="1" w:lastColumn="0" w:noHBand="0" w:noVBand="1"/>
      </w:tblPr>
      <w:tblGrid>
        <w:gridCol w:w="421"/>
        <w:gridCol w:w="1984"/>
        <w:gridCol w:w="993"/>
        <w:gridCol w:w="849"/>
        <w:gridCol w:w="993"/>
        <w:gridCol w:w="850"/>
        <w:gridCol w:w="727"/>
        <w:gridCol w:w="850"/>
        <w:gridCol w:w="892"/>
      </w:tblGrid>
      <w:tr w:rsidR="00D42B04" w:rsidRPr="00D42B04" w14:paraId="17DC15CA" w14:textId="77777777" w:rsidTr="00D4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9B7006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ID</w:t>
            </w:r>
          </w:p>
        </w:tc>
        <w:tc>
          <w:tcPr>
            <w:tcW w:w="1984" w:type="dxa"/>
          </w:tcPr>
          <w:p w14:paraId="5C986948"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Označenie datamartu</w:t>
            </w:r>
          </w:p>
        </w:tc>
        <w:tc>
          <w:tcPr>
            <w:tcW w:w="993" w:type="dxa"/>
          </w:tcPr>
          <w:p w14:paraId="5E0BC985"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Počet dátových zdrojov na integráciu</w:t>
            </w:r>
          </w:p>
        </w:tc>
        <w:tc>
          <w:tcPr>
            <w:tcW w:w="849" w:type="dxa"/>
          </w:tcPr>
          <w:p w14:paraId="053ECF68"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Odhad počtu DIM tabuliek</w:t>
            </w:r>
          </w:p>
        </w:tc>
        <w:tc>
          <w:tcPr>
            <w:tcW w:w="993" w:type="dxa"/>
          </w:tcPr>
          <w:p w14:paraId="55A78553"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Odhad počtu Faktových tabuliek</w:t>
            </w:r>
          </w:p>
        </w:tc>
        <w:tc>
          <w:tcPr>
            <w:tcW w:w="850" w:type="dxa"/>
          </w:tcPr>
          <w:p w14:paraId="16B29201"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Odhad počtu atribútov</w:t>
            </w:r>
          </w:p>
        </w:tc>
        <w:tc>
          <w:tcPr>
            <w:tcW w:w="727" w:type="dxa"/>
          </w:tcPr>
          <w:p w14:paraId="5B97E377"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Odhad počtu metrík</w:t>
            </w:r>
          </w:p>
        </w:tc>
        <w:tc>
          <w:tcPr>
            <w:tcW w:w="850" w:type="dxa"/>
          </w:tcPr>
          <w:p w14:paraId="6CFE216C"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Zložitosť výpočtu metrík</w:t>
            </w:r>
          </w:p>
        </w:tc>
        <w:tc>
          <w:tcPr>
            <w:tcW w:w="892" w:type="dxa"/>
          </w:tcPr>
          <w:p w14:paraId="6C551A3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Počet vzorových reportov</w:t>
            </w:r>
          </w:p>
        </w:tc>
      </w:tr>
      <w:tr w:rsidR="00D42B04" w:rsidRPr="00D42B04" w14:paraId="40D9C5C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13C9D74"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w:t>
            </w:r>
          </w:p>
        </w:tc>
        <w:tc>
          <w:tcPr>
            <w:tcW w:w="1984" w:type="dxa"/>
          </w:tcPr>
          <w:p w14:paraId="3D71586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REPORTS</w:t>
            </w:r>
          </w:p>
        </w:tc>
        <w:tc>
          <w:tcPr>
            <w:tcW w:w="993" w:type="dxa"/>
          </w:tcPr>
          <w:p w14:paraId="4058A18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849" w:type="dxa"/>
          </w:tcPr>
          <w:p w14:paraId="2338E66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993" w:type="dxa"/>
          </w:tcPr>
          <w:p w14:paraId="58EAA4C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50</w:t>
            </w:r>
          </w:p>
        </w:tc>
        <w:tc>
          <w:tcPr>
            <w:tcW w:w="850" w:type="dxa"/>
          </w:tcPr>
          <w:p w14:paraId="3CC1219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400</w:t>
            </w:r>
          </w:p>
        </w:tc>
        <w:tc>
          <w:tcPr>
            <w:tcW w:w="727" w:type="dxa"/>
          </w:tcPr>
          <w:p w14:paraId="583284E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50</w:t>
            </w:r>
          </w:p>
        </w:tc>
        <w:tc>
          <w:tcPr>
            <w:tcW w:w="850" w:type="dxa"/>
          </w:tcPr>
          <w:p w14:paraId="2520A29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Stredná </w:t>
            </w:r>
          </w:p>
        </w:tc>
        <w:tc>
          <w:tcPr>
            <w:tcW w:w="892" w:type="dxa"/>
          </w:tcPr>
          <w:p w14:paraId="7009BE6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r>
      <w:tr w:rsidR="00D42B04" w:rsidRPr="00D42B04" w14:paraId="04BCBE31" w14:textId="77777777" w:rsidTr="000C3B41">
        <w:tc>
          <w:tcPr>
            <w:cnfStyle w:val="001000000000" w:firstRow="0" w:lastRow="0" w:firstColumn="1" w:lastColumn="0" w:oddVBand="0" w:evenVBand="0" w:oddHBand="0" w:evenHBand="0" w:firstRowFirstColumn="0" w:firstRowLastColumn="0" w:lastRowFirstColumn="0" w:lastRowLastColumn="0"/>
            <w:tcW w:w="421" w:type="dxa"/>
          </w:tcPr>
          <w:p w14:paraId="7D84B5F5"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2</w:t>
            </w:r>
          </w:p>
        </w:tc>
        <w:tc>
          <w:tcPr>
            <w:tcW w:w="1984" w:type="dxa"/>
          </w:tcPr>
          <w:p w14:paraId="67457C5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MFI_ESAS_ANACREDIT</w:t>
            </w:r>
          </w:p>
        </w:tc>
        <w:tc>
          <w:tcPr>
            <w:tcW w:w="993" w:type="dxa"/>
          </w:tcPr>
          <w:p w14:paraId="6FBF73F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c>
          <w:tcPr>
            <w:tcW w:w="849" w:type="dxa"/>
          </w:tcPr>
          <w:p w14:paraId="1ED08F3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67</w:t>
            </w:r>
          </w:p>
        </w:tc>
        <w:tc>
          <w:tcPr>
            <w:tcW w:w="993" w:type="dxa"/>
          </w:tcPr>
          <w:p w14:paraId="42130BB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850" w:type="dxa"/>
          </w:tcPr>
          <w:p w14:paraId="6FB56A6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270</w:t>
            </w:r>
          </w:p>
        </w:tc>
        <w:tc>
          <w:tcPr>
            <w:tcW w:w="727" w:type="dxa"/>
          </w:tcPr>
          <w:p w14:paraId="1DC00C7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30</w:t>
            </w:r>
          </w:p>
        </w:tc>
        <w:tc>
          <w:tcPr>
            <w:tcW w:w="850" w:type="dxa"/>
          </w:tcPr>
          <w:p w14:paraId="6BAA443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Nízka</w:t>
            </w:r>
          </w:p>
        </w:tc>
        <w:tc>
          <w:tcPr>
            <w:tcW w:w="892" w:type="dxa"/>
          </w:tcPr>
          <w:p w14:paraId="7E079A7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w:t>
            </w:r>
          </w:p>
        </w:tc>
      </w:tr>
      <w:tr w:rsidR="00D42B04" w:rsidRPr="00D42B04" w14:paraId="47817719"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7D908E2"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5</w:t>
            </w:r>
          </w:p>
        </w:tc>
        <w:tc>
          <w:tcPr>
            <w:tcW w:w="1984" w:type="dxa"/>
          </w:tcPr>
          <w:p w14:paraId="3C36B0F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AML</w:t>
            </w:r>
          </w:p>
        </w:tc>
        <w:tc>
          <w:tcPr>
            <w:tcW w:w="993" w:type="dxa"/>
          </w:tcPr>
          <w:p w14:paraId="192F34D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w:t>
            </w:r>
          </w:p>
        </w:tc>
        <w:tc>
          <w:tcPr>
            <w:tcW w:w="849" w:type="dxa"/>
          </w:tcPr>
          <w:p w14:paraId="430BF34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14</w:t>
            </w:r>
          </w:p>
        </w:tc>
        <w:tc>
          <w:tcPr>
            <w:tcW w:w="993" w:type="dxa"/>
          </w:tcPr>
          <w:p w14:paraId="3C80C15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w:t>
            </w:r>
          </w:p>
        </w:tc>
        <w:tc>
          <w:tcPr>
            <w:tcW w:w="850" w:type="dxa"/>
          </w:tcPr>
          <w:p w14:paraId="3285D23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80</w:t>
            </w:r>
          </w:p>
        </w:tc>
        <w:tc>
          <w:tcPr>
            <w:tcW w:w="727" w:type="dxa"/>
          </w:tcPr>
          <w:p w14:paraId="52DE56E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50</w:t>
            </w:r>
          </w:p>
        </w:tc>
        <w:tc>
          <w:tcPr>
            <w:tcW w:w="850" w:type="dxa"/>
          </w:tcPr>
          <w:p w14:paraId="36B7D9D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Vysoká</w:t>
            </w:r>
          </w:p>
        </w:tc>
        <w:tc>
          <w:tcPr>
            <w:tcW w:w="892" w:type="dxa"/>
          </w:tcPr>
          <w:p w14:paraId="462D00B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r>
      <w:tr w:rsidR="00D42B04" w:rsidRPr="00D42B04" w14:paraId="79FD0387" w14:textId="77777777" w:rsidTr="000C3B41">
        <w:tc>
          <w:tcPr>
            <w:cnfStyle w:val="001000000000" w:firstRow="0" w:lastRow="0" w:firstColumn="1" w:lastColumn="0" w:oddVBand="0" w:evenVBand="0" w:oddHBand="0" w:evenHBand="0" w:firstRowFirstColumn="0" w:firstRowLastColumn="0" w:lastRowFirstColumn="0" w:lastRowLastColumn="0"/>
            <w:tcW w:w="421" w:type="dxa"/>
          </w:tcPr>
          <w:p w14:paraId="4CC2D545"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6</w:t>
            </w:r>
          </w:p>
        </w:tc>
        <w:tc>
          <w:tcPr>
            <w:tcW w:w="1984" w:type="dxa"/>
          </w:tcPr>
          <w:p w14:paraId="697C941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EXR</w:t>
            </w:r>
          </w:p>
        </w:tc>
        <w:tc>
          <w:tcPr>
            <w:tcW w:w="993" w:type="dxa"/>
          </w:tcPr>
          <w:p w14:paraId="6B499F3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w:t>
            </w:r>
          </w:p>
        </w:tc>
        <w:tc>
          <w:tcPr>
            <w:tcW w:w="849" w:type="dxa"/>
          </w:tcPr>
          <w:p w14:paraId="026D62D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w:t>
            </w:r>
          </w:p>
        </w:tc>
        <w:tc>
          <w:tcPr>
            <w:tcW w:w="993" w:type="dxa"/>
          </w:tcPr>
          <w:p w14:paraId="39766B2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850" w:type="dxa"/>
          </w:tcPr>
          <w:p w14:paraId="0EF9EA8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c>
          <w:tcPr>
            <w:tcW w:w="727" w:type="dxa"/>
          </w:tcPr>
          <w:p w14:paraId="24A7E7D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0</w:t>
            </w:r>
          </w:p>
        </w:tc>
        <w:tc>
          <w:tcPr>
            <w:tcW w:w="850" w:type="dxa"/>
          </w:tcPr>
          <w:p w14:paraId="5876A51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Nízka</w:t>
            </w:r>
          </w:p>
        </w:tc>
        <w:tc>
          <w:tcPr>
            <w:tcW w:w="892" w:type="dxa"/>
          </w:tcPr>
          <w:p w14:paraId="5AA7FF6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w:t>
            </w:r>
          </w:p>
        </w:tc>
      </w:tr>
      <w:tr w:rsidR="00D42B04" w:rsidRPr="00D42B04" w14:paraId="7E9409A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A7D4355"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4</w:t>
            </w:r>
          </w:p>
        </w:tc>
        <w:tc>
          <w:tcPr>
            <w:tcW w:w="1984" w:type="dxa"/>
          </w:tcPr>
          <w:p w14:paraId="328D064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SECURITIES</w:t>
            </w:r>
          </w:p>
        </w:tc>
        <w:tc>
          <w:tcPr>
            <w:tcW w:w="993" w:type="dxa"/>
          </w:tcPr>
          <w:p w14:paraId="6737532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c>
          <w:tcPr>
            <w:tcW w:w="849" w:type="dxa"/>
          </w:tcPr>
          <w:p w14:paraId="507E965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18</w:t>
            </w:r>
          </w:p>
        </w:tc>
        <w:tc>
          <w:tcPr>
            <w:tcW w:w="993" w:type="dxa"/>
          </w:tcPr>
          <w:p w14:paraId="235ACC9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c>
          <w:tcPr>
            <w:tcW w:w="850" w:type="dxa"/>
          </w:tcPr>
          <w:p w14:paraId="6D67AB2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727" w:type="dxa"/>
          </w:tcPr>
          <w:p w14:paraId="3D1DB90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c>
          <w:tcPr>
            <w:tcW w:w="850" w:type="dxa"/>
          </w:tcPr>
          <w:p w14:paraId="385034D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Nízka</w:t>
            </w:r>
          </w:p>
        </w:tc>
        <w:tc>
          <w:tcPr>
            <w:tcW w:w="892" w:type="dxa"/>
          </w:tcPr>
          <w:p w14:paraId="7808A44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w:t>
            </w:r>
          </w:p>
        </w:tc>
      </w:tr>
      <w:tr w:rsidR="00D42B04" w:rsidRPr="00D42B04" w14:paraId="26D25368" w14:textId="77777777" w:rsidTr="000C3B41">
        <w:tc>
          <w:tcPr>
            <w:cnfStyle w:val="001000000000" w:firstRow="0" w:lastRow="0" w:firstColumn="1" w:lastColumn="0" w:oddVBand="0" w:evenVBand="0" w:oddHBand="0" w:evenHBand="0" w:firstRowFirstColumn="0" w:firstRowLastColumn="0" w:lastRowFirstColumn="0" w:lastRowLastColumn="0"/>
            <w:tcW w:w="421" w:type="dxa"/>
          </w:tcPr>
          <w:p w14:paraId="1042D988"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11</w:t>
            </w:r>
          </w:p>
        </w:tc>
        <w:tc>
          <w:tcPr>
            <w:tcW w:w="1984" w:type="dxa"/>
          </w:tcPr>
          <w:p w14:paraId="6FA0011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ESMA</w:t>
            </w:r>
          </w:p>
        </w:tc>
        <w:tc>
          <w:tcPr>
            <w:tcW w:w="993" w:type="dxa"/>
          </w:tcPr>
          <w:p w14:paraId="68576CA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8</w:t>
            </w:r>
          </w:p>
        </w:tc>
        <w:tc>
          <w:tcPr>
            <w:tcW w:w="849" w:type="dxa"/>
          </w:tcPr>
          <w:p w14:paraId="7CF1436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993" w:type="dxa"/>
          </w:tcPr>
          <w:p w14:paraId="4EB47BD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25</w:t>
            </w:r>
          </w:p>
        </w:tc>
        <w:tc>
          <w:tcPr>
            <w:tcW w:w="850" w:type="dxa"/>
          </w:tcPr>
          <w:p w14:paraId="7D00FAB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1000</w:t>
            </w:r>
          </w:p>
        </w:tc>
        <w:tc>
          <w:tcPr>
            <w:tcW w:w="727" w:type="dxa"/>
          </w:tcPr>
          <w:p w14:paraId="29A037F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850" w:type="dxa"/>
          </w:tcPr>
          <w:p w14:paraId="0290032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Vysoká</w:t>
            </w:r>
          </w:p>
        </w:tc>
        <w:tc>
          <w:tcPr>
            <w:tcW w:w="892" w:type="dxa"/>
          </w:tcPr>
          <w:p w14:paraId="69D4E14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r>
      <w:tr w:rsidR="00D42B04" w:rsidRPr="00D42B04" w14:paraId="71D8BC33"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DD690A0"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16</w:t>
            </w:r>
          </w:p>
        </w:tc>
        <w:tc>
          <w:tcPr>
            <w:tcW w:w="1984" w:type="dxa"/>
          </w:tcPr>
          <w:p w14:paraId="5B772DC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MACROP___1</w:t>
            </w:r>
          </w:p>
        </w:tc>
        <w:tc>
          <w:tcPr>
            <w:tcW w:w="993" w:type="dxa"/>
          </w:tcPr>
          <w:p w14:paraId="06241B9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c>
          <w:tcPr>
            <w:tcW w:w="849" w:type="dxa"/>
          </w:tcPr>
          <w:p w14:paraId="3244143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993" w:type="dxa"/>
          </w:tcPr>
          <w:p w14:paraId="78C8C5C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850" w:type="dxa"/>
          </w:tcPr>
          <w:p w14:paraId="4957E21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727" w:type="dxa"/>
          </w:tcPr>
          <w:p w14:paraId="4B89902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850" w:type="dxa"/>
          </w:tcPr>
          <w:p w14:paraId="776C156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Vysoká</w:t>
            </w:r>
          </w:p>
        </w:tc>
        <w:tc>
          <w:tcPr>
            <w:tcW w:w="892" w:type="dxa"/>
          </w:tcPr>
          <w:p w14:paraId="087E56E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w:t>
            </w:r>
          </w:p>
        </w:tc>
      </w:tr>
      <w:tr w:rsidR="00D42B04" w:rsidRPr="00D42B04" w14:paraId="077CE3F0" w14:textId="77777777" w:rsidTr="000C3B41">
        <w:tc>
          <w:tcPr>
            <w:cnfStyle w:val="001000000000" w:firstRow="0" w:lastRow="0" w:firstColumn="1" w:lastColumn="0" w:oddVBand="0" w:evenVBand="0" w:oddHBand="0" w:evenHBand="0" w:firstRowFirstColumn="0" w:firstRowLastColumn="0" w:lastRowFirstColumn="0" w:lastRowLastColumn="0"/>
            <w:tcW w:w="421" w:type="dxa"/>
          </w:tcPr>
          <w:p w14:paraId="22B8DA07"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19</w:t>
            </w:r>
          </w:p>
        </w:tc>
        <w:tc>
          <w:tcPr>
            <w:tcW w:w="1984" w:type="dxa"/>
          </w:tcPr>
          <w:p w14:paraId="28910EC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MACROP___3</w:t>
            </w:r>
          </w:p>
        </w:tc>
        <w:tc>
          <w:tcPr>
            <w:tcW w:w="993" w:type="dxa"/>
          </w:tcPr>
          <w:p w14:paraId="5FF149D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6</w:t>
            </w:r>
          </w:p>
        </w:tc>
        <w:tc>
          <w:tcPr>
            <w:tcW w:w="849" w:type="dxa"/>
          </w:tcPr>
          <w:p w14:paraId="46AA19D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993" w:type="dxa"/>
          </w:tcPr>
          <w:p w14:paraId="06AD2B9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c>
          <w:tcPr>
            <w:tcW w:w="850" w:type="dxa"/>
          </w:tcPr>
          <w:p w14:paraId="3C6CF57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727" w:type="dxa"/>
          </w:tcPr>
          <w:p w14:paraId="3B120BB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50</w:t>
            </w:r>
          </w:p>
        </w:tc>
        <w:tc>
          <w:tcPr>
            <w:tcW w:w="850" w:type="dxa"/>
          </w:tcPr>
          <w:p w14:paraId="3E57F60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Nízka</w:t>
            </w:r>
          </w:p>
        </w:tc>
        <w:tc>
          <w:tcPr>
            <w:tcW w:w="892" w:type="dxa"/>
          </w:tcPr>
          <w:p w14:paraId="4F86F54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4</w:t>
            </w:r>
          </w:p>
        </w:tc>
      </w:tr>
      <w:tr w:rsidR="00D42B04" w:rsidRPr="00D42B04" w14:paraId="204511BD"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D412FA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9</w:t>
            </w:r>
          </w:p>
        </w:tc>
        <w:tc>
          <w:tcPr>
            <w:tcW w:w="1984" w:type="dxa"/>
          </w:tcPr>
          <w:p w14:paraId="28CED03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ESAS</w:t>
            </w:r>
          </w:p>
        </w:tc>
        <w:tc>
          <w:tcPr>
            <w:tcW w:w="993" w:type="dxa"/>
          </w:tcPr>
          <w:p w14:paraId="2117D6E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13</w:t>
            </w:r>
          </w:p>
        </w:tc>
        <w:tc>
          <w:tcPr>
            <w:tcW w:w="849" w:type="dxa"/>
          </w:tcPr>
          <w:p w14:paraId="2A9C49D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75</w:t>
            </w:r>
          </w:p>
        </w:tc>
        <w:tc>
          <w:tcPr>
            <w:tcW w:w="993" w:type="dxa"/>
          </w:tcPr>
          <w:p w14:paraId="48C9827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25</w:t>
            </w:r>
          </w:p>
        </w:tc>
        <w:tc>
          <w:tcPr>
            <w:tcW w:w="850" w:type="dxa"/>
          </w:tcPr>
          <w:p w14:paraId="759FD6E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500</w:t>
            </w:r>
          </w:p>
        </w:tc>
        <w:tc>
          <w:tcPr>
            <w:tcW w:w="727" w:type="dxa"/>
          </w:tcPr>
          <w:p w14:paraId="1003CEB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100</w:t>
            </w:r>
          </w:p>
        </w:tc>
        <w:tc>
          <w:tcPr>
            <w:tcW w:w="850" w:type="dxa"/>
          </w:tcPr>
          <w:p w14:paraId="7D1EB6F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Stredná </w:t>
            </w:r>
          </w:p>
        </w:tc>
        <w:tc>
          <w:tcPr>
            <w:tcW w:w="892" w:type="dxa"/>
          </w:tcPr>
          <w:p w14:paraId="1E5E3C8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r>
      <w:tr w:rsidR="00D42B04" w:rsidRPr="00D42B04" w14:paraId="689D0DD0" w14:textId="77777777" w:rsidTr="000C3B41">
        <w:tc>
          <w:tcPr>
            <w:cnfStyle w:val="001000000000" w:firstRow="0" w:lastRow="0" w:firstColumn="1" w:lastColumn="0" w:oddVBand="0" w:evenVBand="0" w:oddHBand="0" w:evenHBand="0" w:firstRowFirstColumn="0" w:firstRowLastColumn="0" w:lastRowFirstColumn="0" w:lastRowLastColumn="0"/>
            <w:tcW w:w="421" w:type="dxa"/>
          </w:tcPr>
          <w:p w14:paraId="14C63B75"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17</w:t>
            </w:r>
          </w:p>
        </w:tc>
        <w:tc>
          <w:tcPr>
            <w:tcW w:w="1984" w:type="dxa"/>
          </w:tcPr>
          <w:p w14:paraId="13E3A90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MACROP___2</w:t>
            </w:r>
          </w:p>
        </w:tc>
        <w:tc>
          <w:tcPr>
            <w:tcW w:w="993" w:type="dxa"/>
          </w:tcPr>
          <w:p w14:paraId="1FD8743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w:t>
            </w:r>
          </w:p>
        </w:tc>
        <w:tc>
          <w:tcPr>
            <w:tcW w:w="849" w:type="dxa"/>
          </w:tcPr>
          <w:p w14:paraId="4DEF59C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75</w:t>
            </w:r>
          </w:p>
        </w:tc>
        <w:tc>
          <w:tcPr>
            <w:tcW w:w="993" w:type="dxa"/>
          </w:tcPr>
          <w:p w14:paraId="7254853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25</w:t>
            </w:r>
          </w:p>
        </w:tc>
        <w:tc>
          <w:tcPr>
            <w:tcW w:w="850" w:type="dxa"/>
          </w:tcPr>
          <w:p w14:paraId="2F88030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500</w:t>
            </w:r>
          </w:p>
        </w:tc>
        <w:tc>
          <w:tcPr>
            <w:tcW w:w="727" w:type="dxa"/>
          </w:tcPr>
          <w:p w14:paraId="0FE8C7E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10</w:t>
            </w:r>
          </w:p>
        </w:tc>
        <w:tc>
          <w:tcPr>
            <w:tcW w:w="850" w:type="dxa"/>
          </w:tcPr>
          <w:p w14:paraId="7049069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Vysoká</w:t>
            </w:r>
          </w:p>
        </w:tc>
        <w:tc>
          <w:tcPr>
            <w:tcW w:w="892" w:type="dxa"/>
          </w:tcPr>
          <w:p w14:paraId="3C8F82E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w:t>
            </w:r>
          </w:p>
        </w:tc>
      </w:tr>
      <w:tr w:rsidR="00D42B04" w:rsidRPr="00D42B04" w14:paraId="6E6F4CE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C27CC1C"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14</w:t>
            </w:r>
          </w:p>
        </w:tc>
        <w:tc>
          <w:tcPr>
            <w:tcW w:w="1984" w:type="dxa"/>
          </w:tcPr>
          <w:p w14:paraId="4DCE4F6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ASDR</w:t>
            </w:r>
          </w:p>
        </w:tc>
        <w:tc>
          <w:tcPr>
            <w:tcW w:w="993" w:type="dxa"/>
          </w:tcPr>
          <w:p w14:paraId="7EC9C8C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12</w:t>
            </w:r>
          </w:p>
        </w:tc>
        <w:tc>
          <w:tcPr>
            <w:tcW w:w="849" w:type="dxa"/>
          </w:tcPr>
          <w:p w14:paraId="1E29A09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993" w:type="dxa"/>
          </w:tcPr>
          <w:p w14:paraId="3E02903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850" w:type="dxa"/>
          </w:tcPr>
          <w:p w14:paraId="0363027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727" w:type="dxa"/>
          </w:tcPr>
          <w:p w14:paraId="086183F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850" w:type="dxa"/>
          </w:tcPr>
          <w:p w14:paraId="200F74B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c>
          <w:tcPr>
            <w:tcW w:w="892" w:type="dxa"/>
          </w:tcPr>
          <w:p w14:paraId="0BFC705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w:t>
            </w:r>
          </w:p>
        </w:tc>
      </w:tr>
      <w:tr w:rsidR="00D42B04" w:rsidRPr="00D42B04" w14:paraId="40B9B2CC" w14:textId="77777777" w:rsidTr="000C3B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EE5AE01" w14:textId="77777777" w:rsidR="00D42B04" w:rsidRPr="00D42B04" w:rsidRDefault="00D42B04" w:rsidP="00D42B04">
            <w:pPr>
              <w:spacing w:before="120" w:after="120"/>
              <w:jc w:val="both"/>
              <w:rPr>
                <w:rFonts w:ascii="Cambria" w:hAnsi="Cambria"/>
                <w:sz w:val="16"/>
                <w:szCs w:val="16"/>
              </w:rPr>
            </w:pPr>
          </w:p>
        </w:tc>
        <w:tc>
          <w:tcPr>
            <w:tcW w:w="1984" w:type="dxa"/>
          </w:tcPr>
          <w:p w14:paraId="0C513ADA"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11 DataMartov</w:t>
            </w:r>
          </w:p>
        </w:tc>
        <w:tc>
          <w:tcPr>
            <w:tcW w:w="993" w:type="dxa"/>
          </w:tcPr>
          <w:p w14:paraId="234B728C"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p>
        </w:tc>
        <w:tc>
          <w:tcPr>
            <w:tcW w:w="849" w:type="dxa"/>
          </w:tcPr>
          <w:p w14:paraId="207624ED"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352</w:t>
            </w:r>
          </w:p>
        </w:tc>
        <w:tc>
          <w:tcPr>
            <w:tcW w:w="993" w:type="dxa"/>
          </w:tcPr>
          <w:p w14:paraId="6F73572F"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143</w:t>
            </w:r>
          </w:p>
        </w:tc>
        <w:tc>
          <w:tcPr>
            <w:tcW w:w="850" w:type="dxa"/>
          </w:tcPr>
          <w:p w14:paraId="36E4A408"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2960</w:t>
            </w:r>
          </w:p>
        </w:tc>
        <w:tc>
          <w:tcPr>
            <w:tcW w:w="727" w:type="dxa"/>
          </w:tcPr>
          <w:p w14:paraId="7C75876B"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500</w:t>
            </w:r>
          </w:p>
        </w:tc>
        <w:tc>
          <w:tcPr>
            <w:tcW w:w="850" w:type="dxa"/>
          </w:tcPr>
          <w:p w14:paraId="43D8FCC5" w14:textId="77777777" w:rsidR="00D42B04" w:rsidRPr="00D42B04" w:rsidRDefault="00D42B04" w:rsidP="00D42B04">
            <w:pPr>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p>
        </w:tc>
        <w:tc>
          <w:tcPr>
            <w:tcW w:w="892" w:type="dxa"/>
          </w:tcPr>
          <w:p w14:paraId="7665F6CB" w14:textId="77777777" w:rsidR="00D42B04" w:rsidRPr="00D42B04" w:rsidRDefault="00D42B04" w:rsidP="00D42B04">
            <w:pPr>
              <w:keepNext/>
              <w:spacing w:before="120" w:after="120"/>
              <w:jc w:val="both"/>
              <w:cnfStyle w:val="010000000000" w:firstRow="0" w:lastRow="1"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54</w:t>
            </w:r>
          </w:p>
        </w:tc>
      </w:tr>
    </w:tbl>
    <w:p w14:paraId="2F0D0910"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19</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Predpokladaná maximálna náročnosť jednotlivých DataMartov a prezentačnej vrstvy (PL) relačnej časti DWH</w:t>
      </w:r>
    </w:p>
    <w:p w14:paraId="22217332" w14:textId="77777777" w:rsidR="00D42B04" w:rsidRPr="00D42B04" w:rsidRDefault="00D42B04" w:rsidP="00D42B04">
      <w:pPr>
        <w:spacing w:before="120" w:after="120"/>
        <w:jc w:val="both"/>
        <w:rPr>
          <w:rFonts w:ascii="Cambria" w:eastAsia="Calibri" w:hAnsi="Cambria" w:cs="Arial"/>
          <w:sz w:val="22"/>
          <w:szCs w:val="22"/>
        </w:rPr>
      </w:pPr>
    </w:p>
    <w:p w14:paraId="784D0A7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Poznámka 1: Odhady komplexnosti jednotlivých DataMartov vychádzajú z výsledkov Pilotu DWH a metodiky vývoja podľa Ralpha Kimbala</w:t>
      </w:r>
    </w:p>
    <w:p w14:paraId="3E979E7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Poznámka 2: Detailná tabuľka je v prílohe „DataMarty NBS DWH“ .</w:t>
      </w:r>
    </w:p>
    <w:p w14:paraId="59A74B9E"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2" w:name="_Toc110518797"/>
      <w:r w:rsidRPr="00D42B04">
        <w:rPr>
          <w:rFonts w:ascii="Cambria" w:eastAsia="Yu Gothic Light" w:hAnsi="Cambria"/>
          <w:b/>
          <w:bCs/>
          <w:color w:val="2F5496"/>
          <w:szCs w:val="24"/>
        </w:rPr>
        <w:lastRenderedPageBreak/>
        <w:t>Výstupné dátové oblasti</w:t>
      </w:r>
      <w:bookmarkEnd w:id="172"/>
    </w:p>
    <w:p w14:paraId="020CC71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Druhá veľká časť výstupov NBS DWH sú výstupy dát v presne definovanej štruktúre pre potreby odosielania týchto dát mimo NBS. </w:t>
      </w:r>
    </w:p>
    <w:p w14:paraId="3F3D826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Cieľom tejto časti je rámcový popis požiadavky na automatizáciu procesov diseminácie v štatistickom spracovaní dát z pohľadu: </w:t>
      </w:r>
    </w:p>
    <w:p w14:paraId="35C0C892" w14:textId="77777777" w:rsidR="00D42B04" w:rsidRPr="00D42B04" w:rsidRDefault="00D42B04" w:rsidP="00D42B04">
      <w:pPr>
        <w:numPr>
          <w:ilvl w:val="0"/>
          <w:numId w:val="6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integrácie požadovaných dát z identifikovaných dátových zdrojov (referencia na tabuľku) do databáz DWH/DL,</w:t>
      </w:r>
    </w:p>
    <w:p w14:paraId="3FDB4C06" w14:textId="77777777" w:rsidR="00D42B04" w:rsidRPr="00D42B04" w:rsidRDefault="00D42B04" w:rsidP="00D42B04">
      <w:pPr>
        <w:numPr>
          <w:ilvl w:val="0"/>
          <w:numId w:val="6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vytvorenia dátových modelov pre účely štatistického spracovania dát v prostredí databáz DWH/DL a nástrojov BI, </w:t>
      </w:r>
    </w:p>
    <w:p w14:paraId="5B006ADA" w14:textId="77777777" w:rsidR="00D42B04" w:rsidRPr="00D42B04" w:rsidRDefault="00D42B04" w:rsidP="00D42B04">
      <w:pPr>
        <w:numPr>
          <w:ilvl w:val="0"/>
          <w:numId w:val="6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návrhu transformačných a výpočtových procedúr vo vrstvách DWH/DL a nástrojov BI </w:t>
      </w:r>
    </w:p>
    <w:p w14:paraId="3A1023E2" w14:textId="77777777" w:rsidR="00D42B04" w:rsidRPr="00D42B04" w:rsidRDefault="00D42B04" w:rsidP="00D42B04">
      <w:pPr>
        <w:numPr>
          <w:ilvl w:val="0"/>
          <w:numId w:val="6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prípravy a archivácie výstupov v exportných formátoch (GESMES/TS / SDMX/ML),</w:t>
      </w:r>
    </w:p>
    <w:p w14:paraId="183D6427" w14:textId="77777777" w:rsidR="00D42B04" w:rsidRPr="00D42B04" w:rsidRDefault="00D42B04" w:rsidP="00D42B04">
      <w:pPr>
        <w:numPr>
          <w:ilvl w:val="0"/>
          <w:numId w:val="64"/>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automatizácie kontrol dátovej kvality výstupov.</w:t>
      </w:r>
    </w:p>
    <w:p w14:paraId="0637F7D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Výstupy zo štatistického spracovania je možné kategorizovať do nasledovných oblastí:</w:t>
      </w:r>
    </w:p>
    <w:p w14:paraId="2C2C04D8" w14:textId="77777777" w:rsidR="00D42B04" w:rsidRPr="00D42B04" w:rsidRDefault="00D42B04" w:rsidP="00D42B04">
      <w:pPr>
        <w:numPr>
          <w:ilvl w:val="0"/>
          <w:numId w:val="6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odvetvové</w:t>
      </w:r>
    </w:p>
    <w:p w14:paraId="2FC2911C" w14:textId="77777777" w:rsidR="00D42B04" w:rsidRPr="00D42B04" w:rsidRDefault="00D42B04" w:rsidP="00D42B04">
      <w:pPr>
        <w:numPr>
          <w:ilvl w:val="0"/>
          <w:numId w:val="6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nástrojové</w:t>
      </w:r>
    </w:p>
    <w:p w14:paraId="5645B351" w14:textId="77777777" w:rsidR="00D42B04" w:rsidRPr="00D42B04" w:rsidRDefault="00D42B04" w:rsidP="00D42B04">
      <w:pPr>
        <w:numPr>
          <w:ilvl w:val="0"/>
          <w:numId w:val="65"/>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komplexné</w:t>
      </w:r>
    </w:p>
    <w:p w14:paraId="4AFD039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V rámci odvetvových a nástrojových oblastí spracovania je požadované zaviesť automatizované a semi-automatizované procesy, a generovanie výstupných formátov (GESMES/TS/SDMX/ML/TSV/CSV) podľa špecifikácie konkrétneho spracovania. V súčasnej dobe sú využívané dostupné self-service nástroje, pričom logiky spracovania sú decentralizované v rámci týchto nástrojov (VBA, self-service BI, SQL, manuálna práca MS EXCEL). Rámcové ohraničenie rozsahu a štruktúry dátových zdrojov, nad ktorými sa budú vykonávať výpočtové operácie sú uvedené v úvode tejto kapitoly. </w:t>
      </w:r>
    </w:p>
    <w:p w14:paraId="677F978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prípade výstupov označených ako komplexné, nie je vzhľadom na povahu a rozsah možné zabezpečenie plne automatizovaného „end-to-end“ spracovania a to najmä kvôli častej potrebe manuálnych korekcií a ad-hoc intervenciám v procese kompilácie výstupov zo strany zostavovateľov štatistík. V tomto prípade bude požadované minimálne zabezpečenie aktuálnych a dostupných dát zo všetkých dátových zdrojov pre efektívne spracovanie výstupov prostredníctvom na to určených „self-service“ nástrojov.</w:t>
      </w:r>
    </w:p>
    <w:p w14:paraId="24E5614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Oblasti štatistického spracovania sa pri tvorbe výstupných súborových formátov vyznačujú rôznorodosťou potrebných dátových zdrojov v kombinácií s ich vysokou dostupnosťou. Tieto dátové zdroje možno rozčleniť na:</w:t>
      </w:r>
    </w:p>
    <w:p w14:paraId="0ED09F1B" w14:textId="77777777" w:rsidR="00D42B04" w:rsidRPr="00D42B04" w:rsidRDefault="00D42B04" w:rsidP="00D42B04">
      <w:pPr>
        <w:numPr>
          <w:ilvl w:val="0"/>
          <w:numId w:val="6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manuálne dátové vstupy (dáta, ktoré nemožno získať z interných alebo externých systémov a sú výsledkami práce expertov danej domény), </w:t>
      </w:r>
    </w:p>
    <w:p w14:paraId="747493E4" w14:textId="77777777" w:rsidR="00D42B04" w:rsidRPr="00D42B04" w:rsidRDefault="00D42B04" w:rsidP="00D42B04">
      <w:pPr>
        <w:numPr>
          <w:ilvl w:val="0"/>
          <w:numId w:val="6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dáta z interných systémov NBS (interné databázy, portály, súbory), </w:t>
      </w:r>
    </w:p>
    <w:p w14:paraId="375A7DCD" w14:textId="77777777" w:rsidR="00D42B04" w:rsidRPr="00D42B04" w:rsidRDefault="00D42B04" w:rsidP="00D42B04">
      <w:pPr>
        <w:numPr>
          <w:ilvl w:val="0"/>
          <w:numId w:val="6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z externých inštitúcii (štatistické údaje v rôznych prenosových formátoch, ktorých rozsah a spôsob výmeny je dohodnutý v bilaterálnych zmluvách).</w:t>
      </w:r>
    </w:p>
    <w:p w14:paraId="2598F193"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lastRenderedPageBreak/>
        <w:t xml:space="preserve">Zoznam </w:t>
      </w:r>
      <w:r w:rsidRPr="00D42B04">
        <w:rPr>
          <w:rFonts w:ascii="Cambria" w:eastAsia="Calibri" w:hAnsi="Cambria" w:cs="Arial"/>
          <w:b/>
          <w:bCs/>
          <w:sz w:val="22"/>
          <w:szCs w:val="22"/>
        </w:rPr>
        <w:t>štatistických domén</w:t>
      </w:r>
      <w:r w:rsidRPr="00D42B04">
        <w:rPr>
          <w:rFonts w:ascii="Cambria" w:eastAsia="Calibri" w:hAnsi="Cambria" w:cs="Arial"/>
          <w:sz w:val="22"/>
          <w:szCs w:val="22"/>
        </w:rPr>
        <w:t>, v ktorých je požadované zvýšenie úrovne automatizácie, sa nachádza v tabuľke nižšie:</w:t>
      </w:r>
    </w:p>
    <w:tbl>
      <w:tblPr>
        <w:tblStyle w:val="GridTable4-Accent52"/>
        <w:tblW w:w="8487" w:type="dxa"/>
        <w:tblLayout w:type="fixed"/>
        <w:tblLook w:val="04A0" w:firstRow="1" w:lastRow="0" w:firstColumn="1" w:lastColumn="0" w:noHBand="0" w:noVBand="1"/>
      </w:tblPr>
      <w:tblGrid>
        <w:gridCol w:w="846"/>
        <w:gridCol w:w="1984"/>
        <w:gridCol w:w="756"/>
        <w:gridCol w:w="756"/>
        <w:gridCol w:w="756"/>
        <w:gridCol w:w="638"/>
        <w:gridCol w:w="638"/>
        <w:gridCol w:w="638"/>
        <w:gridCol w:w="638"/>
        <w:gridCol w:w="837"/>
      </w:tblGrid>
      <w:tr w:rsidR="00D42B04" w:rsidRPr="00D42B04" w14:paraId="77474F2E" w14:textId="77777777" w:rsidTr="00D42B04">
        <w:trPr>
          <w:cnfStyle w:val="100000000000" w:firstRow="1" w:lastRow="0" w:firstColumn="0" w:lastColumn="0" w:oddVBand="0" w:evenVBand="0" w:oddHBand="0" w:evenHBand="0" w:firstRowFirstColumn="0" w:firstRowLastColumn="0" w:lastRowFirstColumn="0" w:lastRowLastColumn="0"/>
          <w:cantSplit/>
          <w:trHeight w:val="293"/>
        </w:trPr>
        <w:tc>
          <w:tcPr>
            <w:cnfStyle w:val="001000000000" w:firstRow="0" w:lastRow="0" w:firstColumn="1" w:lastColumn="0" w:oddVBand="0" w:evenVBand="0" w:oddHBand="0" w:evenHBand="0" w:firstRowFirstColumn="0" w:firstRowLastColumn="0" w:lastRowFirstColumn="0" w:lastRowLastColumn="0"/>
            <w:tcW w:w="846" w:type="dxa"/>
            <w:vMerge w:val="restart"/>
          </w:tcPr>
          <w:p w14:paraId="77784E8B" w14:textId="77777777" w:rsidR="00D42B04" w:rsidRPr="00D42B04" w:rsidRDefault="00D42B04" w:rsidP="00D42B04">
            <w:pPr>
              <w:keepNext/>
              <w:spacing w:before="120" w:after="120"/>
              <w:jc w:val="both"/>
              <w:rPr>
                <w:rFonts w:ascii="Cambria" w:hAnsi="Cambria"/>
                <w:sz w:val="16"/>
                <w:szCs w:val="16"/>
                <w:lang w:eastAsia="sk-SK"/>
              </w:rPr>
            </w:pPr>
            <w:r w:rsidRPr="00D42B04">
              <w:rPr>
                <w:rFonts w:ascii="Cambria" w:hAnsi="Cambria"/>
                <w:sz w:val="16"/>
                <w:szCs w:val="16"/>
                <w:lang w:eastAsia="sk-SK"/>
              </w:rPr>
              <w:t>Výstup</w:t>
            </w:r>
          </w:p>
        </w:tc>
        <w:tc>
          <w:tcPr>
            <w:tcW w:w="1984" w:type="dxa"/>
            <w:vMerge w:val="restart"/>
          </w:tcPr>
          <w:p w14:paraId="5D6A28E6"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Doména</w:t>
            </w:r>
          </w:p>
        </w:tc>
        <w:tc>
          <w:tcPr>
            <w:tcW w:w="2268" w:type="dxa"/>
            <w:gridSpan w:val="3"/>
          </w:tcPr>
          <w:p w14:paraId="4CAFE9E1" w14:textId="77777777" w:rsidR="00D42B04" w:rsidRPr="00D42B04" w:rsidRDefault="00D42B04" w:rsidP="00D42B04">
            <w:pPr>
              <w:keepNext/>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Typ</w:t>
            </w:r>
          </w:p>
        </w:tc>
        <w:tc>
          <w:tcPr>
            <w:tcW w:w="2552" w:type="dxa"/>
            <w:gridSpan w:val="4"/>
          </w:tcPr>
          <w:p w14:paraId="13AC2CEA" w14:textId="77777777" w:rsidR="00D42B04" w:rsidRPr="00D42B04" w:rsidRDefault="00D42B04" w:rsidP="00D42B04">
            <w:pPr>
              <w:keepNext/>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Spôsob spracovania dát v DWH</w:t>
            </w:r>
          </w:p>
        </w:tc>
        <w:tc>
          <w:tcPr>
            <w:tcW w:w="837" w:type="dxa"/>
            <w:vMerge w:val="restart"/>
          </w:tcPr>
          <w:p w14:paraId="4F43CE1F" w14:textId="77777777" w:rsidR="00D42B04" w:rsidRPr="00D42B04" w:rsidRDefault="00D42B04" w:rsidP="00D42B04">
            <w:pPr>
              <w:keepNext/>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Počet dátových zdrojov</w:t>
            </w:r>
          </w:p>
        </w:tc>
      </w:tr>
      <w:tr w:rsidR="00D42B04" w:rsidRPr="00D42B04" w14:paraId="049FCC6A"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vMerge/>
          </w:tcPr>
          <w:p w14:paraId="05B58256" w14:textId="77777777" w:rsidR="00D42B04" w:rsidRPr="00D42B04" w:rsidRDefault="00D42B04" w:rsidP="00D42B04">
            <w:pPr>
              <w:keepNext/>
              <w:spacing w:before="120" w:after="120"/>
              <w:jc w:val="both"/>
              <w:rPr>
                <w:rFonts w:ascii="Cambria" w:hAnsi="Cambria"/>
                <w:sz w:val="16"/>
                <w:szCs w:val="16"/>
                <w:lang w:eastAsia="sk-SK"/>
              </w:rPr>
            </w:pPr>
          </w:p>
        </w:tc>
        <w:tc>
          <w:tcPr>
            <w:tcW w:w="1984" w:type="dxa"/>
            <w:vMerge/>
          </w:tcPr>
          <w:p w14:paraId="1F55E301" w14:textId="77777777" w:rsidR="00D42B04" w:rsidRPr="00D42B04" w:rsidRDefault="00D42B04" w:rsidP="00D42B04">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shd w:val="clear" w:color="auto" w:fill="5B9BD5"/>
          </w:tcPr>
          <w:p w14:paraId="3CF254F6"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Komplexné</w:t>
            </w:r>
          </w:p>
        </w:tc>
        <w:tc>
          <w:tcPr>
            <w:tcW w:w="756" w:type="dxa"/>
            <w:shd w:val="clear" w:color="auto" w:fill="5B9BD5"/>
          </w:tcPr>
          <w:p w14:paraId="37B232AA"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Sektorové / odvetvové</w:t>
            </w:r>
          </w:p>
        </w:tc>
        <w:tc>
          <w:tcPr>
            <w:tcW w:w="756" w:type="dxa"/>
            <w:shd w:val="clear" w:color="auto" w:fill="5B9BD5"/>
          </w:tcPr>
          <w:p w14:paraId="4A4E80AB"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Nástrojové</w:t>
            </w:r>
          </w:p>
        </w:tc>
        <w:tc>
          <w:tcPr>
            <w:tcW w:w="638" w:type="dxa"/>
            <w:shd w:val="clear" w:color="auto" w:fill="5B9BD5"/>
          </w:tcPr>
          <w:p w14:paraId="40AB02F4"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príprava dátových zdrojov</w:t>
            </w:r>
          </w:p>
        </w:tc>
        <w:tc>
          <w:tcPr>
            <w:tcW w:w="638" w:type="dxa"/>
            <w:shd w:val="clear" w:color="auto" w:fill="5B9BD5"/>
          </w:tcPr>
          <w:p w14:paraId="7B9D1484"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Transformácia dát</w:t>
            </w:r>
          </w:p>
        </w:tc>
        <w:tc>
          <w:tcPr>
            <w:tcW w:w="638" w:type="dxa"/>
            <w:shd w:val="clear" w:color="auto" w:fill="5B9BD5"/>
          </w:tcPr>
          <w:p w14:paraId="54290FE7"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Tvorba OUT</w:t>
            </w:r>
          </w:p>
        </w:tc>
        <w:tc>
          <w:tcPr>
            <w:tcW w:w="638" w:type="dxa"/>
            <w:shd w:val="clear" w:color="auto" w:fill="5B9BD5"/>
          </w:tcPr>
          <w:p w14:paraId="4653E5D0"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color w:val="FFFFFF"/>
                <w:sz w:val="16"/>
                <w:szCs w:val="16"/>
                <w:lang w:eastAsia="sk-SK"/>
              </w:rPr>
            </w:pPr>
            <w:r w:rsidRPr="00D42B04">
              <w:rPr>
                <w:rFonts w:ascii="Cambria" w:hAnsi="Cambria"/>
                <w:color w:val="FFFFFF"/>
                <w:sz w:val="16"/>
                <w:szCs w:val="16"/>
                <w:lang w:eastAsia="sk-SK"/>
              </w:rPr>
              <w:t>Nastavenie DQ</w:t>
            </w:r>
          </w:p>
        </w:tc>
        <w:tc>
          <w:tcPr>
            <w:tcW w:w="837" w:type="dxa"/>
            <w:vMerge/>
          </w:tcPr>
          <w:p w14:paraId="1BA42EB0"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r>
      <w:tr w:rsidR="00D42B04" w:rsidRPr="00D42B04" w14:paraId="39D002B8"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171B403" w14:textId="77777777" w:rsidR="00D42B04" w:rsidRPr="00D42B04" w:rsidRDefault="00D42B04" w:rsidP="00D42B04">
            <w:pPr>
              <w:keepNext/>
              <w:spacing w:before="120" w:after="120"/>
              <w:jc w:val="both"/>
              <w:rPr>
                <w:rFonts w:ascii="Cambria" w:hAnsi="Cambria"/>
                <w:color w:val="000000"/>
                <w:sz w:val="16"/>
                <w:szCs w:val="16"/>
                <w:lang w:eastAsia="sk-SK"/>
              </w:rPr>
            </w:pPr>
            <w:r w:rsidRPr="00D42B04">
              <w:rPr>
                <w:rFonts w:ascii="Cambria" w:hAnsi="Cambria"/>
                <w:sz w:val="16"/>
                <w:szCs w:val="16"/>
                <w:lang w:eastAsia="sk-SK"/>
              </w:rPr>
              <w:t>DM.001</w:t>
            </w:r>
          </w:p>
        </w:tc>
        <w:tc>
          <w:tcPr>
            <w:tcW w:w="1984" w:type="dxa"/>
            <w:hideMark/>
          </w:tcPr>
          <w:p w14:paraId="02137EBB" w14:textId="77777777" w:rsidR="00D42B04" w:rsidRPr="00D42B04" w:rsidRDefault="00D42B04" w:rsidP="00D42B0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Government Finance Statistics</w:t>
            </w:r>
          </w:p>
        </w:tc>
        <w:tc>
          <w:tcPr>
            <w:tcW w:w="756" w:type="dxa"/>
            <w:hideMark/>
          </w:tcPr>
          <w:p w14:paraId="40F182C8"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0C331680"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1EF2DD95"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662B4FA1"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69ABDAA"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196AE4FF"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4DFD3FE"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09D48A73"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24</w:t>
            </w:r>
          </w:p>
        </w:tc>
      </w:tr>
      <w:tr w:rsidR="00D42B04" w:rsidRPr="00D42B04" w14:paraId="44F4AEC6" w14:textId="77777777" w:rsidTr="00D42B04">
        <w:trPr>
          <w:cnfStyle w:val="000000100000" w:firstRow="0" w:lastRow="0" w:firstColumn="0" w:lastColumn="0" w:oddVBand="0" w:evenVBand="0" w:oddHBand="1" w:evenHBand="0" w:firstRowFirstColumn="0" w:firstRowLastColumn="0" w:lastRowFirstColumn="0" w:lastRowLastColumn="0"/>
          <w:cantSplit/>
          <w:trHeight w:val="43"/>
        </w:trPr>
        <w:tc>
          <w:tcPr>
            <w:cnfStyle w:val="001000000000" w:firstRow="0" w:lastRow="0" w:firstColumn="1" w:lastColumn="0" w:oddVBand="0" w:evenVBand="0" w:oddHBand="0" w:evenHBand="0" w:firstRowFirstColumn="0" w:firstRowLastColumn="0" w:lastRowFirstColumn="0" w:lastRowLastColumn="0"/>
            <w:tcW w:w="846" w:type="dxa"/>
            <w:hideMark/>
          </w:tcPr>
          <w:p w14:paraId="7C05155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DM.002</w:t>
            </w:r>
          </w:p>
        </w:tc>
        <w:tc>
          <w:tcPr>
            <w:tcW w:w="1984" w:type="dxa"/>
            <w:hideMark/>
          </w:tcPr>
          <w:p w14:paraId="6A11D71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MFI Interest Rate Statistics</w:t>
            </w:r>
          </w:p>
        </w:tc>
        <w:tc>
          <w:tcPr>
            <w:tcW w:w="756" w:type="dxa"/>
            <w:hideMark/>
          </w:tcPr>
          <w:p w14:paraId="4976929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64E3360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7B9D603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F8139D4"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7B94730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90D946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904257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5F1F0AF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2</w:t>
            </w:r>
          </w:p>
        </w:tc>
      </w:tr>
      <w:tr w:rsidR="00D42B04" w:rsidRPr="00D42B04" w14:paraId="55747D21"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9E1C43B"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DM.003</w:t>
            </w:r>
          </w:p>
        </w:tc>
        <w:tc>
          <w:tcPr>
            <w:tcW w:w="1984" w:type="dxa"/>
            <w:hideMark/>
          </w:tcPr>
          <w:p w14:paraId="6532179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MFI Balance Sheet Items</w:t>
            </w:r>
          </w:p>
        </w:tc>
        <w:tc>
          <w:tcPr>
            <w:tcW w:w="756" w:type="dxa"/>
            <w:hideMark/>
          </w:tcPr>
          <w:p w14:paraId="4DC1294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0659153C"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2290581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16914F0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F91174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C37F6C8"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A0342A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1A1FEA8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4</w:t>
            </w:r>
          </w:p>
        </w:tc>
      </w:tr>
      <w:tr w:rsidR="00D42B04" w:rsidRPr="00D42B04" w14:paraId="3BDD37F7"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0F13726"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DM.004</w:t>
            </w:r>
          </w:p>
        </w:tc>
        <w:tc>
          <w:tcPr>
            <w:tcW w:w="1984" w:type="dxa"/>
            <w:hideMark/>
          </w:tcPr>
          <w:p w14:paraId="70DD96A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Securities Issues</w:t>
            </w:r>
          </w:p>
        </w:tc>
        <w:tc>
          <w:tcPr>
            <w:tcW w:w="756" w:type="dxa"/>
            <w:hideMark/>
          </w:tcPr>
          <w:p w14:paraId="7FEA5E02"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5D2579F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01C51A0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1854157"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70284733"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44060E3"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44D1CAB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3F5BB28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9</w:t>
            </w:r>
          </w:p>
        </w:tc>
      </w:tr>
      <w:tr w:rsidR="00D42B04" w:rsidRPr="00D42B04" w14:paraId="386860B9"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0B8E4C9"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DM.005</w:t>
            </w:r>
          </w:p>
        </w:tc>
        <w:tc>
          <w:tcPr>
            <w:tcW w:w="1984" w:type="dxa"/>
            <w:hideMark/>
          </w:tcPr>
          <w:p w14:paraId="402DB5A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Securities Holdings SHSE</w:t>
            </w:r>
          </w:p>
        </w:tc>
        <w:tc>
          <w:tcPr>
            <w:tcW w:w="756" w:type="dxa"/>
            <w:hideMark/>
          </w:tcPr>
          <w:p w14:paraId="349DCDB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24E89781"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0A08FD0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15E045EC"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7E727A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9EA19D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4EE794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4BAFF57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2</w:t>
            </w:r>
          </w:p>
        </w:tc>
      </w:tr>
      <w:tr w:rsidR="00D42B04" w:rsidRPr="00D42B04" w14:paraId="1BB005F7"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17535D2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DM.006</w:t>
            </w:r>
          </w:p>
        </w:tc>
        <w:tc>
          <w:tcPr>
            <w:tcW w:w="1984" w:type="dxa"/>
            <w:hideMark/>
          </w:tcPr>
          <w:p w14:paraId="742A0AC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Securities Holdings SHSS</w:t>
            </w:r>
          </w:p>
        </w:tc>
        <w:tc>
          <w:tcPr>
            <w:tcW w:w="756" w:type="dxa"/>
            <w:hideMark/>
          </w:tcPr>
          <w:p w14:paraId="0BECF53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1C885FB4"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36CC479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5E46053"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35502785"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F08EB3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743464E9"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191026D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4</w:t>
            </w:r>
          </w:p>
        </w:tc>
      </w:tr>
      <w:tr w:rsidR="00D42B04" w:rsidRPr="00D42B04" w14:paraId="1DF146D5"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AE19D1C"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DM.007</w:t>
            </w:r>
          </w:p>
        </w:tc>
        <w:tc>
          <w:tcPr>
            <w:tcW w:w="1984" w:type="dxa"/>
            <w:hideMark/>
          </w:tcPr>
          <w:p w14:paraId="4C5526D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Investment Funds</w:t>
            </w:r>
          </w:p>
        </w:tc>
        <w:tc>
          <w:tcPr>
            <w:tcW w:w="756" w:type="dxa"/>
            <w:hideMark/>
          </w:tcPr>
          <w:p w14:paraId="79C006F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56D8B53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52AC8CF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40A9C4D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4BF13A68"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05A7A8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A1A6EB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53166A1A"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3</w:t>
            </w:r>
          </w:p>
        </w:tc>
      </w:tr>
      <w:tr w:rsidR="00D42B04" w:rsidRPr="00D42B04" w14:paraId="1010390C"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4C37159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DM.008</w:t>
            </w:r>
          </w:p>
        </w:tc>
        <w:tc>
          <w:tcPr>
            <w:tcW w:w="1984" w:type="dxa"/>
            <w:hideMark/>
          </w:tcPr>
          <w:p w14:paraId="7845501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Factoring, Leasing and Consumer Credit Companies</w:t>
            </w:r>
          </w:p>
        </w:tc>
        <w:tc>
          <w:tcPr>
            <w:tcW w:w="756" w:type="dxa"/>
            <w:hideMark/>
          </w:tcPr>
          <w:p w14:paraId="161EB909"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33AD3BC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17DA186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24E7179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080AC1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7357871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7FE72E4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62E897B0"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1</w:t>
            </w:r>
          </w:p>
        </w:tc>
      </w:tr>
      <w:tr w:rsidR="00D42B04" w:rsidRPr="00D42B04" w14:paraId="5156A669"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5969295F"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DM.009</w:t>
            </w:r>
          </w:p>
        </w:tc>
        <w:tc>
          <w:tcPr>
            <w:tcW w:w="1984" w:type="dxa"/>
            <w:hideMark/>
          </w:tcPr>
          <w:p w14:paraId="3264FB3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Financial Accounts</w:t>
            </w:r>
          </w:p>
        </w:tc>
        <w:tc>
          <w:tcPr>
            <w:tcW w:w="756" w:type="dxa"/>
            <w:hideMark/>
          </w:tcPr>
          <w:p w14:paraId="6705BDA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624884C1"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1319D3F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60E50A6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4DCE3983"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7B8133B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26AA37F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6B30FC9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8</w:t>
            </w:r>
          </w:p>
        </w:tc>
      </w:tr>
      <w:tr w:rsidR="00D42B04" w:rsidRPr="00D42B04" w14:paraId="6DF1A8EB"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043AF2A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DM.010</w:t>
            </w:r>
          </w:p>
        </w:tc>
        <w:tc>
          <w:tcPr>
            <w:tcW w:w="1984" w:type="dxa"/>
            <w:hideMark/>
          </w:tcPr>
          <w:p w14:paraId="647C72D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Insurance Corporations, (sektorovo / odvetvové)</w:t>
            </w:r>
          </w:p>
        </w:tc>
        <w:tc>
          <w:tcPr>
            <w:tcW w:w="756" w:type="dxa"/>
            <w:hideMark/>
          </w:tcPr>
          <w:p w14:paraId="154FAC4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2C91F744"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76C7B7C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66E14EF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C9F2A47"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3125C9C0"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11B98A3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15F8340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8</w:t>
            </w:r>
          </w:p>
        </w:tc>
      </w:tr>
      <w:tr w:rsidR="00D42B04" w:rsidRPr="00D42B04" w14:paraId="74B00799"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6AEA232C"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DM.011</w:t>
            </w:r>
          </w:p>
        </w:tc>
        <w:tc>
          <w:tcPr>
            <w:tcW w:w="1984" w:type="dxa"/>
            <w:hideMark/>
          </w:tcPr>
          <w:p w14:paraId="33544D1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Pensions Funds</w:t>
            </w:r>
          </w:p>
        </w:tc>
        <w:tc>
          <w:tcPr>
            <w:tcW w:w="756" w:type="dxa"/>
            <w:hideMark/>
          </w:tcPr>
          <w:p w14:paraId="441E39C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569C747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4B2DEBC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BBA06C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AA20A6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5770283"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1A852A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51779C3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6</w:t>
            </w:r>
          </w:p>
        </w:tc>
      </w:tr>
      <w:tr w:rsidR="00D42B04" w:rsidRPr="00D42B04" w14:paraId="4CEC42AD"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202065D4"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DM.012</w:t>
            </w:r>
          </w:p>
        </w:tc>
        <w:tc>
          <w:tcPr>
            <w:tcW w:w="1984" w:type="dxa"/>
            <w:hideMark/>
          </w:tcPr>
          <w:p w14:paraId="15EF499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Balance of Payments</w:t>
            </w:r>
          </w:p>
        </w:tc>
        <w:tc>
          <w:tcPr>
            <w:tcW w:w="756" w:type="dxa"/>
            <w:hideMark/>
          </w:tcPr>
          <w:p w14:paraId="17E5E119"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68F9300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3AB391D9"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15EEF27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AD9C29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F0BB7A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F9191D4"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837" w:type="dxa"/>
            <w:hideMark/>
          </w:tcPr>
          <w:p w14:paraId="6E945E22"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13</w:t>
            </w:r>
          </w:p>
        </w:tc>
      </w:tr>
      <w:tr w:rsidR="00D42B04" w:rsidRPr="00D42B04" w14:paraId="37187256"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1EC6B84C"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DM.013</w:t>
            </w:r>
          </w:p>
        </w:tc>
        <w:tc>
          <w:tcPr>
            <w:tcW w:w="1984" w:type="dxa"/>
            <w:hideMark/>
          </w:tcPr>
          <w:p w14:paraId="4899001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Payment statistics</w:t>
            </w:r>
          </w:p>
        </w:tc>
        <w:tc>
          <w:tcPr>
            <w:tcW w:w="756" w:type="dxa"/>
            <w:hideMark/>
          </w:tcPr>
          <w:p w14:paraId="30A5734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5645685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3FC0350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4BC0526C"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C26C823"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66D8A47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029E9C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02F9755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3</w:t>
            </w:r>
          </w:p>
        </w:tc>
      </w:tr>
      <w:tr w:rsidR="00D42B04" w:rsidRPr="00D42B04" w14:paraId="6DD0CF7C" w14:textId="77777777" w:rsidTr="00D42B04">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3FE7294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DM.014</w:t>
            </w:r>
          </w:p>
        </w:tc>
        <w:tc>
          <w:tcPr>
            <w:tcW w:w="1984" w:type="dxa"/>
            <w:hideMark/>
          </w:tcPr>
          <w:p w14:paraId="2226958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Payment institutions and institutions of electronic money</w:t>
            </w:r>
          </w:p>
        </w:tc>
        <w:tc>
          <w:tcPr>
            <w:tcW w:w="756" w:type="dxa"/>
            <w:hideMark/>
          </w:tcPr>
          <w:p w14:paraId="3D44347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756" w:type="dxa"/>
            <w:hideMark/>
          </w:tcPr>
          <w:p w14:paraId="7C9E7952"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66A13DC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p>
        </w:tc>
        <w:tc>
          <w:tcPr>
            <w:tcW w:w="638" w:type="dxa"/>
            <w:hideMark/>
          </w:tcPr>
          <w:p w14:paraId="52CC6A17"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070EC9E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5D654D35"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124FC85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837" w:type="dxa"/>
            <w:hideMark/>
          </w:tcPr>
          <w:p w14:paraId="19C6770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9</w:t>
            </w:r>
          </w:p>
        </w:tc>
      </w:tr>
      <w:tr w:rsidR="00D42B04" w:rsidRPr="00D42B04" w14:paraId="1D87BBF0" w14:textId="77777777" w:rsidTr="000C3B41">
        <w:trPr>
          <w:cantSplit/>
          <w:trHeight w:val="270"/>
        </w:trPr>
        <w:tc>
          <w:tcPr>
            <w:cnfStyle w:val="001000000000" w:firstRow="0" w:lastRow="0" w:firstColumn="1" w:lastColumn="0" w:oddVBand="0" w:evenVBand="0" w:oddHBand="0" w:evenHBand="0" w:firstRowFirstColumn="0" w:firstRowLastColumn="0" w:lastRowFirstColumn="0" w:lastRowLastColumn="0"/>
            <w:tcW w:w="846" w:type="dxa"/>
            <w:hideMark/>
          </w:tcPr>
          <w:p w14:paraId="7EB4ABA0" w14:textId="77777777" w:rsidR="00D42B04" w:rsidRPr="00D42B04" w:rsidRDefault="00D42B04" w:rsidP="00D42B04">
            <w:pPr>
              <w:spacing w:before="120" w:after="120"/>
              <w:jc w:val="both"/>
              <w:rPr>
                <w:rFonts w:ascii="Cambria" w:hAnsi="Cambria"/>
                <w:color w:val="000000"/>
                <w:sz w:val="16"/>
                <w:szCs w:val="16"/>
                <w:lang w:eastAsia="sk-SK"/>
              </w:rPr>
            </w:pPr>
            <w:r w:rsidRPr="00D42B04">
              <w:rPr>
                <w:rFonts w:ascii="Cambria" w:hAnsi="Cambria"/>
                <w:sz w:val="16"/>
                <w:szCs w:val="16"/>
                <w:lang w:eastAsia="sk-SK"/>
              </w:rPr>
              <w:t>DM.015</w:t>
            </w:r>
          </w:p>
        </w:tc>
        <w:tc>
          <w:tcPr>
            <w:tcW w:w="1984" w:type="dxa"/>
            <w:hideMark/>
          </w:tcPr>
          <w:p w14:paraId="7429026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Bank for the Accounts of Companies Harmonised</w:t>
            </w:r>
          </w:p>
        </w:tc>
        <w:tc>
          <w:tcPr>
            <w:tcW w:w="756" w:type="dxa"/>
            <w:hideMark/>
          </w:tcPr>
          <w:p w14:paraId="644DE4D6"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756" w:type="dxa"/>
            <w:hideMark/>
          </w:tcPr>
          <w:p w14:paraId="1B50C13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756" w:type="dxa"/>
            <w:hideMark/>
          </w:tcPr>
          <w:p w14:paraId="0411C5F6"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8E4137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w:t>
            </w:r>
          </w:p>
        </w:tc>
        <w:tc>
          <w:tcPr>
            <w:tcW w:w="638" w:type="dxa"/>
            <w:hideMark/>
          </w:tcPr>
          <w:p w14:paraId="20CB45F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1482C76"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638" w:type="dxa"/>
            <w:hideMark/>
          </w:tcPr>
          <w:p w14:paraId="38DE7DE3"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p>
        </w:tc>
        <w:tc>
          <w:tcPr>
            <w:tcW w:w="837" w:type="dxa"/>
            <w:hideMark/>
          </w:tcPr>
          <w:p w14:paraId="4A905132"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lang w:eastAsia="sk-SK"/>
              </w:rPr>
            </w:pPr>
            <w:r w:rsidRPr="00D42B04">
              <w:rPr>
                <w:rFonts w:ascii="Cambria" w:hAnsi="Cambria"/>
                <w:sz w:val="16"/>
                <w:szCs w:val="16"/>
                <w:lang w:eastAsia="sk-SK"/>
              </w:rPr>
              <w:t>5</w:t>
            </w:r>
          </w:p>
        </w:tc>
      </w:tr>
    </w:tbl>
    <w:p w14:paraId="7B41B8AE"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20</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Zoznam štatistických domén</w:t>
      </w:r>
    </w:p>
    <w:p w14:paraId="2356EAE4"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V DWH databáze sú požadované </w:t>
      </w:r>
      <w:r w:rsidRPr="00D42B04">
        <w:rPr>
          <w:rFonts w:ascii="Cambria" w:eastAsia="Calibri" w:hAnsi="Cambria" w:cs="Arial"/>
          <w:b/>
          <w:bCs/>
          <w:sz w:val="22"/>
          <w:szCs w:val="22"/>
        </w:rPr>
        <w:t>vytvorenie v OUT vrstve</w:t>
      </w:r>
      <w:r w:rsidRPr="00D42B04">
        <w:rPr>
          <w:rFonts w:ascii="Cambria" w:eastAsia="Calibri" w:hAnsi="Cambria" w:cs="Arial"/>
          <w:sz w:val="22"/>
          <w:szCs w:val="22"/>
        </w:rPr>
        <w:t xml:space="preserve"> príslušné tabuľky v štruktúre požadovanej pre jednotlivé výstupy. Výstupy budú generované ako 1:1 tieto tabuľky so zmenou do požadovaného formátu:</w:t>
      </w:r>
    </w:p>
    <w:tbl>
      <w:tblPr>
        <w:tblStyle w:val="GridTable4-Accent52"/>
        <w:tblW w:w="8487" w:type="dxa"/>
        <w:tblLook w:val="04A0" w:firstRow="1" w:lastRow="0" w:firstColumn="1" w:lastColumn="0" w:noHBand="0" w:noVBand="1"/>
      </w:tblPr>
      <w:tblGrid>
        <w:gridCol w:w="839"/>
        <w:gridCol w:w="4459"/>
        <w:gridCol w:w="1136"/>
        <w:gridCol w:w="2053"/>
      </w:tblGrid>
      <w:tr w:rsidR="00D42B04" w:rsidRPr="00D42B04" w14:paraId="5AF8C9A9"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9" w:type="dxa"/>
            <w:hideMark/>
          </w:tcPr>
          <w:p w14:paraId="587DF41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 </w:t>
            </w:r>
          </w:p>
        </w:tc>
        <w:tc>
          <w:tcPr>
            <w:tcW w:w="4459" w:type="dxa"/>
            <w:hideMark/>
          </w:tcPr>
          <w:p w14:paraId="7309BFDD"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Doména </w:t>
            </w:r>
          </w:p>
        </w:tc>
        <w:tc>
          <w:tcPr>
            <w:tcW w:w="1136" w:type="dxa"/>
            <w:hideMark/>
          </w:tcPr>
          <w:p w14:paraId="58127340"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Cieľ </w:t>
            </w:r>
          </w:p>
        </w:tc>
        <w:tc>
          <w:tcPr>
            <w:tcW w:w="2053" w:type="dxa"/>
            <w:hideMark/>
          </w:tcPr>
          <w:p w14:paraId="56DC42B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Výmenný formát </w:t>
            </w:r>
          </w:p>
        </w:tc>
      </w:tr>
      <w:tr w:rsidR="00D42B04" w:rsidRPr="00D42B04" w14:paraId="525CC86C"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155D4E6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OP.001 </w:t>
            </w:r>
          </w:p>
        </w:tc>
        <w:tc>
          <w:tcPr>
            <w:tcW w:w="4459" w:type="dxa"/>
            <w:hideMark/>
          </w:tcPr>
          <w:p w14:paraId="3795C8D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MFI Interest Rate Statistics </w:t>
            </w:r>
          </w:p>
        </w:tc>
        <w:tc>
          <w:tcPr>
            <w:tcW w:w="1136" w:type="dxa"/>
            <w:hideMark/>
          </w:tcPr>
          <w:p w14:paraId="0846D0E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1FC7E30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4EDBCEBA"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C81CB5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OP.002 </w:t>
            </w:r>
          </w:p>
        </w:tc>
        <w:tc>
          <w:tcPr>
            <w:tcW w:w="4459" w:type="dxa"/>
            <w:hideMark/>
          </w:tcPr>
          <w:p w14:paraId="2A63EA2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MFI Interest Rate Statistics </w:t>
            </w:r>
          </w:p>
        </w:tc>
        <w:tc>
          <w:tcPr>
            <w:tcW w:w="1136" w:type="dxa"/>
            <w:hideMark/>
          </w:tcPr>
          <w:p w14:paraId="561BCB6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WEB NBS </w:t>
            </w:r>
          </w:p>
        </w:tc>
        <w:tc>
          <w:tcPr>
            <w:tcW w:w="2053" w:type="dxa"/>
            <w:hideMark/>
          </w:tcPr>
          <w:p w14:paraId="03578025"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w:t>
            </w:r>
          </w:p>
        </w:tc>
      </w:tr>
      <w:tr w:rsidR="00D42B04" w:rsidRPr="00D42B04" w14:paraId="5A036DD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19693C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OP.003 </w:t>
            </w:r>
          </w:p>
        </w:tc>
        <w:tc>
          <w:tcPr>
            <w:tcW w:w="4459" w:type="dxa"/>
            <w:hideMark/>
          </w:tcPr>
          <w:p w14:paraId="68AF395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MFI Balance Sheet Items </w:t>
            </w:r>
          </w:p>
        </w:tc>
        <w:tc>
          <w:tcPr>
            <w:tcW w:w="1136" w:type="dxa"/>
            <w:hideMark/>
          </w:tcPr>
          <w:p w14:paraId="2536A8F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3CFD3C6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72D80684"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5098FDC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OP.004 </w:t>
            </w:r>
          </w:p>
        </w:tc>
        <w:tc>
          <w:tcPr>
            <w:tcW w:w="4459" w:type="dxa"/>
            <w:hideMark/>
          </w:tcPr>
          <w:p w14:paraId="184CE27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MFI Balance Sheet Items </w:t>
            </w:r>
          </w:p>
        </w:tc>
        <w:tc>
          <w:tcPr>
            <w:tcW w:w="1136" w:type="dxa"/>
            <w:hideMark/>
          </w:tcPr>
          <w:p w14:paraId="5898858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WEB NBS </w:t>
            </w:r>
          </w:p>
        </w:tc>
        <w:tc>
          <w:tcPr>
            <w:tcW w:w="2053" w:type="dxa"/>
            <w:hideMark/>
          </w:tcPr>
          <w:p w14:paraId="6E489DB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w:t>
            </w:r>
          </w:p>
        </w:tc>
      </w:tr>
      <w:tr w:rsidR="00D42B04" w:rsidRPr="00D42B04" w14:paraId="04ABAE1E"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647EF24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OP.005 </w:t>
            </w:r>
          </w:p>
        </w:tc>
        <w:tc>
          <w:tcPr>
            <w:tcW w:w="4459" w:type="dxa"/>
            <w:hideMark/>
          </w:tcPr>
          <w:p w14:paraId="7520B50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Securities Holdings SHSE </w:t>
            </w:r>
          </w:p>
        </w:tc>
        <w:tc>
          <w:tcPr>
            <w:tcW w:w="1136" w:type="dxa"/>
            <w:hideMark/>
          </w:tcPr>
          <w:p w14:paraId="02CCB7D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02B569E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w:t>
            </w:r>
          </w:p>
        </w:tc>
      </w:tr>
      <w:tr w:rsidR="00D42B04" w:rsidRPr="00D42B04" w14:paraId="14168E17"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943630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OP.006 </w:t>
            </w:r>
          </w:p>
        </w:tc>
        <w:tc>
          <w:tcPr>
            <w:tcW w:w="4459" w:type="dxa"/>
            <w:hideMark/>
          </w:tcPr>
          <w:p w14:paraId="393BB7B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Investment Funds </w:t>
            </w:r>
          </w:p>
        </w:tc>
        <w:tc>
          <w:tcPr>
            <w:tcW w:w="1136" w:type="dxa"/>
            <w:hideMark/>
          </w:tcPr>
          <w:p w14:paraId="43049B5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22C9002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0916FD5E"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055C041"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OP.007 </w:t>
            </w:r>
          </w:p>
        </w:tc>
        <w:tc>
          <w:tcPr>
            <w:tcW w:w="4459" w:type="dxa"/>
            <w:hideMark/>
          </w:tcPr>
          <w:p w14:paraId="34BD446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Investment Funds </w:t>
            </w:r>
          </w:p>
        </w:tc>
        <w:tc>
          <w:tcPr>
            <w:tcW w:w="1136" w:type="dxa"/>
            <w:hideMark/>
          </w:tcPr>
          <w:p w14:paraId="5BF6AFA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WEB NBS </w:t>
            </w:r>
          </w:p>
        </w:tc>
        <w:tc>
          <w:tcPr>
            <w:tcW w:w="2053" w:type="dxa"/>
            <w:hideMark/>
          </w:tcPr>
          <w:p w14:paraId="21BDCAB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w:t>
            </w:r>
          </w:p>
        </w:tc>
      </w:tr>
      <w:tr w:rsidR="00D42B04" w:rsidRPr="00D42B04" w14:paraId="2210A3B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5202B0A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OP.008 </w:t>
            </w:r>
          </w:p>
        </w:tc>
        <w:tc>
          <w:tcPr>
            <w:tcW w:w="4459" w:type="dxa"/>
            <w:hideMark/>
          </w:tcPr>
          <w:p w14:paraId="4C40B92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Factoring, Leasing and Consumer Credit Companies </w:t>
            </w:r>
          </w:p>
        </w:tc>
        <w:tc>
          <w:tcPr>
            <w:tcW w:w="1136" w:type="dxa"/>
            <w:hideMark/>
          </w:tcPr>
          <w:p w14:paraId="6A0C2B5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WEB NBS </w:t>
            </w:r>
          </w:p>
        </w:tc>
        <w:tc>
          <w:tcPr>
            <w:tcW w:w="2053" w:type="dxa"/>
            <w:hideMark/>
          </w:tcPr>
          <w:p w14:paraId="6FE7937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CSV </w:t>
            </w:r>
          </w:p>
        </w:tc>
      </w:tr>
      <w:tr w:rsidR="00D42B04" w:rsidRPr="00D42B04" w14:paraId="7AAC9FCE"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736607A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OP.009 </w:t>
            </w:r>
          </w:p>
        </w:tc>
        <w:tc>
          <w:tcPr>
            <w:tcW w:w="4459" w:type="dxa"/>
            <w:hideMark/>
          </w:tcPr>
          <w:p w14:paraId="2C3FD5B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Factoring, Leasing and Consumer Credit Companies </w:t>
            </w:r>
          </w:p>
        </w:tc>
        <w:tc>
          <w:tcPr>
            <w:tcW w:w="1136" w:type="dxa"/>
            <w:hideMark/>
          </w:tcPr>
          <w:p w14:paraId="27F70E6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4BF1148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7E0FAB52"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4B7BA73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OP.010 </w:t>
            </w:r>
          </w:p>
        </w:tc>
        <w:tc>
          <w:tcPr>
            <w:tcW w:w="4459" w:type="dxa"/>
            <w:hideMark/>
          </w:tcPr>
          <w:p w14:paraId="61CA826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Inssurance Corporations </w:t>
            </w:r>
          </w:p>
        </w:tc>
        <w:tc>
          <w:tcPr>
            <w:tcW w:w="1136" w:type="dxa"/>
            <w:hideMark/>
          </w:tcPr>
          <w:p w14:paraId="30F8B32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4FFED3C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572AD090"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3A2C58C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OP.011 </w:t>
            </w:r>
          </w:p>
        </w:tc>
        <w:tc>
          <w:tcPr>
            <w:tcW w:w="4459" w:type="dxa"/>
            <w:hideMark/>
          </w:tcPr>
          <w:p w14:paraId="5257C5F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Inssurance Corporations </w:t>
            </w:r>
          </w:p>
        </w:tc>
        <w:tc>
          <w:tcPr>
            <w:tcW w:w="1136" w:type="dxa"/>
            <w:hideMark/>
          </w:tcPr>
          <w:p w14:paraId="0C5209C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EIOPA </w:t>
            </w:r>
          </w:p>
        </w:tc>
        <w:tc>
          <w:tcPr>
            <w:tcW w:w="2053" w:type="dxa"/>
            <w:hideMark/>
          </w:tcPr>
          <w:p w14:paraId="424E76A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(XBRL) </w:t>
            </w:r>
          </w:p>
        </w:tc>
      </w:tr>
      <w:tr w:rsidR="00D42B04" w:rsidRPr="00D42B04" w14:paraId="1A76C7D0"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209013B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OP.012 </w:t>
            </w:r>
          </w:p>
        </w:tc>
        <w:tc>
          <w:tcPr>
            <w:tcW w:w="4459" w:type="dxa"/>
            <w:hideMark/>
          </w:tcPr>
          <w:p w14:paraId="5251CA9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Pension Funds </w:t>
            </w:r>
          </w:p>
        </w:tc>
        <w:tc>
          <w:tcPr>
            <w:tcW w:w="1136" w:type="dxa"/>
            <w:hideMark/>
          </w:tcPr>
          <w:p w14:paraId="26D6050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7B8AE4C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292B55E1"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59DC283D"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OP.013 </w:t>
            </w:r>
          </w:p>
        </w:tc>
        <w:tc>
          <w:tcPr>
            <w:tcW w:w="4459" w:type="dxa"/>
            <w:hideMark/>
          </w:tcPr>
          <w:p w14:paraId="6E00966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Pension Funds </w:t>
            </w:r>
          </w:p>
        </w:tc>
        <w:tc>
          <w:tcPr>
            <w:tcW w:w="1136" w:type="dxa"/>
            <w:hideMark/>
          </w:tcPr>
          <w:p w14:paraId="2797035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EIOPA </w:t>
            </w:r>
          </w:p>
        </w:tc>
        <w:tc>
          <w:tcPr>
            <w:tcW w:w="2053" w:type="dxa"/>
            <w:hideMark/>
          </w:tcPr>
          <w:p w14:paraId="6768590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(XBRL) </w:t>
            </w:r>
          </w:p>
        </w:tc>
      </w:tr>
      <w:tr w:rsidR="00D42B04" w:rsidRPr="00D42B04" w14:paraId="52893415"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7E8A5C65"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OP.014 </w:t>
            </w:r>
          </w:p>
        </w:tc>
        <w:tc>
          <w:tcPr>
            <w:tcW w:w="4459" w:type="dxa"/>
            <w:hideMark/>
          </w:tcPr>
          <w:p w14:paraId="1D078FB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Payment Statistics </w:t>
            </w:r>
          </w:p>
        </w:tc>
        <w:tc>
          <w:tcPr>
            <w:tcW w:w="1136" w:type="dxa"/>
            <w:hideMark/>
          </w:tcPr>
          <w:p w14:paraId="4621579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ECB EXDI </w:t>
            </w:r>
          </w:p>
        </w:tc>
        <w:tc>
          <w:tcPr>
            <w:tcW w:w="2053" w:type="dxa"/>
            <w:hideMark/>
          </w:tcPr>
          <w:p w14:paraId="082A1C3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r w:rsidR="00D42B04" w:rsidRPr="00D42B04" w14:paraId="095D7DF6"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9" w:type="dxa"/>
            <w:hideMark/>
          </w:tcPr>
          <w:p w14:paraId="749FFC1E"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OP.015 </w:t>
            </w:r>
          </w:p>
        </w:tc>
        <w:tc>
          <w:tcPr>
            <w:tcW w:w="4459" w:type="dxa"/>
            <w:hideMark/>
          </w:tcPr>
          <w:p w14:paraId="3897F9B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Payment Statistics </w:t>
            </w:r>
          </w:p>
        </w:tc>
        <w:tc>
          <w:tcPr>
            <w:tcW w:w="1136" w:type="dxa"/>
            <w:hideMark/>
          </w:tcPr>
          <w:p w14:paraId="3953D432"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EBA </w:t>
            </w:r>
          </w:p>
        </w:tc>
        <w:tc>
          <w:tcPr>
            <w:tcW w:w="2053" w:type="dxa"/>
            <w:hideMark/>
          </w:tcPr>
          <w:p w14:paraId="60005F86" w14:textId="77777777" w:rsidR="00D42B04" w:rsidRPr="00D42B04" w:rsidRDefault="00D42B04" w:rsidP="00D42B04">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XML (SDMX-ML 3.0) </w:t>
            </w:r>
          </w:p>
        </w:tc>
      </w:tr>
    </w:tbl>
    <w:p w14:paraId="62B5F785"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21</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Zoznam výstupov</w:t>
      </w:r>
    </w:p>
    <w:p w14:paraId="79E5892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Zmena na požadovaný formát a odosielanie (cez SFTP) na distribučný server je súčasťou projektu. Vytvorenie distribučného servera nie je predmetom tohto projektu. </w:t>
      </w:r>
    </w:p>
    <w:p w14:paraId="75CB5CDB"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Spracovanie </w:t>
      </w:r>
      <w:r w:rsidRPr="00D42B04">
        <w:rPr>
          <w:rFonts w:ascii="Cambria" w:eastAsia="Calibri" w:hAnsi="Cambria" w:cs="Arial"/>
          <w:b/>
          <w:bCs/>
          <w:sz w:val="22"/>
          <w:szCs w:val="22"/>
        </w:rPr>
        <w:t>vyžaduje historizáciu zmien</w:t>
      </w:r>
      <w:r w:rsidRPr="00D42B04">
        <w:rPr>
          <w:rFonts w:ascii="Cambria" w:eastAsia="Calibri" w:hAnsi="Cambria" w:cs="Arial"/>
          <w:sz w:val="22"/>
          <w:szCs w:val="22"/>
        </w:rPr>
        <w:t xml:space="preserve"> vstupných a aj výstupných dát vrátane archivácie výmenných formátov vo frekvencii, v akej sú zo zdrojových systémov zbierané a v cieľovom systéme spracovávané.</w:t>
      </w:r>
    </w:p>
    <w:p w14:paraId="15B626B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Transformačné logiky jednotlivých spracovaní</w:t>
      </w:r>
      <w:r w:rsidRPr="00D42B04">
        <w:rPr>
          <w:rFonts w:ascii="Cambria" w:eastAsia="Calibri" w:hAnsi="Cambria" w:cs="Arial"/>
          <w:sz w:val="22"/>
          <w:szCs w:val="22"/>
        </w:rPr>
        <w:t xml:space="preserve"> sú v súčasnosti decentralizované a umiestnené v rôznych komponentoch v závislosti od použitých nástrojov. Jedným zo základných predpokladov automatizácie je zmapovanie a centralizácia týchto logík do prostredia, v ktorom sa bude spracovanie vykonávať. Tieto operácie sa opakujú a možno zhrnúť do nasledovných oblastí:</w:t>
      </w:r>
    </w:p>
    <w:tbl>
      <w:tblPr>
        <w:tblStyle w:val="GridTable4-Accent52"/>
        <w:tblW w:w="8487" w:type="dxa"/>
        <w:tblLook w:val="04A0" w:firstRow="1" w:lastRow="0" w:firstColumn="1" w:lastColumn="0" w:noHBand="0" w:noVBand="1"/>
      </w:tblPr>
      <w:tblGrid>
        <w:gridCol w:w="457"/>
        <w:gridCol w:w="2232"/>
        <w:gridCol w:w="5798"/>
      </w:tblGrid>
      <w:tr w:rsidR="00D42B04" w:rsidRPr="00D42B04" w14:paraId="189F6274"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57" w:type="dxa"/>
            <w:hideMark/>
          </w:tcPr>
          <w:p w14:paraId="07F6DB6C"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 </w:t>
            </w:r>
          </w:p>
        </w:tc>
        <w:tc>
          <w:tcPr>
            <w:tcW w:w="2232" w:type="dxa"/>
            <w:hideMark/>
          </w:tcPr>
          <w:p w14:paraId="244C7B87"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Operácia </w:t>
            </w:r>
          </w:p>
        </w:tc>
        <w:tc>
          <w:tcPr>
            <w:tcW w:w="5798" w:type="dxa"/>
            <w:hideMark/>
          </w:tcPr>
          <w:p w14:paraId="252BB3D9"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Popis </w:t>
            </w:r>
          </w:p>
        </w:tc>
      </w:tr>
      <w:tr w:rsidR="00D42B04" w:rsidRPr="00D42B04" w14:paraId="55522843"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3590AEB8"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a. </w:t>
            </w:r>
          </w:p>
        </w:tc>
        <w:tc>
          <w:tcPr>
            <w:tcW w:w="2232" w:type="dxa"/>
            <w:hideMark/>
          </w:tcPr>
          <w:p w14:paraId="0A8B93A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Preklad a mapovanie </w:t>
            </w:r>
          </w:p>
        </w:tc>
        <w:tc>
          <w:tcPr>
            <w:tcW w:w="5798" w:type="dxa"/>
            <w:hideMark/>
          </w:tcPr>
          <w:p w14:paraId="27AB1F3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Aplikovanie pravidiel pre preklad prvkov číselníkov, atribútov riadkov, stĺpcov zo vstupného na požadovaný výstupný formát. </w:t>
            </w:r>
          </w:p>
          <w:p w14:paraId="6ADA574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Napr.: Preklad adresy dátového bodu národného dátového modelu na adresu dátového bodu dátového modelu ECB (typ 1:N, N:1). </w:t>
            </w:r>
          </w:p>
        </w:tc>
      </w:tr>
      <w:tr w:rsidR="00D42B04" w:rsidRPr="00D42B04" w14:paraId="06A7267E"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4BDF6F7A"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b. </w:t>
            </w:r>
          </w:p>
        </w:tc>
        <w:tc>
          <w:tcPr>
            <w:tcW w:w="2232" w:type="dxa"/>
            <w:hideMark/>
          </w:tcPr>
          <w:p w14:paraId="55C46CB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Obohacovanie metadátami </w:t>
            </w:r>
          </w:p>
        </w:tc>
        <w:tc>
          <w:tcPr>
            <w:tcW w:w="5798" w:type="dxa"/>
            <w:hideMark/>
          </w:tcPr>
          <w:p w14:paraId="6B8AA62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Denormalizácia, pripájanie a kombinovanie s inými dátovými zdrojmi na základe mapovacích pravidiel. </w:t>
            </w:r>
          </w:p>
          <w:p w14:paraId="4116116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Napr.: Pripojenie atribútov cenného papiera z databázy cenných papierov na základe jednoznačného ID cenného papiera k vykázaným údajom z databázy IS ŠZP. </w:t>
            </w:r>
          </w:p>
        </w:tc>
      </w:tr>
      <w:tr w:rsidR="00D42B04" w:rsidRPr="00D42B04" w14:paraId="06CA1C76"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557C6379"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c. </w:t>
            </w:r>
          </w:p>
        </w:tc>
        <w:tc>
          <w:tcPr>
            <w:tcW w:w="2232" w:type="dxa"/>
            <w:hideMark/>
          </w:tcPr>
          <w:p w14:paraId="2000FF8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Filtrovanie </w:t>
            </w:r>
          </w:p>
        </w:tc>
        <w:tc>
          <w:tcPr>
            <w:tcW w:w="5798" w:type="dxa"/>
            <w:hideMark/>
          </w:tcPr>
          <w:p w14:paraId="6157F7C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Výber relevantných objektov (záznamy, ich atribúty) na základe filtrovacích pravidiel. </w:t>
            </w:r>
          </w:p>
        </w:tc>
      </w:tr>
      <w:tr w:rsidR="00D42B04" w:rsidRPr="00D42B04" w14:paraId="2F59E112"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12B29C0F"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d. </w:t>
            </w:r>
          </w:p>
        </w:tc>
        <w:tc>
          <w:tcPr>
            <w:tcW w:w="2232" w:type="dxa"/>
            <w:hideMark/>
          </w:tcPr>
          <w:p w14:paraId="69199FF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Agregácia a sumarizácia </w:t>
            </w:r>
          </w:p>
        </w:tc>
        <w:tc>
          <w:tcPr>
            <w:tcW w:w="5798" w:type="dxa"/>
            <w:hideMark/>
          </w:tcPr>
          <w:p w14:paraId="171AF9F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Výpočet (aj viackrokový) dátových bodov v požadovanej granularite aplikovaním sumarizačných výpočtov. </w:t>
            </w:r>
          </w:p>
          <w:p w14:paraId="00F4186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Napr.: Výpočet váženého priemeru na základe predpočítanej váhy a hodnoty, súčet za podmienky, počet, etc. </w:t>
            </w:r>
          </w:p>
        </w:tc>
      </w:tr>
      <w:tr w:rsidR="00D42B04" w:rsidRPr="00D42B04" w14:paraId="27FB57BC"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261C305B"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lastRenderedPageBreak/>
              <w:t>e. </w:t>
            </w:r>
          </w:p>
        </w:tc>
        <w:tc>
          <w:tcPr>
            <w:tcW w:w="2232" w:type="dxa"/>
            <w:hideMark/>
          </w:tcPr>
          <w:p w14:paraId="2277D69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Formátovanie </w:t>
            </w:r>
          </w:p>
        </w:tc>
        <w:tc>
          <w:tcPr>
            <w:tcW w:w="5798" w:type="dxa"/>
            <w:hideMark/>
          </w:tcPr>
          <w:p w14:paraId="6A70DBB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Príprava predpočítaných dát do finálnej štruktúry výstupného formátu – súboru. </w:t>
            </w:r>
          </w:p>
          <w:p w14:paraId="06A94CF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Napr.: Formátovanie vypočítaných dátových bodov do formátu XML v štandarde SDMX-ML 3.0. </w:t>
            </w:r>
          </w:p>
        </w:tc>
      </w:tr>
      <w:tr w:rsidR="00D42B04" w:rsidRPr="00D42B04" w14:paraId="69B3768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457" w:type="dxa"/>
            <w:hideMark/>
          </w:tcPr>
          <w:p w14:paraId="70618842" w14:textId="77777777" w:rsidR="00D42B04" w:rsidRPr="00D42B04" w:rsidRDefault="00D42B04" w:rsidP="00D42B04">
            <w:pPr>
              <w:spacing w:before="120" w:after="120"/>
              <w:jc w:val="both"/>
              <w:rPr>
                <w:rFonts w:ascii="Cambria" w:hAnsi="Cambria"/>
                <w:sz w:val="16"/>
                <w:szCs w:val="16"/>
                <w:lang w:eastAsia="sk-SK"/>
              </w:rPr>
            </w:pPr>
            <w:r w:rsidRPr="00D42B04">
              <w:rPr>
                <w:rFonts w:ascii="Cambria" w:hAnsi="Cambria"/>
                <w:sz w:val="16"/>
                <w:szCs w:val="16"/>
                <w:lang w:eastAsia="sk-SK"/>
              </w:rPr>
              <w:t>f. </w:t>
            </w:r>
          </w:p>
        </w:tc>
        <w:tc>
          <w:tcPr>
            <w:tcW w:w="2232" w:type="dxa"/>
            <w:hideMark/>
          </w:tcPr>
          <w:p w14:paraId="68B5385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Matematické operácie </w:t>
            </w:r>
          </w:p>
        </w:tc>
        <w:tc>
          <w:tcPr>
            <w:tcW w:w="5798" w:type="dxa"/>
            <w:hideMark/>
          </w:tcPr>
          <w:p w14:paraId="0B3E94C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Aplikovanie matematických výpočtov na dáta podľa stanovených pravidiel a metodík. </w:t>
            </w:r>
          </w:p>
          <w:p w14:paraId="7ADF75B4" w14:textId="77777777" w:rsidR="00D42B04" w:rsidRPr="00D42B04" w:rsidRDefault="00D42B04" w:rsidP="00D42B0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lang w:eastAsia="sk-SK"/>
              </w:rPr>
            </w:pPr>
            <w:r w:rsidRPr="00D42B04">
              <w:rPr>
                <w:rFonts w:ascii="Cambria" w:hAnsi="Cambria"/>
                <w:sz w:val="16"/>
                <w:szCs w:val="16"/>
                <w:lang w:eastAsia="sk-SK"/>
              </w:rPr>
              <w:t>Napr.: Výpočet odhadov, prenásobenie koeficientom. </w:t>
            </w:r>
          </w:p>
        </w:tc>
      </w:tr>
    </w:tbl>
    <w:p w14:paraId="24D7B1F3"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color w:val="44546A"/>
          <w:sz w:val="18"/>
          <w:szCs w:val="18"/>
        </w:rPr>
        <w:t>22</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xml:space="preserve">: Transformačné logiky jednotlivých spracovaní pre OUT vrstvu </w:t>
      </w:r>
    </w:p>
    <w:p w14:paraId="01D28FFF"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3" w:name="_Toc110518798"/>
      <w:r w:rsidRPr="00D42B04">
        <w:rPr>
          <w:rFonts w:ascii="Cambria" w:eastAsia="Yu Gothic Light" w:hAnsi="Cambria"/>
          <w:b/>
          <w:bCs/>
          <w:color w:val="2F5496"/>
          <w:szCs w:val="24"/>
        </w:rPr>
        <w:t>Funkčné požiadavky</w:t>
      </w:r>
      <w:bookmarkEnd w:id="173"/>
    </w:p>
    <w:p w14:paraId="05EADF84"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Z pohľadu</w:t>
      </w:r>
      <w:r w:rsidRPr="00D42B04" w:rsidDel="000238CA">
        <w:rPr>
          <w:rFonts w:ascii="Cambria" w:eastAsia="Calibri" w:hAnsi="Cambria" w:cs="Arial"/>
          <w:sz w:val="22"/>
          <w:szCs w:val="22"/>
        </w:rPr>
        <w:t xml:space="preserve"> </w:t>
      </w:r>
      <w:r w:rsidRPr="00D42B04">
        <w:rPr>
          <w:rFonts w:ascii="Cambria" w:eastAsia="Calibri" w:hAnsi="Cambria" w:cs="Arial"/>
          <w:sz w:val="22"/>
          <w:szCs w:val="22"/>
        </w:rPr>
        <w:t>biznis používateľského komfortu ale aj z pohľadu rýchlosti na reagovanie zmien, poprípade testovania nových častí výpočtov požadujeme:</w:t>
      </w:r>
    </w:p>
    <w:p w14:paraId="1E8D6F13"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ETL procesy budú programované ako fixné, t. j. mapovanie, transformácie, spájanie a agregácie bude definované cez nástroj Oracle Data Integrátor.</w:t>
      </w:r>
    </w:p>
    <w:p w14:paraId="32EAE52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Parametre mapovaní, t. j. napr. ktoré číselníkové dáta vstupujú, prípadne s akými váhami je striktné požadované vytvoriť ako parametrické. Tieto parametre bude používateľ mať možnosť cez mostíkový číselník meniť bez zadania zmenového listu na odbor IT a zmeny ETL úloh .</w:t>
      </w:r>
    </w:p>
    <w:p w14:paraId="786557F9"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Rovnako sa počíta, že transformácia do výstupných formátoch bude definovaná v ODI.</w:t>
      </w:r>
    </w:p>
    <w:p w14:paraId="62ECF55C"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Pokiaľ výstupné formáty budú príliš komplikované na ODI (je zakázané, až na dohodnuté výnimky programovať – požadujeme low-code metódy implementácie) je možné použiť na transformáciu Ingestion framework, ktorý by mal poznať formáty na spracovanie. Preto predpokladáme, že keď bude vedieť čítať, mal vedieť aj ich generovať.</w:t>
      </w:r>
    </w:p>
    <w:p w14:paraId="378DC36F"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Súčasťou projektu je aj analýza primárneho zdroja dát a prepojenie číselníkov rôznych zdrojových systémov cez Referenčné hodnoty. Biznisová požiadavka je mať nástroj na udržiavanie týchto hodnôt bez priamej podpory IT ako je popísané v kapitole 3.2.13 Správa číselníkov.</w:t>
      </w:r>
    </w:p>
    <w:p w14:paraId="548F3A36"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budú primárne integrované do relačnej časti DWH. Niektoré vybrané zdroje budú spracovávané/ukladané cez DataLake. Toto bude dohodnuté v mapovacom dokumente počas Návrhu riešenia. V rámci spracovania dát sa požaduje:</w:t>
      </w:r>
    </w:p>
    <w:p w14:paraId="15B90F00"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automatické sťahovanie a ukladanie dát </w:t>
      </w:r>
    </w:p>
    <w:p w14:paraId="77811D42"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transformácia do relačnej podoby pre analýzy</w:t>
      </w:r>
    </w:p>
    <w:p w14:paraId="2F4C57E7"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sprístupnenie relačnej štruktúry pre dátovú analýzu</w:t>
      </w:r>
    </w:p>
    <w:p w14:paraId="1ED4F430"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asistencia pri definovaní relevantnej množiny záznamov a atribútov pre ďalšie spracovanie (analýza a rozhodnutie o dátach na strane NBS)</w:t>
      </w:r>
    </w:p>
    <w:p w14:paraId="6AA8A2E9"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integrácia relevantnej podmnožiny dát do DWH</w:t>
      </w:r>
    </w:p>
    <w:p w14:paraId="627EBDCD"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sprístupnenie relevantných dát pre reporting nad DWH</w:t>
      </w:r>
    </w:p>
    <w:p w14:paraId="334456A9"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automatizácia spracovania v danom rozsahu</w:t>
      </w:r>
    </w:p>
    <w:p w14:paraId="5FBD6E87"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vzhľadom ku charakteru rozsahu spracúvaných dát bude navrhnutý efektívny mechanizmus ukladanie v rámci DataLake</w:t>
      </w:r>
    </w:p>
    <w:p w14:paraId="014628C8"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dáta z DWH bude možné off-loadovať do DataLake, napr. z výstupnej vrstvy DWH (OUT) alebo výpočty z Prezentačnej vrstvy DWH (L2).</w:t>
      </w:r>
    </w:p>
    <w:p w14:paraId="7B973E2B"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 rámci projektu požadujeme dodať metodiku a implementáciu konsolidačných mechanizmov pre oblasti (identifikácia primárnej informácie, vytvorenie kmeňového záznamu, nastavenie kvalitatívnych ukazovateľov (DQI)):</w:t>
      </w:r>
    </w:p>
    <w:p w14:paraId="7438FCB1"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Subjekty</w:t>
      </w:r>
    </w:p>
    <w:p w14:paraId="49430E75"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Cenné papiere</w:t>
      </w:r>
    </w:p>
    <w:p w14:paraId="2C8E7798"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Adresy Slovenskej republiky</w:t>
      </w:r>
    </w:p>
    <w:p w14:paraId="708EDAEE"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V rámci dodávky bude sprevádzkovaný prístup koncových nástrojov MS Power BI, QlikSense k relevantným vrstvám DWH a DataLake, tj. bude demonštrovaný aj SQL prístup </w:t>
      </w:r>
      <w:r w:rsidRPr="00D42B04">
        <w:rPr>
          <w:rFonts w:ascii="Cambria" w:eastAsia="Calibri" w:hAnsi="Cambria" w:cs="Arial"/>
          <w:sz w:val="22"/>
          <w:szCs w:val="22"/>
        </w:rPr>
        <w:lastRenderedPageBreak/>
        <w:t>k štruktúram DWH a DataLake s rešpektovaním uvedených prevádzkových a bezpečnostných požiadaviek.</w:t>
      </w:r>
    </w:p>
    <w:p w14:paraId="3371DF10"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Vytvorenie OUT vrstvy pre generovanie štandardných a dohodnutých exportov do rôznych systémov NBS a aj mimo NBS (OpenData, ECB, EBA a podobne). </w:t>
      </w:r>
    </w:p>
    <w:p w14:paraId="3287335E"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74" w:name="_Toc110518799"/>
      <w:r w:rsidRPr="00D42B04">
        <w:rPr>
          <w:rFonts w:ascii="Cambria" w:eastAsia="Yu Gothic Light" w:hAnsi="Cambria"/>
          <w:b/>
          <w:bCs/>
          <w:color w:val="2F5496"/>
          <w:sz w:val="26"/>
          <w:szCs w:val="26"/>
        </w:rPr>
        <w:t>Požiadavky na organizáciu a výstupy projektu</w:t>
      </w:r>
      <w:bookmarkEnd w:id="174"/>
    </w:p>
    <w:p w14:paraId="07CA6CBA"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5" w:name="_Toc110518800"/>
      <w:r w:rsidRPr="00D42B04">
        <w:rPr>
          <w:rFonts w:ascii="Cambria" w:eastAsia="Yu Gothic Light" w:hAnsi="Cambria"/>
          <w:b/>
          <w:bCs/>
          <w:color w:val="2F5496"/>
          <w:szCs w:val="24"/>
        </w:rPr>
        <w:t>Projektové riadenie</w:t>
      </w:r>
      <w:bookmarkEnd w:id="175"/>
    </w:p>
    <w:p w14:paraId="7BB9CB4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Požiadavky na zabezpečenie projektového riadenia zo strany verejného obstarávateľa zahŕňajú:</w:t>
      </w:r>
    </w:p>
    <w:p w14:paraId="21B91780"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zabezpečenie projektového riadenia v súlade s metodikou projektového riadenia v NBS, ktorú určuje pracovný predpis NBS  č. 20/2020 o projektovom riadení. Metodika je založená na princípoch metodiky PRINCE2 viď príloha C.</w:t>
      </w:r>
    </w:p>
    <w:p w14:paraId="54C74AC3"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vytvorenie plánu kvality v súlade s metodikou riadenia kvality projektového riadenia v NBS </w:t>
      </w:r>
    </w:p>
    <w:p w14:paraId="7C8BFCB1"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prácu s MS Project Professional v minimálnom rozsahu tvorby a aktualizácie plánu projektu</w:t>
      </w:r>
    </w:p>
    <w:p w14:paraId="216A1B0C"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6" w:name="_Toc110518801"/>
      <w:r w:rsidRPr="00D42B04">
        <w:rPr>
          <w:rFonts w:ascii="Cambria" w:eastAsia="Yu Gothic Light" w:hAnsi="Cambria"/>
          <w:b/>
          <w:bCs/>
          <w:color w:val="2F5496"/>
          <w:szCs w:val="24"/>
        </w:rPr>
        <w:t>Prístup k projektu a RACI matica</w:t>
      </w:r>
      <w:bookmarkEnd w:id="176"/>
    </w:p>
    <w:p w14:paraId="7E9C61DD"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Organizácia projektu je ukotvená schémou v organizačnej štruktúre projektu viď obrázok:</w:t>
      </w:r>
    </w:p>
    <w:p w14:paraId="50635891" w14:textId="77777777" w:rsidR="00D42B04" w:rsidRPr="00D42B04" w:rsidRDefault="00D42B04" w:rsidP="00D42B04">
      <w:pPr>
        <w:spacing w:before="120" w:after="120"/>
        <w:jc w:val="both"/>
        <w:rPr>
          <w:rFonts w:ascii="Cambria" w:eastAsia="Calibri" w:hAnsi="Cambria" w:cs="Arial"/>
          <w:sz w:val="22"/>
          <w:szCs w:val="22"/>
          <w:highlight w:val="yellow"/>
        </w:rPr>
      </w:pPr>
      <w:r w:rsidRPr="00D42B04">
        <w:rPr>
          <w:rFonts w:ascii="Cambria" w:eastAsia="Calibri" w:hAnsi="Cambria" w:cs="Arial"/>
          <w:noProof/>
          <w:sz w:val="22"/>
          <w:szCs w:val="22"/>
        </w:rPr>
        <w:drawing>
          <wp:inline distT="0" distB="0" distL="0" distR="0" wp14:anchorId="1B1354D2" wp14:editId="4FA9B5FC">
            <wp:extent cx="2219325" cy="1895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5">
                      <a:extLst>
                        <a:ext uri="{28A0092B-C50C-407E-A947-70E740481C1C}">
                          <a14:useLocalDpi xmlns:a14="http://schemas.microsoft.com/office/drawing/2010/main" val="0"/>
                        </a:ext>
                      </a:extLst>
                    </a:blip>
                    <a:stretch>
                      <a:fillRect/>
                    </a:stretch>
                  </pic:blipFill>
                  <pic:spPr>
                    <a:xfrm>
                      <a:off x="0" y="0"/>
                      <a:ext cx="2219325" cy="1895475"/>
                    </a:xfrm>
                    <a:prstGeom prst="rect">
                      <a:avLst/>
                    </a:prstGeom>
                  </pic:spPr>
                </pic:pic>
              </a:graphicData>
            </a:graphic>
          </wp:inline>
        </w:drawing>
      </w:r>
    </w:p>
    <w:p w14:paraId="0E498121"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16</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Organizačná štruktúra projektu</w:t>
      </w:r>
    </w:p>
    <w:p w14:paraId="34EB8949"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Projekt bude dodávaný v piatich (5) implementačných fázach, z ktorých každá musí obsahovať nasledovné aktivity:</w:t>
      </w:r>
    </w:p>
    <w:p w14:paraId="4AFE7522" w14:textId="77777777" w:rsidR="00D42B04" w:rsidRPr="00D42B04" w:rsidRDefault="00D42B04" w:rsidP="00D42B04">
      <w:pPr>
        <w:numPr>
          <w:ilvl w:val="0"/>
          <w:numId w:val="110"/>
        </w:numPr>
        <w:spacing w:before="120" w:after="160" w:line="259" w:lineRule="auto"/>
        <w:contextualSpacing/>
        <w:jc w:val="both"/>
        <w:rPr>
          <w:rFonts w:ascii="Cambria" w:eastAsia="Calibri" w:hAnsi="Cambria" w:cs="Arial"/>
          <w:sz w:val="22"/>
          <w:szCs w:val="22"/>
        </w:rPr>
      </w:pPr>
      <w:r w:rsidRPr="00D42B04">
        <w:rPr>
          <w:rFonts w:ascii="Cambria" w:eastAsia="Calibri" w:hAnsi="Cambria" w:cs="Arial"/>
          <w:sz w:val="22"/>
          <w:szCs w:val="22"/>
        </w:rPr>
        <w:t>Analýza</w:t>
      </w:r>
    </w:p>
    <w:p w14:paraId="1EE07B5C" w14:textId="77777777" w:rsidR="00D42B04" w:rsidRPr="00D42B04" w:rsidRDefault="00D42B04" w:rsidP="00D42B04">
      <w:pPr>
        <w:numPr>
          <w:ilvl w:val="0"/>
          <w:numId w:val="110"/>
        </w:numPr>
        <w:spacing w:before="120" w:after="160" w:line="259" w:lineRule="auto"/>
        <w:contextualSpacing/>
        <w:jc w:val="both"/>
        <w:rPr>
          <w:rFonts w:ascii="Cambria" w:eastAsia="Calibri" w:hAnsi="Cambria" w:cs="Arial"/>
          <w:sz w:val="22"/>
          <w:szCs w:val="22"/>
        </w:rPr>
      </w:pPr>
      <w:r w:rsidRPr="00D42B04">
        <w:rPr>
          <w:rFonts w:ascii="Cambria" w:eastAsia="Calibri" w:hAnsi="Cambria" w:cs="Arial"/>
          <w:sz w:val="22"/>
          <w:szCs w:val="22"/>
        </w:rPr>
        <w:t>Dizajn</w:t>
      </w:r>
    </w:p>
    <w:p w14:paraId="24E94261" w14:textId="77777777" w:rsidR="00D42B04" w:rsidRPr="00D42B04" w:rsidRDefault="00D42B04" w:rsidP="00D42B04">
      <w:pPr>
        <w:numPr>
          <w:ilvl w:val="0"/>
          <w:numId w:val="110"/>
        </w:numPr>
        <w:spacing w:before="120" w:after="160" w:line="259" w:lineRule="auto"/>
        <w:contextualSpacing/>
        <w:jc w:val="both"/>
        <w:rPr>
          <w:rFonts w:ascii="Cambria" w:eastAsia="Calibri" w:hAnsi="Cambria" w:cs="Arial"/>
          <w:sz w:val="22"/>
          <w:szCs w:val="22"/>
        </w:rPr>
      </w:pPr>
      <w:r w:rsidRPr="00D42B04">
        <w:rPr>
          <w:rFonts w:ascii="Cambria" w:eastAsia="Calibri" w:hAnsi="Cambria" w:cs="Arial"/>
          <w:sz w:val="22"/>
          <w:szCs w:val="22"/>
        </w:rPr>
        <w:t xml:space="preserve">Implementácia  </w:t>
      </w:r>
    </w:p>
    <w:p w14:paraId="23A4416E" w14:textId="77777777" w:rsidR="00D42B04" w:rsidRPr="00D42B04" w:rsidRDefault="00D42B04" w:rsidP="00D42B04">
      <w:pPr>
        <w:numPr>
          <w:ilvl w:val="0"/>
          <w:numId w:val="110"/>
        </w:numPr>
        <w:spacing w:before="120" w:after="160" w:line="259" w:lineRule="auto"/>
        <w:contextualSpacing/>
        <w:jc w:val="both"/>
        <w:rPr>
          <w:rFonts w:ascii="Cambria" w:eastAsia="Calibri" w:hAnsi="Cambria" w:cs="Arial"/>
          <w:sz w:val="22"/>
          <w:szCs w:val="22"/>
        </w:rPr>
      </w:pPr>
      <w:r w:rsidRPr="00D42B04">
        <w:rPr>
          <w:rFonts w:ascii="Cambria" w:eastAsia="Calibri" w:hAnsi="Cambria" w:cs="Arial"/>
          <w:sz w:val="22"/>
          <w:szCs w:val="22"/>
        </w:rPr>
        <w:t>Nábeh do produkcie</w:t>
      </w:r>
    </w:p>
    <w:p w14:paraId="6F6EE9A8" w14:textId="77777777" w:rsidR="00D42B04" w:rsidRPr="00D42B04" w:rsidRDefault="00D42B04" w:rsidP="00D42B04">
      <w:pPr>
        <w:numPr>
          <w:ilvl w:val="0"/>
          <w:numId w:val="110"/>
        </w:numPr>
        <w:spacing w:before="120" w:after="160" w:line="259" w:lineRule="auto"/>
        <w:contextualSpacing/>
        <w:jc w:val="both"/>
        <w:rPr>
          <w:rFonts w:ascii="Cambria" w:eastAsia="Calibri" w:hAnsi="Cambria" w:cs="Arial"/>
          <w:sz w:val="22"/>
          <w:szCs w:val="22"/>
        </w:rPr>
      </w:pPr>
      <w:r w:rsidRPr="00D42B04">
        <w:rPr>
          <w:rFonts w:ascii="Cambria" w:eastAsia="Calibri" w:hAnsi="Cambria" w:cs="Arial"/>
          <w:sz w:val="22"/>
          <w:szCs w:val="22"/>
        </w:rPr>
        <w:t>Produkcia</w:t>
      </w:r>
    </w:p>
    <w:p w14:paraId="0D06C3E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 strane NBS sa predpokladá zapojenie nasledovných rolí:</w:t>
      </w:r>
    </w:p>
    <w:tbl>
      <w:tblPr>
        <w:tblStyle w:val="GridTable4-Accent52"/>
        <w:tblW w:w="8642" w:type="dxa"/>
        <w:tblLayout w:type="fixed"/>
        <w:tblLook w:val="04A0" w:firstRow="1" w:lastRow="0" w:firstColumn="1" w:lastColumn="0" w:noHBand="0" w:noVBand="1"/>
      </w:tblPr>
      <w:tblGrid>
        <w:gridCol w:w="1555"/>
        <w:gridCol w:w="2976"/>
        <w:gridCol w:w="4111"/>
      </w:tblGrid>
      <w:tr w:rsidR="00D42B04" w:rsidRPr="00D42B04" w14:paraId="14FB6635"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55" w:type="dxa"/>
          </w:tcPr>
          <w:p w14:paraId="5797122B" w14:textId="77777777" w:rsidR="00D42B04" w:rsidRPr="00D42B04" w:rsidRDefault="00D42B04" w:rsidP="00D42B04">
            <w:pPr>
              <w:spacing w:before="120" w:after="120"/>
              <w:jc w:val="both"/>
              <w:rPr>
                <w:rFonts w:ascii="Cambria" w:hAnsi="Cambria"/>
                <w:sz w:val="22"/>
              </w:rPr>
            </w:pPr>
            <w:r w:rsidRPr="00D42B04">
              <w:rPr>
                <w:rFonts w:ascii="Cambria" w:hAnsi="Cambria"/>
                <w:sz w:val="22"/>
              </w:rPr>
              <w:t>Rola NBS</w:t>
            </w:r>
          </w:p>
        </w:tc>
        <w:tc>
          <w:tcPr>
            <w:tcW w:w="2976" w:type="dxa"/>
          </w:tcPr>
          <w:p w14:paraId="59A0E8DE" w14:textId="77777777" w:rsidR="00D42B04" w:rsidRPr="00D42B04" w:rsidRDefault="00D42B04" w:rsidP="00D42B04">
            <w:pPr>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w:t>
            </w:r>
          </w:p>
        </w:tc>
        <w:tc>
          <w:tcPr>
            <w:tcW w:w="4111" w:type="dxa"/>
          </w:tcPr>
          <w:p w14:paraId="0D12600C" w14:textId="77777777" w:rsidR="00D42B04" w:rsidRPr="00D42B04" w:rsidRDefault="00D42B04" w:rsidP="00D42B04">
            <w:pPr>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Predpokladané fázy účasti na projekte</w:t>
            </w:r>
          </w:p>
        </w:tc>
      </w:tr>
      <w:tr w:rsidR="00D42B04" w:rsidRPr="00D42B04" w14:paraId="0E4428C7"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0B8CBB6D"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Projektový manažér</w:t>
            </w:r>
          </w:p>
        </w:tc>
        <w:tc>
          <w:tcPr>
            <w:tcW w:w="2976" w:type="dxa"/>
          </w:tcPr>
          <w:p w14:paraId="30FEF29B"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Riadenie projektu – interné</w:t>
            </w:r>
          </w:p>
        </w:tc>
        <w:tc>
          <w:tcPr>
            <w:tcW w:w="4111" w:type="dxa"/>
          </w:tcPr>
          <w:p w14:paraId="3FADEC04"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Analýza a Návrh, Implementácia a Nasadenie</w:t>
            </w:r>
          </w:p>
        </w:tc>
      </w:tr>
      <w:tr w:rsidR="00D42B04" w:rsidRPr="00D42B04" w14:paraId="0B3CE6D4"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1555" w:type="dxa"/>
          </w:tcPr>
          <w:p w14:paraId="67DD0D2B"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Solution architekt</w:t>
            </w:r>
          </w:p>
        </w:tc>
        <w:tc>
          <w:tcPr>
            <w:tcW w:w="2976" w:type="dxa"/>
          </w:tcPr>
          <w:p w14:paraId="264F1146"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Špecialista pre validáciu a odsúhlasenie návrhu architektúry </w:t>
            </w:r>
          </w:p>
        </w:tc>
        <w:tc>
          <w:tcPr>
            <w:tcW w:w="4111" w:type="dxa"/>
          </w:tcPr>
          <w:p w14:paraId="42567E6D"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Analýza a Návrh, a Nasadenie</w:t>
            </w:r>
          </w:p>
        </w:tc>
      </w:tr>
      <w:tr w:rsidR="00D42B04" w:rsidRPr="00D42B04" w14:paraId="2D54B24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3A701494"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Databázový špecialista</w:t>
            </w:r>
          </w:p>
        </w:tc>
        <w:tc>
          <w:tcPr>
            <w:tcW w:w="2976" w:type="dxa"/>
          </w:tcPr>
          <w:p w14:paraId="78D2492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Špecialista pre validáciu a odsúhlasenie návrhu úložiska a databáz</w:t>
            </w:r>
          </w:p>
        </w:tc>
        <w:tc>
          <w:tcPr>
            <w:tcW w:w="4111" w:type="dxa"/>
          </w:tcPr>
          <w:p w14:paraId="364C6F40"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Analýza a Návrh, Implementácia a Nasadenie</w:t>
            </w:r>
          </w:p>
        </w:tc>
      </w:tr>
      <w:tr w:rsidR="00D42B04" w:rsidRPr="00D42B04" w14:paraId="4A456CA7"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1555" w:type="dxa"/>
          </w:tcPr>
          <w:p w14:paraId="254756CF"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lastRenderedPageBreak/>
              <w:t>Testeri pre akceptačné testovanie</w:t>
            </w:r>
          </w:p>
        </w:tc>
        <w:tc>
          <w:tcPr>
            <w:tcW w:w="2976" w:type="dxa"/>
          </w:tcPr>
          <w:p w14:paraId="3CDA0BF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Zástupca odborného útvaru, ktorý bude používateľom</w:t>
            </w:r>
          </w:p>
        </w:tc>
        <w:tc>
          <w:tcPr>
            <w:tcW w:w="4111" w:type="dxa"/>
          </w:tcPr>
          <w:p w14:paraId="140977C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Testovanie a nasadenie</w:t>
            </w:r>
          </w:p>
        </w:tc>
      </w:tr>
      <w:tr w:rsidR="00D42B04" w:rsidRPr="00D42B04" w14:paraId="446EDB0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64662E90"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Biznis používatelia</w:t>
            </w:r>
          </w:p>
        </w:tc>
        <w:tc>
          <w:tcPr>
            <w:tcW w:w="2976" w:type="dxa"/>
          </w:tcPr>
          <w:p w14:paraId="3F1539BB"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Špecialisti nominovaní pre formuláciu funkčných požiadaviek a odsúhlasovanie špecifikácie</w:t>
            </w:r>
          </w:p>
        </w:tc>
        <w:tc>
          <w:tcPr>
            <w:tcW w:w="4111" w:type="dxa"/>
          </w:tcPr>
          <w:p w14:paraId="2C54989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Analýza a Návrh, Akceptačné testovanie </w:t>
            </w:r>
          </w:p>
        </w:tc>
      </w:tr>
      <w:tr w:rsidR="00D42B04" w:rsidRPr="00D42B04" w14:paraId="55E14C68"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1555" w:type="dxa"/>
          </w:tcPr>
          <w:p w14:paraId="6BD4A2C2"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Biznis vlastníci</w:t>
            </w:r>
          </w:p>
        </w:tc>
        <w:tc>
          <w:tcPr>
            <w:tcW w:w="2976" w:type="dxa"/>
          </w:tcPr>
          <w:p w14:paraId="5774CDC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Vedúci pracovníci, ktorí sú nominovaný na finálne odsúhlasovanie výstupov za odbory.</w:t>
            </w:r>
          </w:p>
        </w:tc>
        <w:tc>
          <w:tcPr>
            <w:tcW w:w="4111" w:type="dxa"/>
          </w:tcPr>
          <w:p w14:paraId="3708563E"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Analýza a Návrh, Akceptačné testovanie</w:t>
            </w:r>
          </w:p>
        </w:tc>
      </w:tr>
      <w:tr w:rsidR="00D42B04" w:rsidRPr="00D42B04" w14:paraId="07F28883"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Pr>
          <w:p w14:paraId="3F3D215A"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 xml:space="preserve">IT aplikačný špecialista </w:t>
            </w:r>
          </w:p>
        </w:tc>
        <w:tc>
          <w:tcPr>
            <w:tcW w:w="2976" w:type="dxa"/>
          </w:tcPr>
          <w:p w14:paraId="27353EE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Špecialista pre validáciu a odsúhlasenie návrhu aplikácií</w:t>
            </w:r>
          </w:p>
        </w:tc>
        <w:tc>
          <w:tcPr>
            <w:tcW w:w="4111" w:type="dxa"/>
          </w:tcPr>
          <w:p w14:paraId="40BC0402" w14:textId="77777777" w:rsidR="00D42B04" w:rsidRPr="00D42B04" w:rsidRDefault="00D42B04" w:rsidP="00D42B04">
            <w:pPr>
              <w:keepNext/>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Analýza a Návrh, Akceptačné testovanie a Nasadenie</w:t>
            </w:r>
          </w:p>
        </w:tc>
      </w:tr>
    </w:tbl>
    <w:p w14:paraId="7E6BBD83"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23</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Projektové role na strane NBS</w:t>
      </w:r>
    </w:p>
    <w:p w14:paraId="0652461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Na strane uchádzača požadujeme zapojenie minimálne kľúčových expertov, a to: </w:t>
      </w:r>
      <w:r w:rsidRPr="00D42B04">
        <w:rPr>
          <w:rFonts w:ascii="Cambria" w:eastAsia="Calibri" w:hAnsi="Cambria" w:cs="Segoe UI"/>
          <w:sz w:val="22"/>
          <w:szCs w:val="22"/>
        </w:rPr>
        <w:t>Kľúčový expert č. 1 – Projektový manažér</w:t>
      </w:r>
      <w:r w:rsidRPr="00D42B04">
        <w:rPr>
          <w:rFonts w:ascii="Cambria" w:eastAsia="Calibri" w:hAnsi="Cambria" w:cs="Calibri Light"/>
          <w:sz w:val="22"/>
          <w:szCs w:val="22"/>
        </w:rPr>
        <w:t xml:space="preserve">, </w:t>
      </w:r>
      <w:r w:rsidRPr="00D42B04">
        <w:rPr>
          <w:rFonts w:ascii="Cambria" w:eastAsia="Calibri" w:hAnsi="Cambria" w:cs="Segoe UI"/>
          <w:sz w:val="22"/>
          <w:szCs w:val="22"/>
        </w:rPr>
        <w:t xml:space="preserve">Kľúčový expert č. 2 – Architekt riešenia (Relačná časť DWH), Kľúčový expert č. 3 – </w:t>
      </w:r>
      <w:r w:rsidRPr="00D42B04">
        <w:rPr>
          <w:rFonts w:ascii="Cambria" w:eastAsia="Cambria" w:hAnsi="Cambria" w:cs="Cambria"/>
          <w:sz w:val="22"/>
          <w:szCs w:val="22"/>
          <w:lang w:val="sk"/>
        </w:rPr>
        <w:t xml:space="preserve">Architekt riešenia (BigData/DataLake časť DWH), </w:t>
      </w:r>
      <w:r w:rsidRPr="00D42B04">
        <w:rPr>
          <w:rFonts w:ascii="Cambria" w:eastAsia="Calibri" w:hAnsi="Cambria" w:cs="Segoe UI"/>
          <w:sz w:val="22"/>
          <w:szCs w:val="22"/>
        </w:rPr>
        <w:t xml:space="preserve">Kľúčový expert č. 4 – Senior Dátový Analytik, Kľúčový expert č. 5 – </w:t>
      </w:r>
      <w:r w:rsidRPr="00D42B04">
        <w:rPr>
          <w:rFonts w:ascii="Cambria" w:eastAsia="Cambria" w:hAnsi="Cambria" w:cs="Segoe UI"/>
          <w:sz w:val="22"/>
          <w:szCs w:val="22"/>
        </w:rPr>
        <w:t xml:space="preserve">Data Ingestion Špecialista, </w:t>
      </w:r>
      <w:r w:rsidRPr="00D42B04">
        <w:rPr>
          <w:rFonts w:ascii="Cambria" w:eastAsia="Calibri" w:hAnsi="Cambria" w:cs="Segoe UI"/>
          <w:sz w:val="22"/>
          <w:szCs w:val="22"/>
        </w:rPr>
        <w:t xml:space="preserve">Kľúčový expert č. 6 – </w:t>
      </w:r>
      <w:r w:rsidRPr="00D42B04">
        <w:rPr>
          <w:rFonts w:ascii="Cambria" w:eastAsia="Cambria" w:hAnsi="Cambria" w:cs="Cambria"/>
          <w:sz w:val="22"/>
          <w:szCs w:val="22"/>
          <w:lang w:val="sk"/>
        </w:rPr>
        <w:t xml:space="preserve">ETL Špecialista, </w:t>
      </w:r>
      <w:r w:rsidRPr="00D42B04">
        <w:rPr>
          <w:rFonts w:ascii="Cambria" w:eastAsia="Calibri" w:hAnsi="Cambria" w:cs="Segoe UI"/>
          <w:sz w:val="22"/>
          <w:szCs w:val="22"/>
        </w:rPr>
        <w:t xml:space="preserve">Kľúčový expert č. 7 – </w:t>
      </w:r>
      <w:r w:rsidRPr="00D42B04">
        <w:rPr>
          <w:rFonts w:ascii="Cambria" w:eastAsia="Cambria" w:hAnsi="Cambria" w:cs="Cambria"/>
          <w:sz w:val="22"/>
          <w:szCs w:val="22"/>
          <w:lang w:val="sk"/>
        </w:rPr>
        <w:t>BI Špecialista</w:t>
      </w:r>
      <w:r w:rsidRPr="00D42B04">
        <w:rPr>
          <w:rFonts w:ascii="Cambria" w:eastAsia="Cambria" w:hAnsi="Cambria" w:cs="Cambria"/>
          <w:b/>
          <w:sz w:val="22"/>
          <w:szCs w:val="22"/>
          <w:lang w:val="sk"/>
        </w:rPr>
        <w:t xml:space="preserve"> </w:t>
      </w:r>
      <w:r w:rsidRPr="00D42B04">
        <w:rPr>
          <w:rFonts w:ascii="Cambria" w:eastAsia="Cambria" w:hAnsi="Cambria" w:cs="Segoe UI"/>
          <w:b/>
          <w:bCs/>
          <w:sz w:val="22"/>
          <w:szCs w:val="22"/>
        </w:rPr>
        <w:t xml:space="preserve"> </w:t>
      </w:r>
      <w:r w:rsidRPr="00D42B04">
        <w:rPr>
          <w:rFonts w:ascii="Cambria" w:eastAsia="Cambria" w:hAnsi="Cambria" w:cs="Cambria"/>
          <w:b/>
          <w:sz w:val="22"/>
          <w:szCs w:val="22"/>
          <w:lang w:val="sk"/>
        </w:rPr>
        <w:t xml:space="preserve"> </w:t>
      </w:r>
      <w:r w:rsidRPr="00D42B04">
        <w:rPr>
          <w:rFonts w:ascii="Cambria" w:eastAsia="Calibri" w:hAnsi="Cambria" w:cs="Calibri Light"/>
          <w:b/>
          <w:bCs/>
          <w:sz w:val="22"/>
          <w:szCs w:val="22"/>
        </w:rPr>
        <w:t xml:space="preserve"> </w:t>
      </w:r>
      <w:r w:rsidRPr="00D42B04">
        <w:rPr>
          <w:rFonts w:ascii="Cambria" w:eastAsia="Calibri" w:hAnsi="Cambria" w:cs="Arial"/>
          <w:sz w:val="22"/>
          <w:szCs w:val="22"/>
        </w:rPr>
        <w:t xml:space="preserve"> ktorí sú uvedení v zmluve o dielo, v podmienkach účasti, ktoré sú súčasťou týchto súťažných podkladov verejného obstarávania.</w:t>
      </w:r>
    </w:p>
    <w:p w14:paraId="1D570791"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Rozhodovanie sporov</w:t>
      </w:r>
    </w:p>
    <w:p w14:paraId="2ECA1626"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 prípade rozporov medzi PM NBS a PM zhotoviteľa prerokuje spory Riadiaca rada projektu a rozhodnutie vydáva výlučne Sponzor projektu, ktorý nesie hlavnú zodpovednosť za celý projekt.</w:t>
      </w:r>
    </w:p>
    <w:p w14:paraId="19C08CCB"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 prípade, že toto rozhodnutie je v zásadnom rozpore s platnou zmluvou, iniciuje Sponzor projektu negociácie a popr. konanie k zmenovým požiadavkách.</w:t>
      </w:r>
    </w:p>
    <w:p w14:paraId="0AE60B2F" w14:textId="77777777" w:rsidR="00D42B04" w:rsidRPr="00D42B04" w:rsidRDefault="00D42B04" w:rsidP="00D42B04">
      <w:pPr>
        <w:spacing w:before="120" w:after="120"/>
        <w:jc w:val="both"/>
        <w:rPr>
          <w:rFonts w:ascii="Cambria" w:eastAsia="Calibri" w:hAnsi="Cambria" w:cs="Arial"/>
          <w:sz w:val="22"/>
          <w:szCs w:val="22"/>
          <w:highlight w:val="yellow"/>
        </w:rPr>
      </w:pPr>
      <w:r w:rsidRPr="00D42B04">
        <w:rPr>
          <w:rFonts w:ascii="Cambria" w:eastAsia="Calibri" w:hAnsi="Cambria" w:cs="Arial"/>
          <w:sz w:val="22"/>
          <w:szCs w:val="22"/>
        </w:rPr>
        <w:t>RACI matica základných projektových aktivít je uvedená prílohe D.</w:t>
      </w:r>
    </w:p>
    <w:p w14:paraId="3647CFD5"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7" w:name="_Toc110518802"/>
      <w:r w:rsidRPr="00D42B04">
        <w:rPr>
          <w:rFonts w:ascii="Cambria" w:eastAsia="Yu Gothic Light" w:hAnsi="Cambria"/>
          <w:b/>
          <w:bCs/>
          <w:color w:val="2F5496"/>
          <w:szCs w:val="24"/>
        </w:rPr>
        <w:t>Pravidlá pre riadenie komunikácie</w:t>
      </w:r>
      <w:bookmarkEnd w:id="177"/>
    </w:p>
    <w:p w14:paraId="7BFCFC56" w14:textId="77777777" w:rsidR="00D42B04" w:rsidRPr="00D42B04" w:rsidRDefault="00D42B04" w:rsidP="00D42B04">
      <w:pPr>
        <w:jc w:val="both"/>
        <w:textAlignment w:val="baseline"/>
        <w:rPr>
          <w:rFonts w:ascii="Cambria" w:eastAsia="Calibri" w:hAnsi="Cambria" w:cs="Arial"/>
          <w:sz w:val="22"/>
          <w:szCs w:val="22"/>
        </w:rPr>
      </w:pPr>
      <w:r w:rsidRPr="00D42B04">
        <w:rPr>
          <w:rFonts w:ascii="Cambria" w:eastAsia="Calibri" w:hAnsi="Cambria" w:cs="Arial"/>
          <w:sz w:val="22"/>
          <w:szCs w:val="22"/>
        </w:rPr>
        <w:t xml:space="preserve">Táto kapitola obsahuje popis spôsobu a frekvencie komunikácie jednotlivých zainteresovaných strán (ako interných tak aj externých). Takýto spôsob zabezpečuje kontrolovanú a správne usmerňovanú komunikáciu všetkých zainteresovaných strán v realizačných projektoch. </w:t>
      </w:r>
    </w:p>
    <w:p w14:paraId="336966E7"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Zainteresované strany</w:t>
      </w:r>
    </w:p>
    <w:p w14:paraId="6D9D88E7"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riadiaca rada (RR), </w:t>
      </w:r>
    </w:p>
    <w:p w14:paraId="4F99EFB7"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hlavný zhotoviteľ projektu, </w:t>
      </w:r>
    </w:p>
    <w:p w14:paraId="5F8E2B9A"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projektový manažér objednávateľa , </w:t>
      </w:r>
    </w:p>
    <w:p w14:paraId="6C2B90E7"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projektový manažér zhotoviteľa, </w:t>
      </w:r>
    </w:p>
    <w:p w14:paraId="5E62E59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projektový tím objednávateľa</w:t>
      </w:r>
    </w:p>
    <w:p w14:paraId="130E3BC1"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projektový tím zhotoviteľa</w:t>
      </w:r>
    </w:p>
    <w:p w14:paraId="24171E8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lang w:eastAsia="sk-SK"/>
        </w:rPr>
      </w:pPr>
      <w:r w:rsidRPr="00D42B04">
        <w:rPr>
          <w:rFonts w:ascii="Cambria" w:eastAsia="Yu Gothic Light" w:hAnsi="Cambria"/>
          <w:i/>
          <w:iCs/>
          <w:color w:val="2F5496"/>
          <w:sz w:val="22"/>
          <w:szCs w:val="22"/>
          <w:lang w:eastAsia="sk-SK"/>
        </w:rPr>
        <w:t>Zaobchádzanie s informáciami</w:t>
      </w:r>
    </w:p>
    <w:p w14:paraId="25FBCCFC"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Berúc do úvahy význam dôležitosti niektorých informácií získaných v projekte a potreby udržiavať tieto informácie dôvernými majú všetky role v projekte povinnosť zaobchádzať so získanými informáciami, ktoré sú verejne neprístupné, a to technické, obchodné, finančné, komerčné alebo prevádzkové informácie, špecifikácie, plány, dáta, počítačové programy, softvér alebo dokumentácia v akejkoľvek podobe, či už zachytené hmotne alebo ústne poskytnuté ako s chránenými. </w:t>
      </w:r>
    </w:p>
    <w:p w14:paraId="47F39725"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 xml:space="preserve">Každá rola v projekte musí dodržiavať a prijať zodpovedajúce technické, organizačné a iné opatrenia potrebné na ochranu informácií, ktoré mu boli alebo mu budú poskytnuté, alebo </w:t>
      </w:r>
      <w:r w:rsidRPr="00D42B04">
        <w:rPr>
          <w:rFonts w:ascii="Cambria" w:eastAsia="Calibri" w:hAnsi="Cambria" w:cs="Arial"/>
          <w:sz w:val="22"/>
          <w:szCs w:val="22"/>
        </w:rPr>
        <w:lastRenderedPageBreak/>
        <w:t>sprístupnené, pred neoprávnenou manipuláciou s nimi, minimálne však také opatrenia, ktoré sú porovnateľné s opatreniami aké dodržiava pri ochrane vlastných údajov podobnej povahy a dôležitosti. </w:t>
      </w:r>
    </w:p>
    <w:p w14:paraId="66FA37BD"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Riadenie komunikácie</w:t>
      </w:r>
    </w:p>
    <w:p w14:paraId="28392A93"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Pre úspešné naplnenie cieľov realizačného projektu je potrebné vytvoriť vhodné podmienky pre efektívnu komunikáciu. Pre všetkých účastníkov projektu je kľúčové, aby pochopili svoje úlohy a zodpovednosti, ako aj úlohy a zodpovednosti ostatných členov projektu. </w:t>
      </w:r>
    </w:p>
    <w:p w14:paraId="342305DF"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Komunikácia a jej toky sú primárne definované a odvíjajú sa od nastavenia riadenia projektu, t. j. od štruktúry riadenia projektu. </w:t>
      </w:r>
    </w:p>
    <w:p w14:paraId="3EA505E4"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Z hľadiska formálnosti sa komunikácia v rámci projektu rozdeľuje na formálnu a neformálnu. </w:t>
      </w:r>
    </w:p>
    <w:p w14:paraId="5BDFD96A"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Komunikácia na projekte bude prebiehať v zmysle čiar autority, a to na nasledovných úrovniach: </w:t>
      </w:r>
    </w:p>
    <w:p w14:paraId="35A48C5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riadená komunikácia (využívajúca všetky dostupné spôsoby komunikácie), </w:t>
      </w:r>
    </w:p>
    <w:p w14:paraId="04A83DAC"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stretnutia, </w:t>
      </w:r>
    </w:p>
    <w:p w14:paraId="4552AA1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eskalácia. </w:t>
      </w:r>
    </w:p>
    <w:p w14:paraId="0F539CC2" w14:textId="77777777" w:rsidR="00D42B04" w:rsidRPr="00D42B04" w:rsidRDefault="00D42B04" w:rsidP="00D42B04">
      <w:pPr>
        <w:keepNext/>
        <w:numPr>
          <w:ilvl w:val="4"/>
          <w:numId w:val="0"/>
        </w:numPr>
        <w:spacing w:before="120" w:after="120"/>
        <w:ind w:left="1009" w:hanging="1009"/>
        <w:jc w:val="both"/>
        <w:outlineLvl w:val="4"/>
        <w:rPr>
          <w:rFonts w:ascii="Cambria" w:eastAsia="Yu Gothic Light" w:hAnsi="Cambria"/>
          <w:color w:val="2F5496"/>
          <w:sz w:val="18"/>
          <w:szCs w:val="18"/>
          <w:lang w:eastAsia="sk-SK"/>
        </w:rPr>
      </w:pPr>
      <w:r w:rsidRPr="00D42B04">
        <w:rPr>
          <w:rFonts w:ascii="Cambria" w:eastAsia="Yu Gothic Light" w:hAnsi="Cambria"/>
          <w:color w:val="2F5496"/>
          <w:sz w:val="22"/>
          <w:szCs w:val="22"/>
          <w:lang w:eastAsia="sk-SK"/>
        </w:rPr>
        <w:t>Riadená komunikácia </w:t>
      </w:r>
    </w:p>
    <w:p w14:paraId="15B169A3" w14:textId="77777777" w:rsidR="00D42B04" w:rsidRPr="00D42B04" w:rsidRDefault="00D42B04" w:rsidP="00D42B04">
      <w:pPr>
        <w:jc w:val="both"/>
        <w:textAlignment w:val="baseline"/>
        <w:rPr>
          <w:rFonts w:ascii="Cambria" w:eastAsia="Calibri" w:hAnsi="Cambria" w:cs="Arial"/>
          <w:sz w:val="22"/>
          <w:szCs w:val="22"/>
        </w:rPr>
      </w:pPr>
      <w:r w:rsidRPr="00D42B04">
        <w:rPr>
          <w:rFonts w:ascii="Cambria" w:eastAsia="Calibri" w:hAnsi="Cambria" w:cs="Arial"/>
          <w:sz w:val="22"/>
          <w:szCs w:val="22"/>
        </w:rPr>
        <w:t>Najdôležitejším aspektom komunikácie na projekte je komunikácia projektového manažéra. Predmetom tejto komunikácie je najmä: </w:t>
      </w:r>
    </w:p>
    <w:p w14:paraId="522E5DAB"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operatívne riadenie projektu pozostávajúce najmä z/zo: </w:t>
      </w:r>
    </w:p>
    <w:p w14:paraId="57CC3F96"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pravidelných a ad hoc stretnutí, ktorých výsledkom je: </w:t>
      </w:r>
    </w:p>
    <w:p w14:paraId="51B04EDC" w14:textId="77777777" w:rsidR="00D42B04" w:rsidRPr="00D42B04" w:rsidRDefault="00D42B04" w:rsidP="00D42B04">
      <w:pPr>
        <w:numPr>
          <w:ilvl w:val="2"/>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aktualizácia projektových registrov, </w:t>
      </w:r>
    </w:p>
    <w:p w14:paraId="73CE20F1" w14:textId="77777777" w:rsidR="00D42B04" w:rsidRPr="00D42B04" w:rsidRDefault="00D42B04" w:rsidP="00D42B04">
      <w:pPr>
        <w:numPr>
          <w:ilvl w:val="2"/>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(pre)rozdelenie a (pre)plánovanie projektových úloh, </w:t>
      </w:r>
    </w:p>
    <w:p w14:paraId="45D2A148" w14:textId="77777777" w:rsidR="00D42B04" w:rsidRPr="00D42B04" w:rsidRDefault="00D42B04" w:rsidP="00D42B04">
      <w:pPr>
        <w:numPr>
          <w:ilvl w:val="2"/>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eskalovanie problematických záležitostí, </w:t>
      </w:r>
    </w:p>
    <w:p w14:paraId="3C821801" w14:textId="77777777" w:rsidR="00D42B04" w:rsidRPr="00D42B04" w:rsidRDefault="00D42B04" w:rsidP="00D42B04">
      <w:pPr>
        <w:numPr>
          <w:ilvl w:val="2"/>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riešenie incidentov, </w:t>
      </w:r>
    </w:p>
    <w:p w14:paraId="65DFB7D3"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vedenia registra rizík, </w:t>
      </w:r>
    </w:p>
    <w:p w14:paraId="529C1535"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správy verzií výstupov, </w:t>
      </w:r>
    </w:p>
    <w:p w14:paraId="48E68040" w14:textId="77777777" w:rsidR="00D42B04" w:rsidRPr="00D42B04" w:rsidRDefault="00D42B04" w:rsidP="00D42B04">
      <w:pPr>
        <w:numPr>
          <w:ilvl w:val="1"/>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zabezpečenia kvality výstupov, </w:t>
      </w:r>
    </w:p>
    <w:p w14:paraId="4DD2E39A"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preberanie a odovzdávanie výstupov projektu. </w:t>
      </w:r>
    </w:p>
    <w:p w14:paraId="2E72684F"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Všetky formálne náležitosti sú komunikované emailovou komunikáciou, resp. úradnou listinnou komunikáciou. </w:t>
      </w:r>
    </w:p>
    <w:p w14:paraId="76185E9C"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Využitie elektronickej pošty sa predpokladá v rámci všetkých komunikačných procesov projektu. Prostredníctvom elektronickej pošty sa vymieňajú jednak informácie obsiahnuté v správach a jednak elektronické súbory v prílohe správ. Každá elektronická správa obsahujúca informácie alebo súbory týkajúce sa projektu musí mať identifikáciu projektu v predmete správy. </w:t>
      </w:r>
    </w:p>
    <w:p w14:paraId="1FF2848E"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 projekte sa nepredpokladá masívne využívanie listovej korešpondencie a pokiaľ nie je stanovené inak, primárnym nástrojom komunikácie je elektronická pošta. Listovú korešpondenciu je možné odoslať prostredníctvom podateľne, doporučeným listom, prostredníctvom kuriérskej služby alebo faxom. </w:t>
      </w:r>
    </w:p>
    <w:p w14:paraId="35D3F50F"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 projekte sa predpokladá aj využitie telekonferenčných a videokonferenčných zariadení. Pri organizácii telekonferencií a videokonferencií platia rovnaké pravidlá ako pre organizáciu bežných stretnutí. Navyše však zvolávateľ stretnutia zabezpečuje včasnú distribúciu údajov potrebných pre pripojenie vzdialených účastníkov.  </w:t>
      </w:r>
    </w:p>
    <w:p w14:paraId="1F6D0024"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V projekte sa predpokladá časté využitie telefonických zariadení, najmä pri riešení operatívnych a organizačných záležitostí. Využitie telefónu nie je vhodné pre zadávanie úloh a rozhodovanie o dôležitých záležitostiach. V prípade, že je výsledkom telefonického rozhovoru rozhodnutie alebo zadanie úlohy je potrebné potvrdiť túto skutočnosť aj prostredníctvom elektronickej pošty. </w:t>
      </w:r>
    </w:p>
    <w:p w14:paraId="33AB27B1"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 xml:space="preserve">Neformálnou komunikáciou sa rozumie doplnkový spôsob komunikácie pre efektívne riešenie každodenných náležitostí. Pre tento spôsob komunikácie môžu byť využívané adekvátne nástroje </w:t>
      </w:r>
      <w:r w:rsidRPr="00D42B04">
        <w:rPr>
          <w:rFonts w:ascii="Cambria" w:eastAsia="Calibri" w:hAnsi="Cambria" w:cs="Arial"/>
          <w:sz w:val="22"/>
          <w:szCs w:val="22"/>
        </w:rPr>
        <w:lastRenderedPageBreak/>
        <w:t>a technológie, ktoré zabezpečia efektívny a nenáročný spôsob komunikácie (videohovory, chaty a pod.). </w:t>
      </w:r>
    </w:p>
    <w:p w14:paraId="481E772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Projektové stretnutia</w:t>
      </w:r>
    </w:p>
    <w:p w14:paraId="53CD3847"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Okrem riadenej komunikácie a predkladania požadovaných výstupov budú v rámci realizácie projektu organizované rôzne typy pravidelných aj nepravidelných stretnutí. </w:t>
      </w:r>
    </w:p>
    <w:p w14:paraId="02F4EF56" w14:textId="77777777" w:rsidR="00D42B04" w:rsidRPr="00D42B04" w:rsidRDefault="00D42B04" w:rsidP="00D42B04">
      <w:pPr>
        <w:jc w:val="both"/>
        <w:textAlignment w:val="baseline"/>
        <w:rPr>
          <w:rFonts w:ascii="Cambria" w:eastAsia="Calibri" w:hAnsi="Cambria" w:cs="Arial"/>
          <w:sz w:val="22"/>
          <w:szCs w:val="22"/>
        </w:rPr>
      </w:pPr>
      <w:r w:rsidRPr="00D42B04">
        <w:rPr>
          <w:rFonts w:ascii="Cambria" w:eastAsia="Calibri" w:hAnsi="Cambria" w:cs="Arial"/>
          <w:sz w:val="22"/>
          <w:szCs w:val="22"/>
        </w:rPr>
        <w:t>Tieto stretnutia budú realizované za účelom: </w:t>
      </w:r>
    </w:p>
    <w:p w14:paraId="098E6D2B"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úvodného oboznámenia sa s projektom a jeho nastavením realizácie, </w:t>
      </w:r>
    </w:p>
    <w:p w14:paraId="37FEC392"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plánu realizácie úloh, </w:t>
      </w:r>
    </w:p>
    <w:p w14:paraId="43A1844F"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revízie plnenia úloh, </w:t>
      </w:r>
    </w:p>
    <w:p w14:paraId="265D91CF"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revízie stavu projektu, </w:t>
      </w:r>
    </w:p>
    <w:p w14:paraId="6EAF7422"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odovzdávania/preberania projektových výstupov a poskytovania vyžiadanej súčinnosti, </w:t>
      </w:r>
    </w:p>
    <w:p w14:paraId="5C07368F"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výmeny ponaučení a odporúčaní, </w:t>
      </w:r>
    </w:p>
    <w:p w14:paraId="1BC4EFAE"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sumarizácie a zhodnotenia realizácie projektu. </w:t>
      </w:r>
    </w:p>
    <w:p w14:paraId="6D2BB6FB"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Pre potreby zdieľania dokumentov je zriadené spoločné zdieľané projektové úložisko dokumentov na SharePointe, kde budú ukladané pracovné verzie dokumentov ako aj ich finálne verzie, ktoré budú vytvorené po schválení výstupov/produktov na RR. Komunikácia bude podporovaná projektovými dokumentmi, predovšetkým zápismi zo stretnutí, výstupmi jednotlivých úloh a nástrojmi projektového riadenia ako sú projektový plán, register úloh, register rizík, a pod. </w:t>
      </w:r>
    </w:p>
    <w:p w14:paraId="4117B40B" w14:textId="77777777" w:rsidR="00D42B04" w:rsidRPr="00D42B04" w:rsidRDefault="00D42B04" w:rsidP="00D42B04">
      <w:pPr>
        <w:pBdr>
          <w:top w:val="nil"/>
          <w:left w:val="nil"/>
          <w:bottom w:val="nil"/>
          <w:right w:val="nil"/>
          <w:between w:val="nil"/>
        </w:pBdr>
        <w:spacing w:before="120"/>
        <w:jc w:val="both"/>
        <w:rPr>
          <w:rFonts w:ascii="Cambria" w:hAnsi="Cambria" w:cs="Segoe UI"/>
          <w:sz w:val="22"/>
          <w:szCs w:val="22"/>
          <w:lang w:eastAsia="sk-SK"/>
        </w:rPr>
      </w:pPr>
      <w:r w:rsidRPr="00D42B04">
        <w:rPr>
          <w:rFonts w:ascii="Cambria" w:hAnsi="Cambria" w:cs="Segoe UI"/>
          <w:b/>
          <w:bCs/>
          <w:sz w:val="22"/>
          <w:szCs w:val="22"/>
          <w:lang w:eastAsia="sk-SK"/>
        </w:rPr>
        <w:t>Základnými typmi projektových stretnutí sú:</w:t>
      </w:r>
      <w:r w:rsidRPr="00D42B04">
        <w:rPr>
          <w:rFonts w:ascii="Cambria" w:hAnsi="Cambria" w:cs="Segoe UI"/>
          <w:sz w:val="22"/>
          <w:szCs w:val="22"/>
          <w:lang w:eastAsia="sk-SK"/>
        </w:rPr>
        <w:t> </w:t>
      </w:r>
    </w:p>
    <w:tbl>
      <w:tblPr>
        <w:tblStyle w:val="GridTable4-Accent52"/>
        <w:tblW w:w="8926" w:type="dxa"/>
        <w:tblLayout w:type="fixed"/>
        <w:tblLook w:val="04A0" w:firstRow="1" w:lastRow="0" w:firstColumn="1" w:lastColumn="0" w:noHBand="0" w:noVBand="1"/>
      </w:tblPr>
      <w:tblGrid>
        <w:gridCol w:w="1523"/>
        <w:gridCol w:w="2867"/>
        <w:gridCol w:w="1275"/>
        <w:gridCol w:w="1985"/>
        <w:gridCol w:w="1276"/>
      </w:tblGrid>
      <w:tr w:rsidR="00D42B04" w:rsidRPr="00D42B04" w14:paraId="268EE293" w14:textId="77777777" w:rsidTr="00D42B04">
        <w:trPr>
          <w:cnfStyle w:val="100000000000" w:firstRow="1" w:lastRow="0" w:firstColumn="0" w:lastColumn="0" w:oddVBand="0" w:evenVBand="0" w:oddHBand="0" w:evenHBand="0" w:firstRowFirstColumn="0" w:firstRowLastColumn="0" w:lastRowFirstColumn="0" w:lastRowLastColumn="0"/>
          <w:cantSplit/>
          <w:trHeight w:val="825"/>
          <w:tblHeader/>
        </w:trPr>
        <w:tc>
          <w:tcPr>
            <w:cnfStyle w:val="001000000000" w:firstRow="0" w:lastRow="0" w:firstColumn="1" w:lastColumn="0" w:oddVBand="0" w:evenVBand="0" w:oddHBand="0" w:evenHBand="0" w:firstRowFirstColumn="0" w:firstRowLastColumn="0" w:lastRowFirstColumn="0" w:lastRowLastColumn="0"/>
            <w:tcW w:w="1523" w:type="dxa"/>
            <w:hideMark/>
          </w:tcPr>
          <w:p w14:paraId="4562E363" w14:textId="77777777" w:rsidR="00D42B04" w:rsidRPr="00D42B04" w:rsidRDefault="00D42B04" w:rsidP="00D42B04">
            <w:pPr>
              <w:spacing w:before="120" w:after="120"/>
              <w:jc w:val="both"/>
              <w:rPr>
                <w:rFonts w:ascii="Cambria" w:hAnsi="Cambria"/>
                <w:sz w:val="22"/>
              </w:rPr>
            </w:pPr>
            <w:r w:rsidRPr="00D42B04">
              <w:rPr>
                <w:rFonts w:ascii="Cambria" w:hAnsi="Cambria"/>
                <w:sz w:val="22"/>
              </w:rPr>
              <w:t>Názov </w:t>
            </w:r>
          </w:p>
        </w:tc>
        <w:tc>
          <w:tcPr>
            <w:tcW w:w="2867" w:type="dxa"/>
            <w:hideMark/>
          </w:tcPr>
          <w:p w14:paraId="7DBA1B30"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Agenda </w:t>
            </w:r>
          </w:p>
        </w:tc>
        <w:tc>
          <w:tcPr>
            <w:tcW w:w="1275" w:type="dxa"/>
            <w:hideMark/>
          </w:tcPr>
          <w:p w14:paraId="67B1F28D"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Periodicita </w:t>
            </w:r>
          </w:p>
        </w:tc>
        <w:tc>
          <w:tcPr>
            <w:tcW w:w="1985" w:type="dxa"/>
            <w:hideMark/>
          </w:tcPr>
          <w:p w14:paraId="30B2FDA4"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Účastníci </w:t>
            </w:r>
          </w:p>
        </w:tc>
        <w:tc>
          <w:tcPr>
            <w:tcW w:w="1276" w:type="dxa"/>
            <w:hideMark/>
          </w:tcPr>
          <w:p w14:paraId="5DB93E10"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Čas a trvanie </w:t>
            </w:r>
          </w:p>
        </w:tc>
      </w:tr>
      <w:tr w:rsidR="00D42B04" w:rsidRPr="00D42B04" w14:paraId="4968C12D"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5296F76B" w14:textId="77777777" w:rsidR="00D42B04" w:rsidRPr="00D42B04" w:rsidRDefault="00D42B04" w:rsidP="00D42B04">
            <w:pPr>
              <w:spacing w:before="120" w:after="120"/>
              <w:rPr>
                <w:rFonts w:ascii="Cambria" w:hAnsi="Cambria"/>
                <w:sz w:val="18"/>
                <w:szCs w:val="18"/>
              </w:rPr>
            </w:pPr>
            <w:r w:rsidRPr="00D42B04">
              <w:rPr>
                <w:rFonts w:ascii="Cambria" w:hAnsi="Cambria"/>
                <w:sz w:val="18"/>
                <w:szCs w:val="18"/>
              </w:rPr>
              <w:t>Zasadnutie RR </w:t>
            </w:r>
          </w:p>
        </w:tc>
        <w:tc>
          <w:tcPr>
            <w:tcW w:w="2867" w:type="dxa"/>
            <w:hideMark/>
          </w:tcPr>
          <w:p w14:paraId="049EB1CB"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schvaľovanie kľúčových dokumentov a výstupov, odpočet a stanovovanie strategických úloh, strategické riadenie projektu zodpovednosť za organizáciu projektu, schvaľovanie zmenových požiadaviek projektu </w:t>
            </w:r>
          </w:p>
        </w:tc>
        <w:tc>
          <w:tcPr>
            <w:tcW w:w="1275" w:type="dxa"/>
            <w:hideMark/>
          </w:tcPr>
          <w:p w14:paraId="57177E2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 xml:space="preserve"> Minimálne 1x za 2 mesiace</w:t>
            </w:r>
          </w:p>
        </w:tc>
        <w:tc>
          <w:tcPr>
            <w:tcW w:w="1985" w:type="dxa"/>
            <w:hideMark/>
          </w:tcPr>
          <w:p w14:paraId="3B4E997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členovia RR a prizvaní účastníci </w:t>
            </w:r>
          </w:p>
        </w:tc>
        <w:tc>
          <w:tcPr>
            <w:tcW w:w="1276" w:type="dxa"/>
            <w:hideMark/>
          </w:tcPr>
          <w:p w14:paraId="5162767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podľa dohody, cca 1 hodina </w:t>
            </w:r>
          </w:p>
        </w:tc>
      </w:tr>
      <w:tr w:rsidR="00D42B04" w:rsidRPr="00D42B04" w14:paraId="1936EA22"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52C7A96C" w14:textId="77777777" w:rsidR="00D42B04" w:rsidRPr="00D42B04" w:rsidRDefault="00D42B04" w:rsidP="00D42B04">
            <w:pPr>
              <w:spacing w:before="120" w:after="120"/>
              <w:rPr>
                <w:rFonts w:ascii="Cambria" w:hAnsi="Cambria"/>
                <w:sz w:val="18"/>
                <w:szCs w:val="18"/>
              </w:rPr>
            </w:pPr>
            <w:r w:rsidRPr="00D42B04">
              <w:rPr>
                <w:rFonts w:ascii="Cambria" w:hAnsi="Cambria"/>
                <w:sz w:val="18"/>
                <w:szCs w:val="18"/>
              </w:rPr>
              <w:t>Stretnutia s projektovým vlastníkom </w:t>
            </w:r>
          </w:p>
        </w:tc>
        <w:tc>
          <w:tcPr>
            <w:tcW w:w="2867" w:type="dxa"/>
            <w:hideMark/>
          </w:tcPr>
          <w:p w14:paraId="50BB786A"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operatívne prijímať rozhodnutia k predchádzaniu problémov, rizikám, riešenie otázok, konzultácia zmien </w:t>
            </w:r>
          </w:p>
        </w:tc>
        <w:tc>
          <w:tcPr>
            <w:tcW w:w="1275" w:type="dxa"/>
            <w:hideMark/>
          </w:tcPr>
          <w:p w14:paraId="43074EBA"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ad hoc podľa potreby </w:t>
            </w:r>
          </w:p>
        </w:tc>
        <w:tc>
          <w:tcPr>
            <w:tcW w:w="1985" w:type="dxa"/>
            <w:hideMark/>
          </w:tcPr>
          <w:p w14:paraId="0A6415B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Vlastníci projektu a prizvaní účastníci </w:t>
            </w:r>
          </w:p>
        </w:tc>
        <w:tc>
          <w:tcPr>
            <w:tcW w:w="1276" w:type="dxa"/>
            <w:hideMark/>
          </w:tcPr>
          <w:p w14:paraId="3CA175F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podľa dohody, cca1 hodina </w:t>
            </w:r>
          </w:p>
        </w:tc>
      </w:tr>
      <w:tr w:rsidR="00D42B04" w:rsidRPr="00D42B04" w14:paraId="74F57479"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3" w:type="dxa"/>
            <w:hideMark/>
          </w:tcPr>
          <w:p w14:paraId="6AC0E1AE" w14:textId="77777777" w:rsidR="00D42B04" w:rsidRPr="00D42B04" w:rsidRDefault="00D42B04" w:rsidP="00D42B04">
            <w:pPr>
              <w:spacing w:before="120" w:after="120"/>
              <w:rPr>
                <w:rFonts w:ascii="Cambria" w:hAnsi="Cambria"/>
                <w:sz w:val="18"/>
                <w:szCs w:val="18"/>
              </w:rPr>
            </w:pPr>
            <w:r w:rsidRPr="00D42B04">
              <w:rPr>
                <w:rFonts w:ascii="Cambria" w:hAnsi="Cambria"/>
                <w:sz w:val="18"/>
                <w:szCs w:val="18"/>
              </w:rPr>
              <w:t>Projektový tím (PTO) míting </w:t>
            </w:r>
          </w:p>
        </w:tc>
        <w:tc>
          <w:tcPr>
            <w:tcW w:w="2867" w:type="dxa"/>
            <w:hideMark/>
          </w:tcPr>
          <w:p w14:paraId="049ECD6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odpočet a stanovovanie operatívnych úloh, operatívne riadenie projektu, návrhy a rozhodovanie o zmenách v projekte, aktualizácia rizík, otvorených otázok a pod. </w:t>
            </w:r>
          </w:p>
        </w:tc>
        <w:tc>
          <w:tcPr>
            <w:tcW w:w="1275" w:type="dxa"/>
            <w:hideMark/>
          </w:tcPr>
          <w:p w14:paraId="5B3B495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1x týždenne </w:t>
            </w:r>
          </w:p>
        </w:tc>
        <w:tc>
          <w:tcPr>
            <w:tcW w:w="1985" w:type="dxa"/>
            <w:hideMark/>
          </w:tcPr>
          <w:p w14:paraId="0C79E67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projektový manažér, PMO, vedúci tímu, členovia projektového tímu podľa potreby a kľúčoví experti podľa potreby  </w:t>
            </w:r>
          </w:p>
        </w:tc>
        <w:tc>
          <w:tcPr>
            <w:tcW w:w="1276" w:type="dxa"/>
            <w:hideMark/>
          </w:tcPr>
          <w:p w14:paraId="3B8B958F"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D42B04">
              <w:rPr>
                <w:rFonts w:ascii="Cambria" w:hAnsi="Cambria"/>
                <w:sz w:val="18"/>
                <w:szCs w:val="18"/>
              </w:rPr>
              <w:t>určený deň v týždni, cca 1-2 hodiny </w:t>
            </w:r>
          </w:p>
        </w:tc>
      </w:tr>
      <w:tr w:rsidR="00D42B04" w:rsidRPr="00D42B04" w14:paraId="73C72ACD" w14:textId="77777777" w:rsidTr="000C3B41">
        <w:trPr>
          <w:cantSplit/>
          <w:trHeight w:val="1200"/>
        </w:trPr>
        <w:tc>
          <w:tcPr>
            <w:cnfStyle w:val="001000000000" w:firstRow="0" w:lastRow="0" w:firstColumn="1" w:lastColumn="0" w:oddVBand="0" w:evenVBand="0" w:oddHBand="0" w:evenHBand="0" w:firstRowFirstColumn="0" w:firstRowLastColumn="0" w:lastRowFirstColumn="0" w:lastRowLastColumn="0"/>
            <w:tcW w:w="1523" w:type="dxa"/>
            <w:hideMark/>
          </w:tcPr>
          <w:p w14:paraId="07824AE2" w14:textId="77777777" w:rsidR="00D42B04" w:rsidRPr="00D42B04" w:rsidRDefault="00D42B04" w:rsidP="00D42B04">
            <w:pPr>
              <w:spacing w:before="120" w:after="120"/>
              <w:rPr>
                <w:rFonts w:ascii="Cambria" w:hAnsi="Cambria"/>
                <w:sz w:val="18"/>
                <w:szCs w:val="18"/>
              </w:rPr>
            </w:pPr>
            <w:r w:rsidRPr="00D42B04">
              <w:rPr>
                <w:rFonts w:ascii="Cambria" w:hAnsi="Cambria"/>
                <w:sz w:val="18"/>
                <w:szCs w:val="18"/>
              </w:rPr>
              <w:t>Pracovný tím </w:t>
            </w:r>
          </w:p>
        </w:tc>
        <w:tc>
          <w:tcPr>
            <w:tcW w:w="2867" w:type="dxa"/>
            <w:hideMark/>
          </w:tcPr>
          <w:p w14:paraId="2C7F7C9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stretnutie pracovných tímov ku konkrétnym témam projektu (analýzy, procesy, funkčná špecifikácia, finančný model, zmluva, legislatíva, prevádzka a pod.) </w:t>
            </w:r>
          </w:p>
        </w:tc>
        <w:tc>
          <w:tcPr>
            <w:tcW w:w="1275" w:type="dxa"/>
            <w:hideMark/>
          </w:tcPr>
          <w:p w14:paraId="31DAB6EB"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podľa potreby </w:t>
            </w:r>
          </w:p>
        </w:tc>
        <w:tc>
          <w:tcPr>
            <w:tcW w:w="1985" w:type="dxa"/>
            <w:hideMark/>
          </w:tcPr>
          <w:p w14:paraId="2EA832F5"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Expert, zástupcovia pracovných tímov a prizvaní účastníci </w:t>
            </w:r>
          </w:p>
        </w:tc>
        <w:tc>
          <w:tcPr>
            <w:tcW w:w="1276" w:type="dxa"/>
            <w:hideMark/>
          </w:tcPr>
          <w:p w14:paraId="05B7B5D4"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D42B04">
              <w:rPr>
                <w:rFonts w:ascii="Cambria" w:hAnsi="Cambria"/>
                <w:sz w:val="18"/>
                <w:szCs w:val="18"/>
              </w:rPr>
              <w:t>podľa potreby </w:t>
            </w:r>
          </w:p>
        </w:tc>
      </w:tr>
    </w:tbl>
    <w:p w14:paraId="3AC201CB"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24</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Projektové stretnutia</w:t>
      </w:r>
    </w:p>
    <w:p w14:paraId="3FCBA462"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Zápis vo všeobecnosti vyhotovuje organizátor stretnutia, prípadne ním poverená osoba.</w:t>
      </w:r>
    </w:p>
    <w:p w14:paraId="026E2310"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Zápis zo stretnutia musí obsahovať: </w:t>
      </w:r>
    </w:p>
    <w:p w14:paraId="5643E006"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identifikáciu projektu, </w:t>
      </w:r>
    </w:p>
    <w:p w14:paraId="04F61D67"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číslo zápisu, </w:t>
      </w:r>
    </w:p>
    <w:p w14:paraId="70D2AD0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dátum a čas, </w:t>
      </w:r>
    </w:p>
    <w:p w14:paraId="5D445FEC"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miesto konania, </w:t>
      </w:r>
    </w:p>
    <w:p w14:paraId="2320C91D"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typ stretnutia, </w:t>
      </w:r>
    </w:p>
    <w:p w14:paraId="3BD011FC"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zoznam prítomných účastníkov, </w:t>
      </w:r>
    </w:p>
    <w:p w14:paraId="384ED015"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tému stretnutia, </w:t>
      </w:r>
    </w:p>
    <w:p w14:paraId="42917FCF"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agendu stretnutia, </w:t>
      </w:r>
    </w:p>
    <w:p w14:paraId="62E0FB4B"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stručný záznam z rokovania, </w:t>
      </w:r>
    </w:p>
    <w:p w14:paraId="6C1556F1"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závery stretnutia rozdelené v zmysle nasledovnej kategorizácie: </w:t>
      </w:r>
    </w:p>
    <w:p w14:paraId="09B54E92"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informácie, </w:t>
      </w:r>
    </w:p>
    <w:p w14:paraId="0B93E3A0"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prijaté rozhodnutia, </w:t>
      </w:r>
    </w:p>
    <w:p w14:paraId="43902786"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otvorené otázky, </w:t>
      </w:r>
    </w:p>
    <w:p w14:paraId="0C491494"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predpoklady, </w:t>
      </w:r>
    </w:p>
    <w:p w14:paraId="6AA71D85"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riziko, </w:t>
      </w:r>
    </w:p>
    <w:p w14:paraId="28247A85"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odsúhlasené úlohy vrátane určenia zodpovedných osôb za úlohy a termínov úloh, </w:t>
      </w:r>
    </w:p>
    <w:p w14:paraId="1A7CF5D1"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prílohy (podľa potreby). </w:t>
      </w:r>
    </w:p>
    <w:p w14:paraId="46EF20ED"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Za správnosť návrhu zápisu zo stretnutia, jeho prípadných medziverzií a jeho finálneho znenia podľa vyššie uvedených požiadaviek zodpovedá organizátor stretnutia, ak sa nedohodne inak; je ďalej zodpovedný aj za správne uloženie návrhu zápisu zo stretnutia a jeho prípadných medziverzií na spoločné zdieľané projektové úložisko dokumentov. </w:t>
      </w:r>
    </w:p>
    <w:p w14:paraId="5ECF014F" w14:textId="77777777" w:rsidR="00D42B04" w:rsidRPr="00D42B04" w:rsidRDefault="00D42B04" w:rsidP="00D42B04">
      <w:pPr>
        <w:keepNext/>
        <w:numPr>
          <w:ilvl w:val="3"/>
          <w:numId w:val="0"/>
        </w:numPr>
        <w:spacing w:before="120" w:after="120"/>
        <w:ind w:left="862" w:hanging="862"/>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Postupy eskalácie</w:t>
      </w:r>
    </w:p>
    <w:p w14:paraId="46720C0A" w14:textId="77777777" w:rsidR="00D42B04" w:rsidRPr="00D42B04" w:rsidRDefault="00D42B04" w:rsidP="00D42B04">
      <w:pPr>
        <w:keepNext/>
        <w:jc w:val="both"/>
        <w:textAlignment w:val="baseline"/>
        <w:rPr>
          <w:rFonts w:ascii="Cambria" w:eastAsia="Calibri" w:hAnsi="Cambria" w:cs="Arial"/>
          <w:sz w:val="22"/>
          <w:szCs w:val="22"/>
        </w:rPr>
      </w:pPr>
      <w:r w:rsidRPr="00D42B04">
        <w:rPr>
          <w:rFonts w:ascii="Cambria" w:eastAsia="Calibri" w:hAnsi="Cambria" w:cs="Arial"/>
          <w:sz w:val="22"/>
          <w:szCs w:val="22"/>
        </w:rPr>
        <w:t>Počas životného cyklu projektu môže dôjsť k neočakávaným situáciám, ktoré nie je možné vyriešiť bez zapojenia vyšších zložiek riadenia alebo ak je potrebné prijať rozhodnutie, vyžadujúce si schválenie vyšším manažmentom. Pre dosiahnutia riešenia, resp. rozhodnutia pre takéto situácie bude v rámci projektu zavedený eskalačný mechanizmus, ktorý bude využívať nasledujúce eskalačné úrovne: </w:t>
      </w:r>
    </w:p>
    <w:p w14:paraId="2044BB65"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prvý stupeň eskalácie – projektový manažér, </w:t>
      </w:r>
    </w:p>
    <w:p w14:paraId="07D5CA6A"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druhý stupeň eskalácie – vyšší manažment (riadiaci pracovníci/manažment – vlastníci projektu ako nositelia úlohy z Bankovej rady), </w:t>
      </w:r>
    </w:p>
    <w:p w14:paraId="2FC30B3E" w14:textId="77777777" w:rsidR="00D42B04" w:rsidRPr="00D42B04" w:rsidRDefault="00D42B04" w:rsidP="00D42B04">
      <w:pPr>
        <w:numPr>
          <w:ilvl w:val="0"/>
          <w:numId w:val="96"/>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tretí stupeň eskalácie – Riadiaca rada projektu (zloženie v zmysle Štatútu). </w:t>
      </w:r>
    </w:p>
    <w:p w14:paraId="68930EFB" w14:textId="77777777" w:rsidR="00D42B04" w:rsidRPr="00D42B04" w:rsidRDefault="00D42B04" w:rsidP="00D42B04">
      <w:pPr>
        <w:pBdr>
          <w:top w:val="nil"/>
          <w:left w:val="nil"/>
          <w:bottom w:val="nil"/>
          <w:right w:val="nil"/>
          <w:between w:val="nil"/>
        </w:pBdr>
        <w:spacing w:before="120"/>
        <w:jc w:val="both"/>
        <w:rPr>
          <w:rFonts w:ascii="Cambria" w:eastAsia="Calibri" w:hAnsi="Cambria" w:cs="Arial"/>
          <w:sz w:val="22"/>
          <w:szCs w:val="22"/>
        </w:rPr>
      </w:pPr>
      <w:r w:rsidRPr="00D42B04">
        <w:rPr>
          <w:rFonts w:ascii="Cambria" w:eastAsia="Calibri" w:hAnsi="Cambria" w:cs="Arial"/>
          <w:sz w:val="22"/>
          <w:szCs w:val="22"/>
        </w:rPr>
        <w:t>Pri eskalácii je vždy potrebné písomné oboznámenie so vzniknutou situáciou, ktoré okrem popisu vzniknutej situácie popisuje aj dopad na chod projektu, identifikovanie dotknutých osôb, návrh možného riešenia, a pod. </w:t>
      </w:r>
    </w:p>
    <w:p w14:paraId="6CB29BA2" w14:textId="77777777" w:rsidR="00D42B04" w:rsidRPr="00D42B04" w:rsidRDefault="00D42B04" w:rsidP="00D42B04">
      <w:pPr>
        <w:pBdr>
          <w:top w:val="nil"/>
          <w:left w:val="nil"/>
          <w:bottom w:val="nil"/>
          <w:right w:val="nil"/>
          <w:between w:val="nil"/>
        </w:pBdr>
        <w:spacing w:before="120"/>
        <w:jc w:val="both"/>
        <w:rPr>
          <w:rFonts w:ascii="Cambria" w:hAnsi="Cambria" w:cs="Segoe UI"/>
          <w:sz w:val="18"/>
          <w:szCs w:val="18"/>
          <w:lang w:eastAsia="sk-SK"/>
        </w:rPr>
      </w:pPr>
      <w:r w:rsidRPr="00D42B04">
        <w:rPr>
          <w:rFonts w:ascii="Cambria" w:eastAsia="Calibri" w:hAnsi="Cambria" w:cs="Arial"/>
          <w:sz w:val="22"/>
          <w:szCs w:val="22"/>
        </w:rPr>
        <w:t>Problematická situácia bude eskalovaná do doby, kým nebude vyriešená, pričom o rozhodnutí o riešení eskalovanej situácie sú informované všetky dotknuté osoby. Eskaláciu je potrebné používať ako nástroj nemožnosti vyriešenia úlohy na danej úrovni. Všetky eskalačné požiadavky musia byť zaznamenané písomnou formou.</w:t>
      </w:r>
      <w:r w:rsidRPr="00D42B04">
        <w:rPr>
          <w:rFonts w:ascii="Cambria" w:hAnsi="Cambria" w:cs="Segoe UI"/>
          <w:sz w:val="20"/>
          <w:lang w:eastAsia="sk-SK"/>
        </w:rPr>
        <w:t> </w:t>
      </w:r>
    </w:p>
    <w:p w14:paraId="1B0977A3"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78" w:name="_Toc110518803"/>
      <w:r w:rsidRPr="00D42B04">
        <w:rPr>
          <w:rFonts w:ascii="Cambria" w:eastAsia="Yu Gothic Light" w:hAnsi="Cambria"/>
          <w:b/>
          <w:bCs/>
          <w:color w:val="2F5496"/>
          <w:szCs w:val="24"/>
        </w:rPr>
        <w:lastRenderedPageBreak/>
        <w:t>Projektový plán</w:t>
      </w:r>
      <w:bookmarkEnd w:id="178"/>
    </w:p>
    <w:p w14:paraId="553F5D57"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Požadovaný termín na finalizáciu dodávky riešenia je do 36 mesiacov odo dňa účinnosti zmluvy o dielo. Navrhovaný projektový plán je súčasťou prílohy E.</w:t>
      </w:r>
    </w:p>
    <w:p w14:paraId="7AECA420"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noProof/>
          <w:sz w:val="22"/>
          <w:szCs w:val="22"/>
        </w:rPr>
        <w:drawing>
          <wp:inline distT="0" distB="0" distL="0" distR="0" wp14:anchorId="3CB75924" wp14:editId="60E396B0">
            <wp:extent cx="5395595" cy="2942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5595" cy="2942590"/>
                    </a:xfrm>
                    <a:prstGeom prst="rect">
                      <a:avLst/>
                    </a:prstGeom>
                    <a:noFill/>
                    <a:ln>
                      <a:noFill/>
                    </a:ln>
                  </pic:spPr>
                </pic:pic>
              </a:graphicData>
            </a:graphic>
          </wp:inline>
        </w:drawing>
      </w:r>
    </w:p>
    <w:p w14:paraId="63615170" w14:textId="77777777" w:rsidR="00D42B04" w:rsidRPr="00D42B04" w:rsidRDefault="00D42B04" w:rsidP="00D42B04">
      <w:pPr>
        <w:spacing w:before="120" w:after="200"/>
        <w:jc w:val="both"/>
        <w:rPr>
          <w:rFonts w:ascii="Cambria" w:eastAsia="Calibri" w:hAnsi="Cambria" w:cs="Arial"/>
          <w:i/>
          <w:iCs/>
          <w:color w:val="44546A"/>
          <w:sz w:val="18"/>
          <w:szCs w:val="18"/>
        </w:rPr>
      </w:pPr>
      <w:bookmarkStart w:id="179" w:name="_Toc93432790"/>
      <w:bookmarkStart w:id="180" w:name="_Toc104211904"/>
      <w:r w:rsidRPr="00D42B04">
        <w:rPr>
          <w:rFonts w:ascii="Cambria" w:eastAsia="Calibri" w:hAnsi="Cambria" w:cs="Arial"/>
          <w:i/>
          <w:iCs/>
          <w:color w:val="44546A"/>
          <w:sz w:val="18"/>
          <w:szCs w:val="18"/>
        </w:rPr>
        <w:t xml:space="preserve">Obrázok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SEQ Obrázok \* ARABIC</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17</w:t>
      </w:r>
      <w:r w:rsidRPr="00D42B04">
        <w:rPr>
          <w:rFonts w:ascii="Cambria" w:eastAsia="Calibri" w:hAnsi="Cambria" w:cs="Arial"/>
          <w:i/>
          <w:iCs/>
          <w:color w:val="44546A"/>
          <w:sz w:val="18"/>
          <w:szCs w:val="18"/>
        </w:rPr>
        <w:fldChar w:fldCharType="end"/>
      </w:r>
      <w:r w:rsidRPr="00D42B04">
        <w:rPr>
          <w:rFonts w:ascii="Cambria" w:eastAsia="Calibri" w:hAnsi="Cambria" w:cs="Arial"/>
          <w:i/>
          <w:iCs/>
          <w:color w:val="44546A"/>
          <w:sz w:val="18"/>
          <w:szCs w:val="18"/>
        </w:rPr>
        <w:t>: Časový plán projektu</w:t>
      </w:r>
      <w:bookmarkEnd w:id="179"/>
      <w:bookmarkEnd w:id="180"/>
    </w:p>
    <w:p w14:paraId="277E3298"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Projekt je rozdelený do piatich fáz (dropov):</w:t>
      </w:r>
    </w:p>
    <w:tbl>
      <w:tblPr>
        <w:tblStyle w:val="GridTable4-Accent52"/>
        <w:tblW w:w="0" w:type="auto"/>
        <w:tblLook w:val="04A0" w:firstRow="1" w:lastRow="0" w:firstColumn="1" w:lastColumn="0" w:noHBand="0" w:noVBand="1"/>
      </w:tblPr>
      <w:tblGrid>
        <w:gridCol w:w="698"/>
        <w:gridCol w:w="5960"/>
        <w:gridCol w:w="1829"/>
      </w:tblGrid>
      <w:tr w:rsidR="00D42B04" w:rsidRPr="00D42B04" w14:paraId="10E8059B"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98" w:type="dxa"/>
          </w:tcPr>
          <w:p w14:paraId="2F67C331" w14:textId="77777777" w:rsidR="00D42B04" w:rsidRPr="00D42B04" w:rsidRDefault="00D42B04" w:rsidP="00D42B04">
            <w:pPr>
              <w:keepNext/>
              <w:spacing w:before="120" w:after="120"/>
              <w:jc w:val="both"/>
              <w:rPr>
                <w:rFonts w:ascii="Cambria" w:hAnsi="Cambria"/>
                <w:sz w:val="20"/>
                <w:szCs w:val="20"/>
              </w:rPr>
            </w:pPr>
            <w:r w:rsidRPr="00D42B04">
              <w:rPr>
                <w:rFonts w:ascii="Cambria" w:hAnsi="Cambria"/>
                <w:sz w:val="20"/>
                <w:szCs w:val="20"/>
              </w:rPr>
              <w:t>Fáza</w:t>
            </w:r>
          </w:p>
        </w:tc>
        <w:tc>
          <w:tcPr>
            <w:tcW w:w="5960" w:type="dxa"/>
          </w:tcPr>
          <w:p w14:paraId="3AB7FDB3"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Popis</w:t>
            </w:r>
          </w:p>
        </w:tc>
        <w:tc>
          <w:tcPr>
            <w:tcW w:w="1829" w:type="dxa"/>
          </w:tcPr>
          <w:p w14:paraId="3F8CA022"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 xml:space="preserve">Platobný rozsah (z investičnej ceny implementácie  celého diela)  </w:t>
            </w:r>
          </w:p>
        </w:tc>
      </w:tr>
      <w:tr w:rsidR="00D42B04" w:rsidRPr="00D42B04" w14:paraId="09CD4F59"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302BC933"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1</w:t>
            </w:r>
          </w:p>
        </w:tc>
        <w:tc>
          <w:tcPr>
            <w:tcW w:w="5960" w:type="dxa"/>
          </w:tcPr>
          <w:p w14:paraId="1AD284B8" w14:textId="77777777" w:rsidR="00D42B04" w:rsidRPr="00D42B04" w:rsidRDefault="00D42B04" w:rsidP="00D42B04">
            <w:pPr>
              <w:numPr>
                <w:ilvl w:val="0"/>
                <w:numId w:val="105"/>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Nastavenie relačnej časti DWH, príprava infraštruktúry, technických používateľov</w:t>
            </w:r>
          </w:p>
          <w:p w14:paraId="193A3C7F" w14:textId="77777777" w:rsidR="00D42B04" w:rsidRPr="00D42B04" w:rsidRDefault="00D42B04" w:rsidP="00D42B04">
            <w:pPr>
              <w:numPr>
                <w:ilvl w:val="0"/>
                <w:numId w:val="105"/>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Integrácia zdrojových systémov pre 1. fázu pre relačnú časť DWH</w:t>
            </w:r>
          </w:p>
          <w:p w14:paraId="6A2F89B5" w14:textId="77777777" w:rsidR="00D42B04" w:rsidRPr="00D42B04" w:rsidRDefault="00D42B04" w:rsidP="00D42B04">
            <w:pPr>
              <w:numPr>
                <w:ilvl w:val="0"/>
                <w:numId w:val="105"/>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modelu DWH transakčnej vrstvy (L1)</w:t>
            </w:r>
          </w:p>
          <w:p w14:paraId="3CC2E016" w14:textId="77777777" w:rsidR="00D42B04" w:rsidRPr="00D42B04" w:rsidRDefault="00D42B04" w:rsidP="00D42B04">
            <w:pPr>
              <w:numPr>
                <w:ilvl w:val="0"/>
                <w:numId w:val="105"/>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 xml:space="preserve">Inštalácia frameworkov (Ingestion, Workflow manager, Security, Dátová retencia), ich úvodné nastavenie a odsúhlasenie ich funkcionalít </w:t>
            </w:r>
          </w:p>
        </w:tc>
        <w:tc>
          <w:tcPr>
            <w:tcW w:w="1829" w:type="dxa"/>
          </w:tcPr>
          <w:p w14:paraId="1B1B851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16 %</w:t>
            </w:r>
          </w:p>
        </w:tc>
      </w:tr>
      <w:tr w:rsidR="00D42B04" w:rsidRPr="00D42B04" w14:paraId="4C6CE423"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698" w:type="dxa"/>
          </w:tcPr>
          <w:p w14:paraId="2469BF35"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2</w:t>
            </w:r>
          </w:p>
        </w:tc>
        <w:tc>
          <w:tcPr>
            <w:tcW w:w="5960" w:type="dxa"/>
          </w:tcPr>
          <w:p w14:paraId="07D91EBD"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Integrácia zdrojových systémov pre 2. fázu</w:t>
            </w:r>
          </w:p>
          <w:p w14:paraId="2F7CDAE7"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modelu DWH transakčnej vrstvy (L1)</w:t>
            </w:r>
          </w:p>
          <w:p w14:paraId="63E6AA21"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prezentačnej vrstvy relačnej časti (L2)</w:t>
            </w:r>
          </w:p>
          <w:p w14:paraId="2319A881"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OUT vrstvy</w:t>
            </w:r>
          </w:p>
          <w:p w14:paraId="2A6221A6"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Nastavenie DataLake časti DWH, príprava infraštruktúry, technických používateľov, inštalácia BigData komponentov</w:t>
            </w:r>
          </w:p>
          <w:p w14:paraId="11B1AD68" w14:textId="77777777" w:rsidR="00D42B04" w:rsidRPr="00D42B04" w:rsidRDefault="00D42B04" w:rsidP="00D42B04">
            <w:pPr>
              <w:numPr>
                <w:ilvl w:val="0"/>
                <w:numId w:val="106"/>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Inštalácia frameworkov (Manuálne vstupy, RDM, Test framework, Data Quality framework)</w:t>
            </w:r>
          </w:p>
        </w:tc>
        <w:tc>
          <w:tcPr>
            <w:tcW w:w="1829" w:type="dxa"/>
          </w:tcPr>
          <w:p w14:paraId="685628EC"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24 %</w:t>
            </w:r>
          </w:p>
        </w:tc>
      </w:tr>
      <w:tr w:rsidR="00D42B04" w:rsidRPr="00D42B04" w14:paraId="171E8FDD"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0878FCF8"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3</w:t>
            </w:r>
          </w:p>
        </w:tc>
        <w:tc>
          <w:tcPr>
            <w:tcW w:w="5960" w:type="dxa"/>
          </w:tcPr>
          <w:p w14:paraId="248D58F0"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Integrácia zdrojových systémov pre 3. fázu</w:t>
            </w:r>
          </w:p>
          <w:p w14:paraId="5D99B46B"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modelu DWH transakčnej vrstvy (L1)</w:t>
            </w:r>
          </w:p>
          <w:p w14:paraId="6CAB66C7"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prezentačnej vrstvy relačnej časti (L2) a príprava Datamartov a Reportov</w:t>
            </w:r>
          </w:p>
          <w:p w14:paraId="0692CE71"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OUT vrstvy</w:t>
            </w:r>
          </w:p>
          <w:p w14:paraId="49067920"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Implementácia DataLake časti (nábeh do produkcie)</w:t>
            </w:r>
          </w:p>
          <w:p w14:paraId="1861A3AF" w14:textId="77777777" w:rsidR="00D42B04" w:rsidRPr="00D42B04" w:rsidRDefault="00D42B04" w:rsidP="00D42B04">
            <w:pPr>
              <w:numPr>
                <w:ilvl w:val="0"/>
                <w:numId w:val="107"/>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Inštalácia frameworku – Metadata Management (InfoHUB)</w:t>
            </w:r>
          </w:p>
        </w:tc>
        <w:tc>
          <w:tcPr>
            <w:tcW w:w="1829" w:type="dxa"/>
          </w:tcPr>
          <w:p w14:paraId="74D128F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29 %</w:t>
            </w:r>
          </w:p>
        </w:tc>
      </w:tr>
      <w:tr w:rsidR="00D42B04" w:rsidRPr="00D42B04" w14:paraId="1F9E5E7A"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698" w:type="dxa"/>
          </w:tcPr>
          <w:p w14:paraId="0A81C0DE"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lastRenderedPageBreak/>
              <w:t>4</w:t>
            </w:r>
          </w:p>
        </w:tc>
        <w:tc>
          <w:tcPr>
            <w:tcW w:w="5960" w:type="dxa"/>
          </w:tcPr>
          <w:p w14:paraId="2ED0C53D" w14:textId="77777777" w:rsidR="00D42B04" w:rsidRPr="00D42B04" w:rsidRDefault="00D42B04" w:rsidP="00D42B04">
            <w:pPr>
              <w:numPr>
                <w:ilvl w:val="0"/>
                <w:numId w:val="108"/>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Integrácia zdrojových systémov pre 4. fázu</w:t>
            </w:r>
          </w:p>
          <w:p w14:paraId="1A2B7EAB" w14:textId="77777777" w:rsidR="00D42B04" w:rsidRPr="00D42B04" w:rsidRDefault="00D42B04" w:rsidP="00D42B04">
            <w:pPr>
              <w:numPr>
                <w:ilvl w:val="0"/>
                <w:numId w:val="108"/>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modelu DWH transakčnej vrstvy (L1)</w:t>
            </w:r>
          </w:p>
          <w:p w14:paraId="11A720DE" w14:textId="77777777" w:rsidR="00D42B04" w:rsidRPr="00D42B04" w:rsidRDefault="00D42B04" w:rsidP="00D42B04">
            <w:pPr>
              <w:numPr>
                <w:ilvl w:val="0"/>
                <w:numId w:val="108"/>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Návrh a implementácia prezentačnej vrstva relačnej časti (L2) a príprava Datamartov a Reportov</w:t>
            </w:r>
          </w:p>
          <w:p w14:paraId="53A4A7B5" w14:textId="77777777" w:rsidR="00D42B04" w:rsidRPr="00D42B04" w:rsidRDefault="00D42B04" w:rsidP="00D42B04">
            <w:pPr>
              <w:numPr>
                <w:ilvl w:val="0"/>
                <w:numId w:val="108"/>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Implementácia DataDiscovery infraštruktúry na DataLake</w:t>
            </w:r>
          </w:p>
          <w:p w14:paraId="6EC2BA65" w14:textId="77777777" w:rsidR="00D42B04" w:rsidRPr="00D42B04" w:rsidRDefault="00D42B04" w:rsidP="00D42B04">
            <w:pPr>
              <w:numPr>
                <w:ilvl w:val="0"/>
                <w:numId w:val="108"/>
              </w:numPr>
              <w:spacing w:before="120" w:after="120" w:line="240" w:lineRule="atLeast"/>
              <w:ind w:left="457"/>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Vytvorenie Sand boxov pre power-userov</w:t>
            </w:r>
          </w:p>
        </w:tc>
        <w:tc>
          <w:tcPr>
            <w:tcW w:w="1829" w:type="dxa"/>
          </w:tcPr>
          <w:p w14:paraId="3F75A74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42B04">
              <w:rPr>
                <w:rFonts w:ascii="Cambria" w:hAnsi="Cambria"/>
                <w:sz w:val="20"/>
                <w:szCs w:val="20"/>
              </w:rPr>
              <w:t>19 %</w:t>
            </w:r>
          </w:p>
        </w:tc>
      </w:tr>
      <w:tr w:rsidR="00D42B04" w:rsidRPr="00D42B04" w14:paraId="3FF02925"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199B3D72" w14:textId="77777777" w:rsidR="00D42B04" w:rsidRPr="00D42B04" w:rsidRDefault="00D42B04" w:rsidP="00D42B04">
            <w:pPr>
              <w:spacing w:before="120" w:after="120"/>
              <w:jc w:val="both"/>
              <w:rPr>
                <w:rFonts w:ascii="Cambria" w:hAnsi="Cambria"/>
                <w:sz w:val="20"/>
                <w:szCs w:val="20"/>
              </w:rPr>
            </w:pPr>
            <w:r w:rsidRPr="00D42B04">
              <w:rPr>
                <w:rFonts w:ascii="Cambria" w:hAnsi="Cambria"/>
                <w:sz w:val="20"/>
                <w:szCs w:val="20"/>
              </w:rPr>
              <w:t>5</w:t>
            </w:r>
          </w:p>
        </w:tc>
        <w:tc>
          <w:tcPr>
            <w:tcW w:w="5960" w:type="dxa"/>
          </w:tcPr>
          <w:p w14:paraId="7391110F" w14:textId="77777777" w:rsidR="00D42B04" w:rsidRPr="00D42B04" w:rsidRDefault="00D42B04" w:rsidP="00D42B04">
            <w:pPr>
              <w:numPr>
                <w:ilvl w:val="0"/>
                <w:numId w:val="109"/>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Integrácia zdrojových systémov pre 5. fázu</w:t>
            </w:r>
          </w:p>
          <w:p w14:paraId="1F4853B4" w14:textId="77777777" w:rsidR="00D42B04" w:rsidRPr="00D42B04" w:rsidRDefault="00D42B04" w:rsidP="00D42B04">
            <w:pPr>
              <w:numPr>
                <w:ilvl w:val="0"/>
                <w:numId w:val="109"/>
              </w:numPr>
              <w:spacing w:before="120" w:after="120" w:line="240" w:lineRule="atLeast"/>
              <w:ind w:left="457"/>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Tvorba prezentačnej vrstva relačnej časti (L2) a príprava Datamartov a Reportov</w:t>
            </w:r>
          </w:p>
        </w:tc>
        <w:tc>
          <w:tcPr>
            <w:tcW w:w="1829" w:type="dxa"/>
          </w:tcPr>
          <w:p w14:paraId="34BFDF8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42B04">
              <w:rPr>
                <w:rFonts w:ascii="Cambria" w:hAnsi="Cambria"/>
                <w:sz w:val="20"/>
                <w:szCs w:val="20"/>
              </w:rPr>
              <w:t>12 %</w:t>
            </w:r>
          </w:p>
        </w:tc>
      </w:tr>
    </w:tbl>
    <w:p w14:paraId="7B67531E"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25</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xml:space="preserve"> Projektové fázy a finančné rozdelenie</w:t>
      </w:r>
    </w:p>
    <w:p w14:paraId="45ECAE9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Toto rozdelenie je za týchto podmienok:</w:t>
      </w:r>
    </w:p>
    <w:p w14:paraId="23F1D681" w14:textId="77777777" w:rsidR="00D42B04" w:rsidRPr="00D42B04" w:rsidRDefault="00D42B04" w:rsidP="00D42B04">
      <w:pPr>
        <w:numPr>
          <w:ilvl w:val="0"/>
          <w:numId w:val="9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Každá fáza obsahuje svoje časti Analýza, Design,  Implementácia, Nábeh do produkcie, Produkcia, t. j. každá fáza bude implementovaná inkrementálne a postupne. Bude mať produkčný nábeh a biznisový výstup pre NBS používateľov. Očakávame, že jednotlivé systémy sa budú zapájať postupne a postupne testovať.</w:t>
      </w:r>
    </w:p>
    <w:p w14:paraId="0FBEE6F0" w14:textId="77777777" w:rsidR="00D42B04" w:rsidRPr="00D42B04" w:rsidRDefault="00D42B04" w:rsidP="00D42B04">
      <w:pPr>
        <w:numPr>
          <w:ilvl w:val="0"/>
          <w:numId w:val="9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Druhá fáza bude môcť začať až keď skončí prvá fáza, ostatné môžu mať (čiastočne) paralelný súbeh a môžu začať aj pred ukončením akceptácie predchádzajúcich fáz.</w:t>
      </w:r>
    </w:p>
    <w:p w14:paraId="29AE3106"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V tomto bode je požadované aby vybratý uchádzač riešil:</w:t>
      </w:r>
    </w:p>
    <w:p w14:paraId="1A9B70A0"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celkovej dodávky riešenia v rozsahu, ktorý je popísaný v tomto dokumente.</w:t>
      </w:r>
    </w:p>
    <w:p w14:paraId="583C5B80"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Vypracovanie detailného projektového plánu na začiatku projektu a jeho ďalšia aktualizácia po celú dĺžku trvania projektu.</w:t>
      </w:r>
    </w:p>
    <w:p w14:paraId="1E8F323E"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Pravidelný reporting o stave projektu pre riadiace orgány projektu s frekvenciou podľa požiadaviek objednávateľa.</w:t>
      </w:r>
    </w:p>
    <w:p w14:paraId="768727D9"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Zabezpečenie a organizácia zdrojov projektu na strane zhotoviteľa a poskytovanie súčinnosti vedeniu projektu na strane banky.</w:t>
      </w:r>
    </w:p>
    <w:p w14:paraId="3A1099EE"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Manažovanie projektových závislostí a rizík a organizovanie aktivít na ich predchádzanie a riešenie na strane zhotoviteľa.</w:t>
      </w:r>
    </w:p>
    <w:p w14:paraId="29EE2118" w14:textId="77777777" w:rsidR="00D42B04" w:rsidRPr="00D42B04" w:rsidRDefault="00D42B04" w:rsidP="00D42B04">
      <w:pPr>
        <w:numPr>
          <w:ilvl w:val="0"/>
          <w:numId w:val="9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Príprava a predkladanie špecifických výstupov riadenia projektu, ako sú  status prezentácie, prezentácie pre riadiacu radu projektu, projektové plány, žurnál projektových rizík a incidentov (risk log/issue log)</w:t>
      </w:r>
    </w:p>
    <w:p w14:paraId="2F786332"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81" w:name="_Toc110518804"/>
      <w:r w:rsidRPr="00D42B04">
        <w:rPr>
          <w:rFonts w:ascii="Cambria" w:eastAsia="Yu Gothic Light" w:hAnsi="Cambria"/>
          <w:b/>
          <w:bCs/>
          <w:color w:val="2F5496"/>
          <w:szCs w:val="24"/>
        </w:rPr>
        <w:t>Požadované výstupy projektu</w:t>
      </w:r>
      <w:bookmarkEnd w:id="181"/>
      <w:r w:rsidRPr="00D42B04">
        <w:rPr>
          <w:rFonts w:ascii="Cambria" w:eastAsia="Yu Gothic Light" w:hAnsi="Cambria"/>
          <w:b/>
          <w:bCs/>
          <w:color w:val="2F5496"/>
          <w:szCs w:val="24"/>
        </w:rPr>
        <w:t xml:space="preserve"> </w:t>
      </w:r>
    </w:p>
    <w:p w14:paraId="388247F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Nasledujúce kapitoly obsahujú minimálny zoznam dodaných projektových výstupov v jednotlivých častiach projektu.</w:t>
      </w:r>
    </w:p>
    <w:p w14:paraId="790F7730"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Analýza</w:t>
      </w:r>
    </w:p>
    <w:p w14:paraId="615C6FE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Najvyšším cieľom tejto fázy je získať jednotný názor medzi všetkými účastníkmi projektu na ciele životného cyklu projektu. Preto je táto fáza kritická pre každý projekt, pretože rozsah následných prác, high-level požiadavky a dôležité riziká musia byť pochopené, kým projekt môže pokračovať.</w:t>
      </w:r>
    </w:p>
    <w:p w14:paraId="323F1BA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 tejto fáze projektu sú systematicky zbierané požiadavky biznisu na cieľové riešenie a je vykonaná ich prioritizácia. Vo fáze analýzy sú typicky vedené analytické interview s užívateľmi a workshopy, na ktorých sú zisťované, triedené (klasifikované) a overované jednotlivé požiadavky používateľov na dátový sklad, posudzovaná ich realizovateľnosť v IT prostredí NBS a vzťah k iným existujúcim systémom, pričom sú jednotlivé požiadavky popísané vo forme používateľských scenárov (use cases), tak aby jednoznačne reprezentovali a interpretovali ich požiadavky.</w:t>
      </w:r>
    </w:p>
    <w:tbl>
      <w:tblPr>
        <w:tblStyle w:val="GridTable4-Accent52"/>
        <w:tblW w:w="0" w:type="auto"/>
        <w:tblLook w:val="04A0" w:firstRow="1" w:lastRow="0" w:firstColumn="1" w:lastColumn="0" w:noHBand="0" w:noVBand="1"/>
      </w:tblPr>
      <w:tblGrid>
        <w:gridCol w:w="2547"/>
        <w:gridCol w:w="1134"/>
        <w:gridCol w:w="4806"/>
      </w:tblGrid>
      <w:tr w:rsidR="00D42B04" w:rsidRPr="00D42B04" w14:paraId="53615016" w14:textId="77777777" w:rsidTr="00D42B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3A1400B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lastRenderedPageBreak/>
              <w:t>Výstup</w:t>
            </w:r>
          </w:p>
        </w:tc>
        <w:tc>
          <w:tcPr>
            <w:tcW w:w="1134" w:type="dxa"/>
          </w:tcPr>
          <w:p w14:paraId="2C6BAD9E" w14:textId="77777777" w:rsidR="00D42B04" w:rsidRPr="00D42B04" w:rsidRDefault="00D42B04" w:rsidP="00D42B04">
            <w:pPr>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Formát</w:t>
            </w:r>
          </w:p>
        </w:tc>
        <w:tc>
          <w:tcPr>
            <w:tcW w:w="4806" w:type="dxa"/>
          </w:tcPr>
          <w:p w14:paraId="39F05107"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Popis</w:t>
            </w:r>
          </w:p>
        </w:tc>
      </w:tr>
      <w:tr w:rsidR="00D42B04" w:rsidRPr="00D42B04" w14:paraId="35F589D4"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4A2DF6"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Špecifikácia požiadaviek</w:t>
            </w:r>
          </w:p>
          <w:p w14:paraId="53D22BA1"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w:t>
            </w:r>
            <w:r w:rsidRPr="00D42B04">
              <w:rPr>
                <w:rFonts w:ascii="Cambria" w:hAnsi="Cambria"/>
                <w:sz w:val="16"/>
                <w:szCs w:val="16"/>
                <w:lang w:val="en-US"/>
              </w:rPr>
              <w:t>Requirements Traceability Matrix</w:t>
            </w:r>
            <w:r w:rsidRPr="00D42B04">
              <w:rPr>
                <w:rFonts w:ascii="Cambria" w:hAnsi="Cambria"/>
                <w:sz w:val="16"/>
                <w:szCs w:val="16"/>
              </w:rPr>
              <w:t>)</w:t>
            </w:r>
          </w:p>
        </w:tc>
        <w:tc>
          <w:tcPr>
            <w:tcW w:w="1134" w:type="dxa"/>
          </w:tcPr>
          <w:p w14:paraId="40E0A398"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04F0CB79"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(XLSX)</w:t>
            </w:r>
          </w:p>
        </w:tc>
        <w:tc>
          <w:tcPr>
            <w:tcW w:w="4806" w:type="dxa"/>
          </w:tcPr>
          <w:p w14:paraId="24BA9ED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Tabuľka priorít projektu, ktorá sumárne popisuje dohodnutý rozsah spôsobom „Must“, „Should“, „Could“, „Won‘t“. </w:t>
            </w:r>
          </w:p>
          <w:p w14:paraId="266CC60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Tabuľka definuje priority a hlavné ciele.</w:t>
            </w:r>
          </w:p>
        </w:tc>
      </w:tr>
      <w:tr w:rsidR="00D42B04" w:rsidRPr="00D42B04" w14:paraId="64A91F81" w14:textId="77777777" w:rsidTr="000C3B41">
        <w:tc>
          <w:tcPr>
            <w:cnfStyle w:val="001000000000" w:firstRow="0" w:lastRow="0" w:firstColumn="1" w:lastColumn="0" w:oddVBand="0" w:evenVBand="0" w:oddHBand="0" w:evenHBand="0" w:firstRowFirstColumn="0" w:firstRowLastColumn="0" w:lastRowFirstColumn="0" w:lastRowLastColumn="0"/>
            <w:tcW w:w="2547" w:type="dxa"/>
          </w:tcPr>
          <w:p w14:paraId="27B565F4"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Opis Architektúry</w:t>
            </w:r>
          </w:p>
          <w:p w14:paraId="7515169B"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w:t>
            </w:r>
            <w:r w:rsidRPr="00D42B04">
              <w:rPr>
                <w:rFonts w:ascii="Cambria" w:hAnsi="Cambria"/>
                <w:sz w:val="16"/>
                <w:szCs w:val="16"/>
                <w:lang w:val="en-US"/>
              </w:rPr>
              <w:t>Project Blueprint</w:t>
            </w:r>
            <w:r w:rsidRPr="00D42B04">
              <w:rPr>
                <w:rFonts w:ascii="Cambria" w:hAnsi="Cambria"/>
                <w:sz w:val="16"/>
                <w:szCs w:val="16"/>
              </w:rPr>
              <w:t>)</w:t>
            </w:r>
          </w:p>
        </w:tc>
        <w:tc>
          <w:tcPr>
            <w:tcW w:w="1134" w:type="dxa"/>
          </w:tcPr>
          <w:p w14:paraId="451137C3"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40950CA1"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31125FB2"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 popisujúci architektúru a príslušné rozhrania v rámci implementácie riešenia, rovnako obsahujúci analýzu vplyvu implementácie projektu na NBS. Tento dokument môže byť predmetom aktualizácie v ďalších fázach projektu, ale iba v kontexte pridávania úrovne detailu. Dokument pokrýva detailné rozpracovanie nasledujúcich oblastí:</w:t>
            </w:r>
          </w:p>
          <w:p w14:paraId="28EDF606"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Návrh prostredí - vývojového, testovacieho a produkčného prostredia vrátane konfiguračného manažmentu:</w:t>
            </w:r>
          </w:p>
          <w:p w14:paraId="4C040D29" w14:textId="77777777" w:rsidR="00D42B04" w:rsidRPr="00D42B04" w:rsidRDefault="00D42B04" w:rsidP="00D42B04">
            <w:pPr>
              <w:numPr>
                <w:ilvl w:val="1"/>
                <w:numId w:val="68"/>
              </w:numPr>
              <w:spacing w:before="120" w:after="120" w:line="240" w:lineRule="atLeast"/>
              <w:ind w:left="744"/>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Logická architektúra riešenia (RDBMS, integračná platforma, API, toky dát, riadenie dátovej kvality, metadáta).</w:t>
            </w:r>
          </w:p>
          <w:p w14:paraId="5279B496" w14:textId="77777777" w:rsidR="00D42B04" w:rsidRPr="00D42B04" w:rsidRDefault="00D42B04" w:rsidP="00D42B04">
            <w:pPr>
              <w:numPr>
                <w:ilvl w:val="1"/>
                <w:numId w:val="68"/>
              </w:numPr>
              <w:spacing w:before="120" w:after="120" w:line="240" w:lineRule="atLeast"/>
              <w:ind w:left="744"/>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Fyzická architektúra riešenia, </w:t>
            </w:r>
          </w:p>
          <w:p w14:paraId="2211BE67" w14:textId="77777777" w:rsidR="00D42B04" w:rsidRPr="00D42B04" w:rsidRDefault="00D42B04" w:rsidP="00D42B04">
            <w:pPr>
              <w:numPr>
                <w:ilvl w:val="1"/>
                <w:numId w:val="68"/>
              </w:numPr>
              <w:spacing w:before="120" w:after="120" w:line="240" w:lineRule="atLeast"/>
              <w:ind w:left="744"/>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HW a SW architektúra, </w:t>
            </w:r>
          </w:p>
          <w:p w14:paraId="1DC23C14" w14:textId="77777777" w:rsidR="00D42B04" w:rsidRPr="00D42B04" w:rsidRDefault="00D42B04" w:rsidP="00D42B04">
            <w:pPr>
              <w:numPr>
                <w:ilvl w:val="1"/>
                <w:numId w:val="68"/>
              </w:numPr>
              <w:spacing w:before="120" w:after="120" w:line="240" w:lineRule="atLeast"/>
              <w:ind w:left="744"/>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Topológia riešenia (ETL architektúra a dátové toky pre DataLake/DWH/BI)</w:t>
            </w:r>
          </w:p>
          <w:p w14:paraId="3F8789C2"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Workflow management, monitoring a notifikácie</w:t>
            </w:r>
          </w:p>
          <w:p w14:paraId="4DBC9DAF"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Požiadavky na dostupnosť (</w:t>
            </w:r>
            <w:r w:rsidRPr="00D42B04">
              <w:rPr>
                <w:rFonts w:ascii="Cambria" w:hAnsi="Cambria"/>
                <w:sz w:val="16"/>
                <w:szCs w:val="16"/>
                <w:lang w:val="en-US"/>
              </w:rPr>
              <w:t>service level expectations</w:t>
            </w:r>
            <w:r w:rsidRPr="00D42B04">
              <w:rPr>
                <w:rFonts w:ascii="Cambria" w:hAnsi="Cambria"/>
                <w:sz w:val="16"/>
                <w:szCs w:val="16"/>
              </w:rPr>
              <w:t>).</w:t>
            </w:r>
          </w:p>
          <w:p w14:paraId="57FA23FB"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lang w:val="en-US"/>
              </w:rPr>
              <w:t>High availability</w:t>
            </w:r>
            <w:r w:rsidRPr="00D42B04">
              <w:rPr>
                <w:rFonts w:ascii="Cambria" w:hAnsi="Cambria"/>
                <w:sz w:val="16"/>
                <w:szCs w:val="16"/>
              </w:rPr>
              <w:t xml:space="preserve"> stratégia.</w:t>
            </w:r>
          </w:p>
          <w:p w14:paraId="3243331E"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lang w:val="en-US"/>
              </w:rPr>
              <w:t>Back-up a recovery</w:t>
            </w:r>
            <w:r w:rsidRPr="00D42B04">
              <w:rPr>
                <w:rFonts w:ascii="Cambria" w:hAnsi="Cambria"/>
                <w:sz w:val="16"/>
                <w:szCs w:val="16"/>
              </w:rPr>
              <w:t xml:space="preserve"> procesy.</w:t>
            </w:r>
          </w:p>
          <w:p w14:paraId="570CE50E"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Stratégia historizácie a archivácie dát.</w:t>
            </w:r>
          </w:p>
          <w:p w14:paraId="24BC3E27"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Skupiny používateľov, prístup k bezpečnosti dát (matica a riadenie prístupových práv)</w:t>
            </w:r>
          </w:p>
        </w:tc>
      </w:tr>
      <w:tr w:rsidR="00D42B04" w:rsidRPr="00D42B04" w14:paraId="461481DD"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72A80B0"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Analýza zdrojových systémov</w:t>
            </w:r>
          </w:p>
          <w:p w14:paraId="4497BE3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 xml:space="preserve">(Interface </w:t>
            </w:r>
            <w:r w:rsidRPr="00D42B04">
              <w:rPr>
                <w:rFonts w:ascii="Cambria" w:hAnsi="Cambria"/>
                <w:sz w:val="16"/>
                <w:szCs w:val="16"/>
                <w:lang w:val="en-US"/>
              </w:rPr>
              <w:t>Agreement</w:t>
            </w:r>
            <w:r w:rsidRPr="00D42B04">
              <w:rPr>
                <w:rFonts w:ascii="Cambria" w:hAnsi="Cambria"/>
                <w:sz w:val="16"/>
                <w:szCs w:val="16"/>
              </w:rPr>
              <w:t>)</w:t>
            </w:r>
          </w:p>
        </w:tc>
        <w:tc>
          <w:tcPr>
            <w:tcW w:w="1134" w:type="dxa"/>
          </w:tcPr>
          <w:p w14:paraId="0C687157"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1DD0BCAC"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(XLSX)</w:t>
            </w:r>
          </w:p>
        </w:tc>
        <w:tc>
          <w:tcPr>
            <w:tcW w:w="4806" w:type="dxa"/>
          </w:tcPr>
          <w:p w14:paraId="6BE2D07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Analýza zdrojových systémov definuje (popisuje) hlavný komunikačné cesty zo zdrojových systémov do DWH. Dokument taktiež popisuje základný subjektový model zdrojového systému.</w:t>
            </w:r>
          </w:p>
          <w:p w14:paraId="7763ADE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Template pre IA dodá NBS OIT.</w:t>
            </w:r>
          </w:p>
        </w:tc>
      </w:tr>
      <w:tr w:rsidR="00D42B04" w:rsidRPr="00D42B04" w14:paraId="3E031DE4" w14:textId="77777777" w:rsidTr="000C3B41">
        <w:tc>
          <w:tcPr>
            <w:cnfStyle w:val="001000000000" w:firstRow="0" w:lastRow="0" w:firstColumn="1" w:lastColumn="0" w:oddVBand="0" w:evenVBand="0" w:oddHBand="0" w:evenHBand="0" w:firstRowFirstColumn="0" w:firstRowLastColumn="0" w:lastRowFirstColumn="0" w:lastRowLastColumn="0"/>
            <w:tcW w:w="2547" w:type="dxa"/>
          </w:tcPr>
          <w:p w14:paraId="1BC6E59C"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Dokumentácia k testovaniu</w:t>
            </w:r>
          </w:p>
        </w:tc>
        <w:tc>
          <w:tcPr>
            <w:tcW w:w="1134" w:type="dxa"/>
          </w:tcPr>
          <w:p w14:paraId="386361D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57AD82F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 XLSX)</w:t>
            </w:r>
          </w:p>
        </w:tc>
        <w:tc>
          <w:tcPr>
            <w:tcW w:w="4806" w:type="dxa"/>
          </w:tcPr>
          <w:p w14:paraId="368551D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Dokumentácia musí obsahovať nasledovné časti:</w:t>
            </w:r>
          </w:p>
          <w:p w14:paraId="33A1430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Prístup k testovaniu</w:t>
            </w:r>
          </w:p>
          <w:p w14:paraId="4C94430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Testovací plán</w:t>
            </w:r>
          </w:p>
          <w:p w14:paraId="6EDCFA5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Testovacie scenáre</w:t>
            </w:r>
          </w:p>
          <w:p w14:paraId="2E7D241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Akceptačné kritériá pre testovanie</w:t>
            </w:r>
          </w:p>
          <w:p w14:paraId="11DF4913" w14:textId="77777777" w:rsidR="00D42B04" w:rsidRPr="00D42B04" w:rsidRDefault="00D42B04" w:rsidP="00D42B0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bl>
    <w:p w14:paraId="189E9251"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26</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výstupov fázy Analýza</w:t>
      </w:r>
    </w:p>
    <w:p w14:paraId="165FE2C7"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lastRenderedPageBreak/>
        <w:t>Dizajn</w:t>
      </w:r>
    </w:p>
    <w:p w14:paraId="778BAC5B"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Táto fáza do detailu rozpracováva výstupy predchádzajúcej projektovej fáze, t. j. do detailu popisuje funkčné a nefunkčné požiadavky na riešenie. Jej obsahom sú tieto oblasti (výstupy):</w:t>
      </w:r>
    </w:p>
    <w:tbl>
      <w:tblPr>
        <w:tblStyle w:val="GridTable4-Accent52"/>
        <w:tblW w:w="0" w:type="auto"/>
        <w:tblLook w:val="04A0" w:firstRow="1" w:lastRow="0" w:firstColumn="1" w:lastColumn="0" w:noHBand="0" w:noVBand="1"/>
      </w:tblPr>
      <w:tblGrid>
        <w:gridCol w:w="2547"/>
        <w:gridCol w:w="1134"/>
        <w:gridCol w:w="4806"/>
      </w:tblGrid>
      <w:tr w:rsidR="00D42B04" w:rsidRPr="00D42B04" w14:paraId="6FD42B4D"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47" w:type="dxa"/>
          </w:tcPr>
          <w:p w14:paraId="4460048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Výstup</w:t>
            </w:r>
          </w:p>
        </w:tc>
        <w:tc>
          <w:tcPr>
            <w:tcW w:w="1134" w:type="dxa"/>
          </w:tcPr>
          <w:p w14:paraId="3299ED55" w14:textId="77777777" w:rsidR="00D42B04" w:rsidRPr="00D42B04" w:rsidRDefault="00D42B04" w:rsidP="00D42B04">
            <w:pPr>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Formát</w:t>
            </w:r>
          </w:p>
        </w:tc>
        <w:tc>
          <w:tcPr>
            <w:tcW w:w="4806" w:type="dxa"/>
          </w:tcPr>
          <w:p w14:paraId="5632A441"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Popis</w:t>
            </w:r>
          </w:p>
        </w:tc>
      </w:tr>
      <w:tr w:rsidR="00D42B04" w:rsidRPr="00D42B04" w14:paraId="1FB2512B"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398E1312" w14:textId="77777777" w:rsidR="00D42B04" w:rsidRPr="00D42B04" w:rsidRDefault="00D42B04" w:rsidP="00D42B04">
            <w:pPr>
              <w:spacing w:before="120" w:after="120"/>
              <w:rPr>
                <w:rFonts w:ascii="Cambria" w:hAnsi="Cambria"/>
                <w:sz w:val="16"/>
                <w:szCs w:val="16"/>
              </w:rPr>
            </w:pPr>
            <w:r w:rsidRPr="00D42B04">
              <w:rPr>
                <w:rFonts w:ascii="Cambria" w:hAnsi="Cambria"/>
                <w:i/>
                <w:iCs/>
                <w:sz w:val="16"/>
                <w:szCs w:val="16"/>
              </w:rPr>
              <w:t>Návrh akvizície a konverzie dát</w:t>
            </w:r>
          </w:p>
          <w:p w14:paraId="1A7E7B2C"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(Interface Agreement)</w:t>
            </w:r>
          </w:p>
        </w:tc>
        <w:tc>
          <w:tcPr>
            <w:tcW w:w="1134" w:type="dxa"/>
          </w:tcPr>
          <w:p w14:paraId="01481477"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4545C5A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(XLSX)</w:t>
            </w:r>
          </w:p>
        </w:tc>
        <w:tc>
          <w:tcPr>
            <w:tcW w:w="4806" w:type="dxa"/>
          </w:tcPr>
          <w:p w14:paraId="20BCD996" w14:textId="77777777" w:rsidR="00D42B04" w:rsidRPr="00D42B04" w:rsidRDefault="00D42B04" w:rsidP="00D42B04">
            <w:pPr>
              <w:spacing w:before="120" w:after="120" w:line="240" w:lineRule="atLeast"/>
              <w:ind w:left="4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Doplnenie dokumentov z fázy Analýzy o:</w:t>
            </w:r>
          </w:p>
          <w:p w14:paraId="07F411BC"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Rozhrania zdrojových a cieľových systémov, pre každý systém špecifikácia rozhrania, typu (text file, db link, API, service access atď.), typu aktualizácie (full vs. prírastkový), frekvencie aktualizácie (on-line, batch, frekvencia) a obsahu.</w:t>
            </w:r>
          </w:p>
          <w:p w14:paraId="3958FC4A"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Architektúra dátových tokov, vrátane zoznamu a detailného popisu dátových tokov a frekvencie, závislostí, detailný návrh workflow a job scheduling managementu, vrátane notifikácie užívateľov o prebehnutej aktualizácii dát.</w:t>
            </w:r>
          </w:p>
          <w:p w14:paraId="25D3760E"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Inicializačný load, vrátane popisu zdrojových systémov, rozhraní, požadovaných a dostupných entít, požadovanej a dostupnej histórie, očakávaných objemov a prístupov automatizácie.</w:t>
            </w:r>
          </w:p>
          <w:p w14:paraId="3C64C264"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Data refresh strategy – detailný popis postupov aktualizácie dát vo všetkých vrstvách DWH a pre všetky typy dát (číselníky, dimenzie, fakty, odvodené atribúty atd.).</w:t>
            </w:r>
          </w:p>
          <w:p w14:paraId="00823EDD"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lang w:val="en-US"/>
              </w:rPr>
            </w:pPr>
            <w:r w:rsidRPr="00D42B04">
              <w:rPr>
                <w:rFonts w:ascii="Cambria" w:hAnsi="Cambria"/>
                <w:sz w:val="16"/>
                <w:szCs w:val="16"/>
              </w:rPr>
              <w:t xml:space="preserve">Procesy dátovej kvality pre </w:t>
            </w:r>
            <w:r w:rsidRPr="00D42B04">
              <w:rPr>
                <w:rFonts w:ascii="Cambria" w:hAnsi="Cambria"/>
                <w:sz w:val="16"/>
                <w:szCs w:val="16"/>
                <w:lang w:val="en-US"/>
              </w:rPr>
              <w:t>data acquisition – error handling, error notification, error recovery.</w:t>
            </w:r>
          </w:p>
        </w:tc>
      </w:tr>
      <w:tr w:rsidR="00D42B04" w:rsidRPr="00D42B04" w14:paraId="60BD4BE0"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16E0B0E5"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Funkčný detailný design – Logický model a mapovanie</w:t>
            </w:r>
          </w:p>
        </w:tc>
        <w:tc>
          <w:tcPr>
            <w:tcW w:w="1134" w:type="dxa"/>
          </w:tcPr>
          <w:p w14:paraId="44EF111A"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226FF4B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(DOCX;XLSX a EAP)</w:t>
            </w:r>
          </w:p>
        </w:tc>
        <w:tc>
          <w:tcPr>
            <w:tcW w:w="4806" w:type="dxa"/>
          </w:tcPr>
          <w:p w14:paraId="3C0BDF9B"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Definuje logický dátový model poskytujúci detailnú definíciu biznis dátového modelu. </w:t>
            </w:r>
          </w:p>
          <w:p w14:paraId="2E8E0FF5"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Obsahuje entity, atribúty, vzájomné vzťahy, domény, unikátne a alternatívne identifikátory. Atribúty a domény sú opísané formátmi, povolenými hodnotami alebo rozsahmi hodnôt.</w:t>
            </w:r>
          </w:p>
          <w:p w14:paraId="1B06EAE5"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Obsahuje identifikáciu citlivých a osobných údajov, taktiž definuje ochranu týchto údajov</w:t>
            </w:r>
          </w:p>
          <w:p w14:paraId="736E1234" w14:textId="77777777" w:rsidR="00D42B04" w:rsidRPr="00D42B04" w:rsidRDefault="00D42B04" w:rsidP="00D42B04">
            <w:pPr>
              <w:spacing w:before="120" w:after="120" w:line="240" w:lineRule="atLeast"/>
              <w:ind w:left="400" w:hanging="360"/>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Definuje hlavné predpoklady pre akvizíciu dát, mapovanie  medzi zdrojovými dátami a cieľovými objektmi logickej databázy, mapovacie pravidlá a logiku, ktoré sú potrebné na vytvorenie konverzií a rozhraní v rámci riešenia DWH. Účelom dokumentu je poskytnúť potrebné informácie pre vývojový tím na vytváranie správnej extrakčnej (load) a transformačnej logiky</w:t>
            </w:r>
          </w:p>
        </w:tc>
      </w:tr>
      <w:tr w:rsidR="00D42B04" w:rsidRPr="00D42B04" w14:paraId="1AA535ED"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5914BB4C"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Security dokument</w:t>
            </w:r>
          </w:p>
        </w:tc>
        <w:tc>
          <w:tcPr>
            <w:tcW w:w="1134" w:type="dxa"/>
          </w:tcPr>
          <w:p w14:paraId="0B62342B"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51781C21"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07DBF4E9" w14:textId="77777777" w:rsidR="00D42B04" w:rsidRPr="00D42B04" w:rsidRDefault="00D42B04" w:rsidP="00D42B04">
            <w:pPr>
              <w:numPr>
                <w:ilvl w:val="0"/>
                <w:numId w:val="114"/>
              </w:numPr>
              <w:tabs>
                <w:tab w:val="left" w:pos="613"/>
              </w:tabs>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Definuje na ktorom komponente sú aké osobné údaje a spôsob ich ochrany (pseudonymizácia, šifrovanie a pod).</w:t>
            </w:r>
          </w:p>
          <w:p w14:paraId="1C4F36BC" w14:textId="77777777" w:rsidR="00D42B04" w:rsidRPr="00D42B04" w:rsidRDefault="00D42B04" w:rsidP="00D42B04">
            <w:pPr>
              <w:numPr>
                <w:ilvl w:val="0"/>
                <w:numId w:val="114"/>
              </w:numPr>
              <w:tabs>
                <w:tab w:val="left" w:pos="613"/>
              </w:tabs>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Definuje metodiku tvorby prístupových práv, tvorby rolí a prístupov</w:t>
            </w:r>
          </w:p>
          <w:p w14:paraId="25F38498" w14:textId="77777777" w:rsidR="00D42B04" w:rsidRPr="00D42B04" w:rsidRDefault="00D42B04" w:rsidP="00D42B04">
            <w:pPr>
              <w:numPr>
                <w:ilvl w:val="0"/>
                <w:numId w:val="114"/>
              </w:numPr>
              <w:tabs>
                <w:tab w:val="left" w:pos="613"/>
              </w:tabs>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Definuje metodiku celého životného cyklu dát:</w:t>
            </w:r>
          </w:p>
          <w:p w14:paraId="0A327AD6" w14:textId="77777777" w:rsidR="00D42B04" w:rsidRPr="00D42B04" w:rsidRDefault="00D42B04" w:rsidP="00D42B04">
            <w:pPr>
              <w:numPr>
                <w:ilvl w:val="1"/>
                <w:numId w:val="114"/>
              </w:numPr>
              <w:tabs>
                <w:tab w:val="left" w:pos="613"/>
              </w:tabs>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Administrácia osobných údajov</w:t>
            </w:r>
          </w:p>
          <w:p w14:paraId="4D9F1F62" w14:textId="77777777" w:rsidR="00D42B04" w:rsidRPr="00D42B04" w:rsidRDefault="00D42B04" w:rsidP="00D42B04">
            <w:pPr>
              <w:numPr>
                <w:ilvl w:val="1"/>
                <w:numId w:val="114"/>
              </w:numPr>
              <w:tabs>
                <w:tab w:val="left" w:pos="613"/>
              </w:tabs>
              <w:spacing w:before="120" w:after="120" w:line="240" w:lineRule="atLeast"/>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Nastavenie dátovej retencie</w:t>
            </w:r>
          </w:p>
          <w:p w14:paraId="6C83E2E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sz w:val="22"/>
              </w:rPr>
            </w:pPr>
          </w:p>
        </w:tc>
      </w:tr>
      <w:tr w:rsidR="00D42B04" w:rsidRPr="00D42B04" w14:paraId="6715AC5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4F1295F2"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Stratégia prechodu do produkcie</w:t>
            </w:r>
          </w:p>
        </w:tc>
        <w:tc>
          <w:tcPr>
            <w:tcW w:w="1134" w:type="dxa"/>
          </w:tcPr>
          <w:p w14:paraId="170F3E6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3ED8E46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21C03DF5" w14:textId="77777777" w:rsidR="00D42B04" w:rsidRPr="00D42B04" w:rsidRDefault="00D42B04" w:rsidP="00D42B04">
            <w:pPr>
              <w:tabs>
                <w:tab w:val="left" w:pos="613"/>
              </w:tabs>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High-level opis krokov uvedenia predmetného riešenia do prevádzky.</w:t>
            </w:r>
          </w:p>
        </w:tc>
      </w:tr>
      <w:tr w:rsidR="00D42B04" w:rsidRPr="00D42B04" w14:paraId="7299B9C9"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4581FC6B"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lastRenderedPageBreak/>
              <w:t>ETL vývojové štandardy</w:t>
            </w:r>
          </w:p>
        </w:tc>
        <w:tc>
          <w:tcPr>
            <w:tcW w:w="1134" w:type="dxa"/>
          </w:tcPr>
          <w:p w14:paraId="26BD7B2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4E2A3852"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44BF819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Detaily o využívaní ETL nástroja pre projekt. Je kritickým elementom pre samotný ETL vývoj nakoľko definuje nevyhnutné štandardy. Dokument adresuje nižšie uvedené oblasti pre ODI (Oracle Data Integrator) v kontexte štandardov pre vývoj a prístup do ETL managera:</w:t>
            </w:r>
          </w:p>
          <w:p w14:paraId="01DC96D1"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Vývojové cykly</w:t>
            </w:r>
          </w:p>
          <w:p w14:paraId="0692928A"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Používanie verzionovania</w:t>
            </w:r>
          </w:p>
          <w:p w14:paraId="400C7DF8"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Definícia vykonateľného „jobu“</w:t>
            </w:r>
          </w:p>
          <w:p w14:paraId="3A4968A7"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Definícia štandardov a pravidiel</w:t>
            </w:r>
          </w:p>
          <w:p w14:paraId="2D40A9DB"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Menné konvencie</w:t>
            </w:r>
          </w:p>
          <w:p w14:paraId="24C11293"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Používanie Workflow frameworku pre definíciu závislostí</w:t>
            </w:r>
          </w:p>
          <w:p w14:paraId="1DF246FA" w14:textId="77777777" w:rsidR="00D42B04" w:rsidRPr="00D42B04" w:rsidRDefault="00D42B04" w:rsidP="00D42B04">
            <w:pPr>
              <w:spacing w:before="120" w:after="120" w:line="240" w:lineRule="atLeast"/>
              <w:ind w:left="400" w:hanging="360"/>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Preukázateľné používanie revízie kódu s cieľom nájsť a odstrániť programové chyby.</w:t>
            </w:r>
          </w:p>
        </w:tc>
      </w:tr>
      <w:tr w:rsidR="00D42B04" w:rsidRPr="00D42B04" w14:paraId="3F94BD37"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0E79537A"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Prístup k testovaniu riešenia</w:t>
            </w:r>
          </w:p>
        </w:tc>
        <w:tc>
          <w:tcPr>
            <w:tcW w:w="1134" w:type="dxa"/>
          </w:tcPr>
          <w:p w14:paraId="5F8421B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6B0F7F9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4C9EB093"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 bude obsahovať:</w:t>
            </w:r>
          </w:p>
          <w:p w14:paraId="7EE8E6D1" w14:textId="77777777" w:rsidR="00D42B04" w:rsidRPr="00D42B04" w:rsidRDefault="00D42B04" w:rsidP="00D42B04">
            <w:pPr>
              <w:numPr>
                <w:ilvl w:val="0"/>
                <w:numId w:val="90"/>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požiadavky na otestovanie riešenia, akceptačné kritériá </w:t>
            </w:r>
          </w:p>
          <w:p w14:paraId="47EBE3F3" w14:textId="77777777" w:rsidR="00D42B04" w:rsidRPr="00D42B04" w:rsidRDefault="00D42B04" w:rsidP="00D42B04">
            <w:pPr>
              <w:numPr>
                <w:ilvl w:val="0"/>
                <w:numId w:val="90"/>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zároveň adresuje spôsob akým úspešný uchádzač interne otestuje predmetné riešenie a akú formu podpory dodá pri akceptačných testoch</w:t>
            </w:r>
          </w:p>
        </w:tc>
      </w:tr>
      <w:tr w:rsidR="00D42B04" w:rsidRPr="00D42B04" w14:paraId="0998B2B8"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482BBBF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Prístup k metadátam</w:t>
            </w:r>
          </w:p>
        </w:tc>
        <w:tc>
          <w:tcPr>
            <w:tcW w:w="1134" w:type="dxa"/>
          </w:tcPr>
          <w:p w14:paraId="50D6325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445718D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5C61B285" w14:textId="77777777" w:rsidR="00D42B04" w:rsidRPr="00D42B04" w:rsidRDefault="00D42B04" w:rsidP="00D42B04">
            <w:pPr>
              <w:numPr>
                <w:ilvl w:val="0"/>
                <w:numId w:val="90"/>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Katalóg metadát</w:t>
            </w:r>
          </w:p>
          <w:p w14:paraId="2B0A8929" w14:textId="77777777" w:rsidR="00D42B04" w:rsidRPr="00D42B04" w:rsidRDefault="00D42B04" w:rsidP="00D42B04">
            <w:pPr>
              <w:numPr>
                <w:ilvl w:val="0"/>
                <w:numId w:val="90"/>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Prístup k metadátam</w:t>
            </w:r>
          </w:p>
          <w:p w14:paraId="4E3CB280" w14:textId="77777777" w:rsidR="00D42B04" w:rsidRPr="00D42B04" w:rsidRDefault="00D42B04" w:rsidP="00D42B04">
            <w:pPr>
              <w:keepNext/>
              <w:numPr>
                <w:ilvl w:val="0"/>
                <w:numId w:val="90"/>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Prístup k bezpečnosti</w:t>
            </w:r>
          </w:p>
        </w:tc>
      </w:tr>
    </w:tbl>
    <w:p w14:paraId="420CE4A2"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27</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výstupov fázy Design</w:t>
      </w:r>
    </w:p>
    <w:p w14:paraId="03ABDFA4"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Implementácia</w:t>
      </w:r>
    </w:p>
    <w:p w14:paraId="73AF404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Cieľom implementačnej fázy je prevedenie riešenia od detailných modelov požiadaviek, cez konfiguráciu štandardných balíkov softvérovej funkcionality, vývoj a testovanie frameworkových komponentov a integrácia do formy systému, ktorý je pripravený na prvý „release“ na uvedenie do prevádzky. V skratke  ide o kompletizáciu vývoja aplikácie, validáciu či všetky komponenty spolu „sedia“, a prípravu systému na akceptačné testy a nasadenie.</w:t>
      </w:r>
    </w:p>
    <w:tbl>
      <w:tblPr>
        <w:tblStyle w:val="GridTable4-Accent52"/>
        <w:tblW w:w="0" w:type="auto"/>
        <w:tblLook w:val="04A0" w:firstRow="1" w:lastRow="0" w:firstColumn="1" w:lastColumn="0" w:noHBand="0" w:noVBand="1"/>
      </w:tblPr>
      <w:tblGrid>
        <w:gridCol w:w="2547"/>
        <w:gridCol w:w="1423"/>
        <w:gridCol w:w="4806"/>
      </w:tblGrid>
      <w:tr w:rsidR="00D42B04" w:rsidRPr="00D42B04" w14:paraId="544E0828"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47" w:type="dxa"/>
          </w:tcPr>
          <w:p w14:paraId="25431D92" w14:textId="77777777" w:rsidR="00D42B04" w:rsidRPr="00D42B04" w:rsidRDefault="00D42B04" w:rsidP="00D42B04">
            <w:pPr>
              <w:spacing w:before="120" w:after="120"/>
              <w:jc w:val="both"/>
              <w:rPr>
                <w:rFonts w:ascii="Cambria" w:hAnsi="Cambria"/>
                <w:sz w:val="22"/>
              </w:rPr>
            </w:pPr>
            <w:r w:rsidRPr="00D42B04">
              <w:rPr>
                <w:rFonts w:ascii="Cambria" w:hAnsi="Cambria"/>
                <w:sz w:val="22"/>
              </w:rPr>
              <w:t>Výstup</w:t>
            </w:r>
          </w:p>
        </w:tc>
        <w:tc>
          <w:tcPr>
            <w:tcW w:w="1134" w:type="dxa"/>
          </w:tcPr>
          <w:p w14:paraId="1AD24215" w14:textId="77777777" w:rsidR="00D42B04" w:rsidRPr="00D42B04" w:rsidRDefault="00D42B04" w:rsidP="00D42B04">
            <w:pPr>
              <w:spacing w:before="120" w:after="120"/>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Formát</w:t>
            </w:r>
          </w:p>
        </w:tc>
        <w:tc>
          <w:tcPr>
            <w:tcW w:w="4806" w:type="dxa"/>
          </w:tcPr>
          <w:p w14:paraId="0F3DE384"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w:t>
            </w:r>
          </w:p>
        </w:tc>
      </w:tr>
      <w:tr w:rsidR="00D42B04" w:rsidRPr="00D42B04" w14:paraId="6029F7B5"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509BD221"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Fyzický model, ETL komponenty, frameworky</w:t>
            </w:r>
          </w:p>
        </w:tc>
        <w:tc>
          <w:tcPr>
            <w:tcW w:w="1134" w:type="dxa"/>
          </w:tcPr>
          <w:p w14:paraId="04D90F8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SW</w:t>
            </w:r>
          </w:p>
          <w:p w14:paraId="1635C28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(export z EAP, ODI Metadata, súbory pre inštaláciu na aplikačné servere)</w:t>
            </w:r>
          </w:p>
        </w:tc>
        <w:tc>
          <w:tcPr>
            <w:tcW w:w="4806" w:type="dxa"/>
          </w:tcPr>
          <w:p w14:paraId="2775758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Implementácia systému podľa špecifikácií získaných v predchádzajúcich fázach. Budú konfigurované všetky reusable komponenty a vyvinuté a otestované komponenty definované pre Data Acquisition a Data Access. Logický dátový model bude základom pre vývoj a implementáciu fyzického dátového modelu.</w:t>
            </w:r>
            <w:r w:rsidRPr="00D42B04">
              <w:rPr>
                <w:rFonts w:ascii="Cambria" w:hAnsi="Cambria"/>
                <w:sz w:val="22"/>
              </w:rPr>
              <w:t xml:space="preserve"> </w:t>
            </w:r>
            <w:r w:rsidRPr="00D42B04">
              <w:rPr>
                <w:rFonts w:ascii="Cambria" w:hAnsi="Cambria"/>
                <w:sz w:val="16"/>
                <w:szCs w:val="16"/>
              </w:rPr>
              <w:t>Na základe metadát bude vygenerovaný ETL kód, nastavené závislosti úloh a kalendár automatického spúšťania.</w:t>
            </w:r>
          </w:p>
        </w:tc>
      </w:tr>
      <w:tr w:rsidR="00D42B04" w:rsidRPr="00D42B04" w14:paraId="7A56A641"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4510C1C8"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 xml:space="preserve">Komentované zdrojové kódy dodávane v rámci riešenia zhotoviteľom </w:t>
            </w:r>
          </w:p>
        </w:tc>
        <w:tc>
          <w:tcPr>
            <w:tcW w:w="1134" w:type="dxa"/>
          </w:tcPr>
          <w:p w14:paraId="2EE6E621"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Zdrojový kód podľa použitého programovacieho jazyka</w:t>
            </w:r>
          </w:p>
        </w:tc>
        <w:tc>
          <w:tcPr>
            <w:tcW w:w="4806" w:type="dxa"/>
          </w:tcPr>
          <w:p w14:paraId="6B175CF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Zdrojový kód obohatený o komentáre s vysvetlením obsahu programovej funkčnej časti (procedúry, funkcie)</w:t>
            </w:r>
          </w:p>
        </w:tc>
      </w:tr>
      <w:tr w:rsidR="00D42B04" w:rsidRPr="00D42B04" w14:paraId="5917323B"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6934F7BC"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Image pracovnej stanice vývojára</w:t>
            </w:r>
          </w:p>
        </w:tc>
        <w:tc>
          <w:tcPr>
            <w:tcW w:w="1134" w:type="dxa"/>
          </w:tcPr>
          <w:p w14:paraId="3010C555"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Súbor vo formáte príslušnej virtualizácie</w:t>
            </w:r>
          </w:p>
        </w:tc>
        <w:tc>
          <w:tcPr>
            <w:tcW w:w="4806" w:type="dxa"/>
          </w:tcPr>
          <w:p w14:paraId="0E6F2626"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Uložená HW a SW konfigurácia pracovnej stanice vývojára podľa špecifikácie dodanej zhotoviteľom </w:t>
            </w:r>
          </w:p>
        </w:tc>
      </w:tr>
      <w:tr w:rsidR="00D42B04" w:rsidRPr="00D42B04" w14:paraId="0ED7A5F9"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69EEE4A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BI oblasť</w:t>
            </w:r>
          </w:p>
        </w:tc>
        <w:tc>
          <w:tcPr>
            <w:tcW w:w="1134" w:type="dxa"/>
          </w:tcPr>
          <w:p w14:paraId="0CC62DF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SW</w:t>
            </w:r>
          </w:p>
        </w:tc>
        <w:tc>
          <w:tcPr>
            <w:tcW w:w="4806" w:type="dxa"/>
          </w:tcPr>
          <w:p w14:paraId="29DD192B" w14:textId="77777777" w:rsidR="00D42B04" w:rsidRPr="00D42B04" w:rsidRDefault="00D42B04" w:rsidP="00D42B04">
            <w:pPr>
              <w:numPr>
                <w:ilvl w:val="0"/>
                <w:numId w:val="100"/>
              </w:numPr>
              <w:spacing w:before="120" w:after="120" w:line="240" w:lineRule="atLeast"/>
              <w:ind w:left="461"/>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Implementácia dátových modelov v analytickej vrstve MS Analysis Services (Tabulárne modely) podľa dohodnutých design princípov a konvencií.</w:t>
            </w:r>
          </w:p>
          <w:p w14:paraId="221B5D51" w14:textId="77777777" w:rsidR="00D42B04" w:rsidRPr="00D42B04" w:rsidRDefault="00D42B04" w:rsidP="00D42B04">
            <w:pPr>
              <w:numPr>
                <w:ilvl w:val="0"/>
                <w:numId w:val="100"/>
              </w:numPr>
              <w:spacing w:before="120" w:after="120" w:line="240" w:lineRule="atLeast"/>
              <w:ind w:left="461"/>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Prototyping a implementácia analytických výstupov (reporty a grafy) v prostredí MS Power BI s publikáciu na MS Power BI Report Server.</w:t>
            </w:r>
          </w:p>
        </w:tc>
      </w:tr>
      <w:tr w:rsidR="00D42B04" w:rsidRPr="00D42B04" w14:paraId="5AB37F41"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0207081E"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lastRenderedPageBreak/>
              <w:t>Dokumentácia k testovaniu</w:t>
            </w:r>
          </w:p>
        </w:tc>
        <w:tc>
          <w:tcPr>
            <w:tcW w:w="1134" w:type="dxa"/>
          </w:tcPr>
          <w:p w14:paraId="62CF2563"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3FDA338A"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 XLSX)</w:t>
            </w:r>
          </w:p>
        </w:tc>
        <w:tc>
          <w:tcPr>
            <w:tcW w:w="4806" w:type="dxa"/>
          </w:tcPr>
          <w:p w14:paraId="30F8072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Dokumentácia musí obsahovať nasledovné časti:</w:t>
            </w:r>
          </w:p>
          <w:p w14:paraId="36384594" w14:textId="77777777" w:rsidR="00D42B04" w:rsidRPr="00D42B04" w:rsidRDefault="00D42B04" w:rsidP="00D42B04">
            <w:pPr>
              <w:numPr>
                <w:ilvl w:val="0"/>
                <w:numId w:val="91"/>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Detailný testovací plán</w:t>
            </w:r>
          </w:p>
          <w:p w14:paraId="27D21EC0" w14:textId="77777777" w:rsidR="00D42B04" w:rsidRPr="00D42B04" w:rsidRDefault="00D42B04" w:rsidP="00D42B04">
            <w:pPr>
              <w:numPr>
                <w:ilvl w:val="0"/>
                <w:numId w:val="91"/>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Testovacie scenáre</w:t>
            </w:r>
          </w:p>
          <w:p w14:paraId="42F27960" w14:textId="77777777" w:rsidR="00D42B04" w:rsidRPr="00D42B04" w:rsidRDefault="00D42B04" w:rsidP="00D42B04">
            <w:pPr>
              <w:numPr>
                <w:ilvl w:val="0"/>
                <w:numId w:val="91"/>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Žurnál z testovania</w:t>
            </w:r>
          </w:p>
          <w:p w14:paraId="6B27389B" w14:textId="77777777" w:rsidR="00D42B04" w:rsidRPr="00D42B04" w:rsidRDefault="00D42B04" w:rsidP="00D42B04">
            <w:pPr>
              <w:numPr>
                <w:ilvl w:val="0"/>
                <w:numId w:val="91"/>
              </w:numPr>
              <w:spacing w:before="120" w:after="120" w:line="240" w:lineRule="atLeast"/>
              <w:ind w:left="452"/>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Akceptačné protokoly</w:t>
            </w:r>
            <w:r w:rsidRPr="00D42B04">
              <w:rPr>
                <w:rFonts w:ascii="Cambria" w:hAnsi="Cambria"/>
                <w:sz w:val="16"/>
                <w:szCs w:val="16"/>
              </w:rPr>
              <w:tab/>
            </w:r>
          </w:p>
        </w:tc>
      </w:tr>
      <w:tr w:rsidR="00D42B04" w:rsidRPr="00D42B04" w14:paraId="6A05D86E"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3325BEA6"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 xml:space="preserve">Návrh iniciálneho nahratia dát </w:t>
            </w:r>
          </w:p>
        </w:tc>
        <w:tc>
          <w:tcPr>
            <w:tcW w:w="1134" w:type="dxa"/>
          </w:tcPr>
          <w:p w14:paraId="4A0FBE92"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590EBFD4"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25E20B39"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Popis ako sa projekt zachová k dátami v zdrojových systémoch, t. j.:</w:t>
            </w:r>
          </w:p>
          <w:p w14:paraId="6BD55010"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Ktoré dáta budú nahrané do DWH ako celok</w:t>
            </w:r>
          </w:p>
          <w:p w14:paraId="716D6527"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Ktoré dáta vyžadujú iný spôsob ETL pre denný beh a celkový nábeh</w:t>
            </w:r>
          </w:p>
          <w:p w14:paraId="0CCE8660"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Návrh podmienok iniciálnej migrácie tak, aby nebola ohrozené prevádzka a výkon zdrojových systémov</w:t>
            </w:r>
          </w:p>
        </w:tc>
      </w:tr>
      <w:tr w:rsidR="00D42B04" w:rsidRPr="00D42B04" w14:paraId="4DB3CEA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7D4CDFB4"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Návrh infraštruktúry podpory produkcie</w:t>
            </w:r>
          </w:p>
        </w:tc>
        <w:tc>
          <w:tcPr>
            <w:tcW w:w="1134" w:type="dxa"/>
          </w:tcPr>
          <w:p w14:paraId="092F043D"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6BC257C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19AE28F0" w14:textId="77777777" w:rsidR="00D42B04" w:rsidRPr="00D42B04" w:rsidRDefault="00D42B04" w:rsidP="00D42B04">
            <w:pPr>
              <w:numPr>
                <w:ilvl w:val="0"/>
                <w:numId w:val="94"/>
              </w:numPr>
              <w:spacing w:before="120" w:after="120" w:line="240" w:lineRule="atLeast"/>
              <w:ind w:left="463"/>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definuje požiadavky na prevádzkovanie riešenia a adresuje ich z procesného hľadiska. Tento dokument je predmetom aktualizácie v ďalších fázach projektu a na jeho konci kompletne definuje proces podpory a prevádzky riešenia</w:t>
            </w:r>
          </w:p>
          <w:p w14:paraId="49654924" w14:textId="77777777" w:rsidR="00D42B04" w:rsidRPr="00D42B04" w:rsidRDefault="00D42B04" w:rsidP="00D42B04">
            <w:pPr>
              <w:numPr>
                <w:ilvl w:val="0"/>
                <w:numId w:val="94"/>
              </w:numPr>
              <w:spacing w:before="120" w:after="120" w:line="240" w:lineRule="atLeast"/>
              <w:ind w:left="463"/>
              <w:contextualSpacing/>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návrh obnovy komponentov systému a údajov zo zálohy.</w:t>
            </w:r>
          </w:p>
        </w:tc>
      </w:tr>
      <w:tr w:rsidR="00D42B04" w:rsidRPr="00D42B04" w14:paraId="59BF0150"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547" w:type="dxa"/>
          </w:tcPr>
          <w:p w14:paraId="060AED8E"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Školenie</w:t>
            </w:r>
          </w:p>
        </w:tc>
        <w:tc>
          <w:tcPr>
            <w:tcW w:w="1134" w:type="dxa"/>
          </w:tcPr>
          <w:p w14:paraId="6C4805BF"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Školenie a dokument</w:t>
            </w:r>
          </w:p>
          <w:p w14:paraId="22117430"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(PPTX, video vo formáte MP4)</w:t>
            </w:r>
          </w:p>
        </w:tc>
        <w:tc>
          <w:tcPr>
            <w:tcW w:w="4806" w:type="dxa"/>
          </w:tcPr>
          <w:p w14:paraId="12A31C6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Školenie vybraných používateľov NBS. Do 30 používateľov:</w:t>
            </w:r>
          </w:p>
          <w:p w14:paraId="1685290F"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Vykonanie jedného jednodňového školenia pre bežných užívateľov.</w:t>
            </w:r>
          </w:p>
          <w:p w14:paraId="0D84DA2D"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Vykonanie jedného jednodňového školenia pre analytikov a kľúčových  užívateľov.</w:t>
            </w:r>
          </w:p>
          <w:p w14:paraId="3CB2ACE4" w14:textId="77777777" w:rsidR="00D42B04" w:rsidRPr="00D42B04" w:rsidRDefault="00D42B04" w:rsidP="00D42B04">
            <w:pPr>
              <w:numPr>
                <w:ilvl w:val="0"/>
                <w:numId w:val="91"/>
              </w:numPr>
              <w:spacing w:before="120" w:after="120" w:line="240" w:lineRule="atLeast"/>
              <w:ind w:left="452"/>
              <w:contextualSpacing/>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Vykonanie jedného jednodňového školenia pre operátorov.</w:t>
            </w:r>
          </w:p>
          <w:p w14:paraId="2D9F77AD"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Súčasťou školenia bude dodávka školiace materiálu vo forme PPT.</w:t>
            </w:r>
          </w:p>
        </w:tc>
      </w:tr>
      <w:tr w:rsidR="00D42B04" w:rsidRPr="00D42B04" w14:paraId="240E7669"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0FA22F42"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Používateľská a technická dokumentácia</w:t>
            </w:r>
          </w:p>
        </w:tc>
        <w:tc>
          <w:tcPr>
            <w:tcW w:w="1134" w:type="dxa"/>
          </w:tcPr>
          <w:p w14:paraId="5BFBBE9B"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w:t>
            </w:r>
          </w:p>
          <w:p w14:paraId="63CC330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w:t>
            </w:r>
          </w:p>
        </w:tc>
        <w:tc>
          <w:tcPr>
            <w:tcW w:w="4806" w:type="dxa"/>
          </w:tcPr>
          <w:p w14:paraId="2BCE4A8B" w14:textId="77777777" w:rsidR="00D42B04" w:rsidRPr="00D42B04" w:rsidRDefault="00D42B04" w:rsidP="00D42B04">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Rozšírenie školiaceho materiálu o ďalšie informácie dôležité počas prevádzky a rozvoja systému.</w:t>
            </w:r>
          </w:p>
        </w:tc>
      </w:tr>
    </w:tbl>
    <w:p w14:paraId="59E171A9"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28</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výstupov fázy Implementácia</w:t>
      </w:r>
    </w:p>
    <w:p w14:paraId="38D2403B"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Nábeh do produkcie</w:t>
      </w:r>
    </w:p>
    <w:p w14:paraId="74F6D71F"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Cieľom fázy nábehu do produkcie je uviesť ucelené riešenie od inštalácie na produkčný systém cez akceptačné testy po naštartovanie živej aplikácie, otvorenej a pripravenej na biznis. Validuje že riešenie je testované systematicky a je sprístupnené pre koncových používateľov.</w:t>
      </w:r>
    </w:p>
    <w:p w14:paraId="3CA7A93D"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Úlohy v tejto fáze:</w:t>
      </w:r>
    </w:p>
    <w:p w14:paraId="07144F12"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Uzatvorenie vývojovej verzie aplikácií v definovanom stave (code freeze).</w:t>
      </w:r>
    </w:p>
    <w:p w14:paraId="312A2B13"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Príprava skriptov pre vytváranie / modifikáciu systémových, databázových a programových súčastí riešenia – tzv. inštalačný balíček</w:t>
      </w:r>
    </w:p>
    <w:p w14:paraId="39C340F5"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Validácia technickej dokumentácie (predovšetkým dátového modelu).</w:t>
      </w:r>
    </w:p>
    <w:p w14:paraId="129FD4AB"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Migrácia testovacieho prostredia na produkčné prostredie a nasadenie aplikovateľných extraktorov na produkčné zdrojové systémy.</w:t>
      </w:r>
    </w:p>
    <w:p w14:paraId="18AE598C"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Spustenie (exekúcia) skriptov pre vytváranie / modifikáciu systémových, databázových a programových súčastí riešenia na produkčnom prostredí.</w:t>
      </w:r>
    </w:p>
    <w:p w14:paraId="73AE16E3"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Súčasťou implementácie a akceptačných testov musí byť overenie obnovy komponentov systému a údajov zo zálohy.</w:t>
      </w:r>
    </w:p>
    <w:p w14:paraId="78B10A28"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Akceptácia  dokumentácie </w:t>
      </w:r>
    </w:p>
    <w:p w14:paraId="3ADF9EF0"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Skúšobná prevádzka</w:t>
      </w:r>
    </w:p>
    <w:tbl>
      <w:tblPr>
        <w:tblStyle w:val="GridTable4-Accent52"/>
        <w:tblW w:w="0" w:type="auto"/>
        <w:tblLook w:val="04A0" w:firstRow="1" w:lastRow="0" w:firstColumn="1" w:lastColumn="0" w:noHBand="0" w:noVBand="1"/>
      </w:tblPr>
      <w:tblGrid>
        <w:gridCol w:w="2829"/>
        <w:gridCol w:w="1277"/>
        <w:gridCol w:w="4381"/>
      </w:tblGrid>
      <w:tr w:rsidR="00D42B04" w:rsidRPr="00D42B04" w14:paraId="244A4B88"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29" w:type="dxa"/>
          </w:tcPr>
          <w:p w14:paraId="2FE12126" w14:textId="77777777" w:rsidR="00D42B04" w:rsidRPr="00D42B04" w:rsidRDefault="00D42B04" w:rsidP="00D42B04">
            <w:pPr>
              <w:spacing w:before="120" w:after="120"/>
              <w:jc w:val="both"/>
              <w:rPr>
                <w:rFonts w:ascii="Cambria" w:hAnsi="Cambria"/>
                <w:sz w:val="22"/>
              </w:rPr>
            </w:pPr>
            <w:r w:rsidRPr="00D42B04">
              <w:rPr>
                <w:rFonts w:ascii="Cambria" w:hAnsi="Cambria"/>
                <w:sz w:val="22"/>
              </w:rPr>
              <w:t>Výstup</w:t>
            </w:r>
          </w:p>
        </w:tc>
        <w:tc>
          <w:tcPr>
            <w:tcW w:w="1277" w:type="dxa"/>
          </w:tcPr>
          <w:p w14:paraId="6AC17EFA"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Formát</w:t>
            </w:r>
          </w:p>
        </w:tc>
        <w:tc>
          <w:tcPr>
            <w:tcW w:w="4381" w:type="dxa"/>
          </w:tcPr>
          <w:p w14:paraId="1C31244C" w14:textId="77777777" w:rsidR="00D42B04" w:rsidRPr="00D42B04" w:rsidRDefault="00D42B04" w:rsidP="00D42B04">
            <w:pPr>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w:t>
            </w:r>
          </w:p>
        </w:tc>
      </w:tr>
      <w:tr w:rsidR="00D42B04" w:rsidRPr="00D42B04" w14:paraId="4C039C6F"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514064AA"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Inštalácia na produkcii</w:t>
            </w:r>
          </w:p>
        </w:tc>
        <w:tc>
          <w:tcPr>
            <w:tcW w:w="1277" w:type="dxa"/>
          </w:tcPr>
          <w:p w14:paraId="2E62B9CE"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SW</w:t>
            </w:r>
          </w:p>
        </w:tc>
        <w:tc>
          <w:tcPr>
            <w:tcW w:w="4381" w:type="dxa"/>
          </w:tcPr>
          <w:p w14:paraId="1C7EEAD5"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Spustenie inštalačných balíčkov</w:t>
            </w:r>
          </w:p>
        </w:tc>
      </w:tr>
      <w:tr w:rsidR="00D42B04" w:rsidRPr="00D42B04" w14:paraId="42DE6485"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41952ADC"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lastRenderedPageBreak/>
              <w:t>Vykonanie iniciálneho loadu</w:t>
            </w:r>
          </w:p>
        </w:tc>
        <w:tc>
          <w:tcPr>
            <w:tcW w:w="1277" w:type="dxa"/>
          </w:tcPr>
          <w:p w14:paraId="129A204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SW / FTE</w:t>
            </w:r>
          </w:p>
        </w:tc>
        <w:tc>
          <w:tcPr>
            <w:tcW w:w="4381" w:type="dxa"/>
          </w:tcPr>
          <w:p w14:paraId="3DD4FBEA"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Prvotná inicializácia DWH na základe dohodnutých pravidiel.</w:t>
            </w:r>
          </w:p>
          <w:p w14:paraId="2ED11BB9"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Inicializačný load bude musieť byť s najväčšou pravdepodobnosťou opakovaný niekoľkonásobne, z dôvodov jeho technického, funkčného a používateľského testovania. Požadujeme podporu celkovo pre 2 úspešné iniciálne nahratia dát.</w:t>
            </w:r>
          </w:p>
          <w:p w14:paraId="27214846"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Pred spustením produkčného iniciálneho loadu musí prebehnúť performance test, ktorý preukáže, že iniciálny load nebude trvať dlhšie ako 24 hodín. Pokiaľ sa preukáže, že iniciálny load nevie prebehnúť počas 24 hodinového okna, dodá zhotoviteľ plán rozdelenia iniciálneho nahrávania tak, aby sa využil už normálny inkrementálny beh.</w:t>
            </w:r>
          </w:p>
        </w:tc>
      </w:tr>
      <w:tr w:rsidR="00D42B04" w:rsidRPr="00D42B04" w14:paraId="0202A24D"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68C319E8"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Finálna akceptácia</w:t>
            </w:r>
          </w:p>
        </w:tc>
        <w:tc>
          <w:tcPr>
            <w:tcW w:w="1277" w:type="dxa"/>
          </w:tcPr>
          <w:p w14:paraId="1FC5C016"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UAT</w:t>
            </w:r>
          </w:p>
        </w:tc>
        <w:tc>
          <w:tcPr>
            <w:tcW w:w="4381" w:type="dxa"/>
          </w:tcPr>
          <w:p w14:paraId="0066C790" w14:textId="77777777" w:rsidR="00D42B04" w:rsidRPr="00D42B04" w:rsidRDefault="00D42B04" w:rsidP="00D42B04">
            <w:pPr>
              <w:spacing w:before="120" w:after="12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Finálne testovanie  na testovacom prostredí, na ktorom sa overí finálna kvalita a odsúhlasenie riešenia biznisovými používateľmi</w:t>
            </w:r>
          </w:p>
        </w:tc>
      </w:tr>
      <w:tr w:rsidR="00D42B04" w:rsidRPr="00D42B04" w14:paraId="7B5EA283"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3A192649"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Performance test</w:t>
            </w:r>
          </w:p>
        </w:tc>
        <w:tc>
          <w:tcPr>
            <w:tcW w:w="1277" w:type="dxa"/>
          </w:tcPr>
          <w:p w14:paraId="71DE9D37" w14:textId="77777777" w:rsidR="00D42B04" w:rsidRPr="00D42B04" w:rsidRDefault="00D42B04" w:rsidP="00D42B04">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FTE</w:t>
            </w:r>
          </w:p>
        </w:tc>
        <w:tc>
          <w:tcPr>
            <w:tcW w:w="4381" w:type="dxa"/>
          </w:tcPr>
          <w:p w14:paraId="044237AD" w14:textId="77777777" w:rsidR="00D42B04" w:rsidRPr="00D42B04" w:rsidRDefault="00D42B04" w:rsidP="00D42B04">
            <w:pPr>
              <w:keepNext/>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Vykonanie testu výkonnosti systému. V tejto úlohe požadujeme dodať protokol, kde bude zhodnotený beh ETL úloh z pohľadu komlexnosti ETL a počtu spracovaných dát a kvality samotného ETL scriptu. Požiadavka je aby beh ETL v NBS DWH bola ukončená do 08:00</w:t>
            </w:r>
          </w:p>
        </w:tc>
      </w:tr>
    </w:tbl>
    <w:p w14:paraId="788D8468"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29</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výstupov fázy Nábeh do produkcie</w:t>
      </w:r>
    </w:p>
    <w:p w14:paraId="681D7DB1"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Produkcia</w:t>
      </w:r>
    </w:p>
    <w:p w14:paraId="4E6BEF8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Cieľom fázy „produkcia“ je prevádzkovanie novo vyvinutého systému, vyhodnotenie úspešnosti nového systému, monitorovanie systémových problémov a ich adresovanie. Toto zahŕňa monitorovanie systému a vhodné zásahy aby bola udržaná prevádzková schopnosť, meranie výkonu systému, operačné a prevádzkové systémy, odpovedania na požiadavky o pomoc a asistenciu, na chybové hlásenia a funkčné požiadavky užívateľov; a riadenie aplikovateľného procesu kontroly zmien tak aby defekty a nové funkcionality boli prioritizované a pridelené do budúcich „releasov“ a bol zostavený plán budúcich rozšírení aplikácie rovnako ako určenie, vývoj a implementácia požadovaných aktualizácií.</w:t>
      </w:r>
    </w:p>
    <w:tbl>
      <w:tblPr>
        <w:tblStyle w:val="GridTable4-Accent52"/>
        <w:tblW w:w="0" w:type="auto"/>
        <w:tblLook w:val="04A0" w:firstRow="1" w:lastRow="0" w:firstColumn="1" w:lastColumn="0" w:noHBand="0" w:noVBand="1"/>
      </w:tblPr>
      <w:tblGrid>
        <w:gridCol w:w="2829"/>
        <w:gridCol w:w="1277"/>
        <w:gridCol w:w="4381"/>
      </w:tblGrid>
      <w:tr w:rsidR="00D42B04" w:rsidRPr="00D42B04" w14:paraId="5C6FBE03" w14:textId="77777777" w:rsidTr="00D4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DCFF98A" w14:textId="77777777" w:rsidR="00D42B04" w:rsidRPr="00D42B04" w:rsidRDefault="00D42B04" w:rsidP="00D42B04">
            <w:pPr>
              <w:keepNext/>
              <w:spacing w:before="120" w:after="120"/>
              <w:jc w:val="both"/>
              <w:rPr>
                <w:rFonts w:ascii="Cambria" w:hAnsi="Cambria"/>
                <w:sz w:val="22"/>
              </w:rPr>
            </w:pPr>
            <w:r w:rsidRPr="00D42B04">
              <w:rPr>
                <w:rFonts w:ascii="Cambria" w:hAnsi="Cambria"/>
                <w:sz w:val="22"/>
              </w:rPr>
              <w:t>Výstup</w:t>
            </w:r>
          </w:p>
        </w:tc>
        <w:tc>
          <w:tcPr>
            <w:tcW w:w="1277" w:type="dxa"/>
          </w:tcPr>
          <w:p w14:paraId="4EA4D629"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Formát</w:t>
            </w:r>
          </w:p>
        </w:tc>
        <w:tc>
          <w:tcPr>
            <w:tcW w:w="4381" w:type="dxa"/>
          </w:tcPr>
          <w:p w14:paraId="24B8B11F"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w:t>
            </w:r>
          </w:p>
        </w:tc>
      </w:tr>
      <w:tr w:rsidR="00D42B04" w:rsidRPr="00D42B04" w14:paraId="34DA3C8E"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5D96B6E"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Onsite podpora</w:t>
            </w:r>
          </w:p>
        </w:tc>
        <w:tc>
          <w:tcPr>
            <w:tcW w:w="1277" w:type="dxa"/>
          </w:tcPr>
          <w:p w14:paraId="40FB3BD8"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FTE</w:t>
            </w:r>
          </w:p>
        </w:tc>
        <w:tc>
          <w:tcPr>
            <w:tcW w:w="4381" w:type="dxa"/>
          </w:tcPr>
          <w:p w14:paraId="0133A1F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Požadujeme počas záverečnej fázy projektu aby úspešný uchádzač dodal podporu systému vo forme 1 onsite konzultanta po dobu 10 dní. Po uplynutí tejto periódy je kompetencia za riešenie presunutá na interný prevádzkový tím.</w:t>
            </w:r>
          </w:p>
        </w:tc>
      </w:tr>
      <w:tr w:rsidR="00D42B04" w:rsidRPr="00D42B04" w14:paraId="3A99CCF7" w14:textId="77777777" w:rsidTr="000C3B41">
        <w:tc>
          <w:tcPr>
            <w:cnfStyle w:val="001000000000" w:firstRow="0" w:lastRow="0" w:firstColumn="1" w:lastColumn="0" w:oddVBand="0" w:evenVBand="0" w:oddHBand="0" w:evenHBand="0" w:firstRowFirstColumn="0" w:firstRowLastColumn="0" w:lastRowFirstColumn="0" w:lastRowLastColumn="0"/>
            <w:tcW w:w="2829" w:type="dxa"/>
          </w:tcPr>
          <w:p w14:paraId="3351DEAB"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Bezpečnostné testovanie</w:t>
            </w:r>
          </w:p>
        </w:tc>
        <w:tc>
          <w:tcPr>
            <w:tcW w:w="1277" w:type="dxa"/>
          </w:tcPr>
          <w:p w14:paraId="66D8053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FTE</w:t>
            </w:r>
          </w:p>
        </w:tc>
        <w:tc>
          <w:tcPr>
            <w:tcW w:w="4381" w:type="dxa"/>
          </w:tcPr>
          <w:p w14:paraId="084E3026"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Realizácia po akceptačnom testovaní (zabezpečí NBS). Potrebná súčinnosť pri realizácii bezpečnostného testovania. Oprava identifikovaných zraniteľností.</w:t>
            </w:r>
          </w:p>
        </w:tc>
      </w:tr>
      <w:tr w:rsidR="00D42B04" w:rsidRPr="00D42B04" w14:paraId="09FE0486"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958EB2F"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Overenie vykonateľnosti havarijného plánu</w:t>
            </w:r>
          </w:p>
        </w:tc>
        <w:tc>
          <w:tcPr>
            <w:tcW w:w="1277" w:type="dxa"/>
          </w:tcPr>
          <w:p w14:paraId="2343408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FTE</w:t>
            </w:r>
          </w:p>
        </w:tc>
        <w:tc>
          <w:tcPr>
            <w:tcW w:w="4381" w:type="dxa"/>
          </w:tcPr>
          <w:p w14:paraId="660FDF7F" w14:textId="77777777" w:rsidR="00D42B04" w:rsidRPr="00D42B04" w:rsidRDefault="00D42B04" w:rsidP="00D42B04">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Realizácia po akceptačnom testovaní (zabezpečí NBS). Potrebná súčinnosť pri realizácii testu postupu obnoviteľnosti systému.</w:t>
            </w:r>
          </w:p>
        </w:tc>
      </w:tr>
    </w:tbl>
    <w:p w14:paraId="7100460B"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30</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výstupov fázy Produkcia</w:t>
      </w:r>
    </w:p>
    <w:p w14:paraId="328C0B22" w14:textId="77777777" w:rsidR="00D42B04" w:rsidRPr="00D42B04" w:rsidRDefault="00D42B04" w:rsidP="00D42B04">
      <w:pPr>
        <w:keepNext/>
        <w:numPr>
          <w:ilvl w:val="3"/>
          <w:numId w:val="0"/>
        </w:numPr>
        <w:spacing w:before="120" w:after="120"/>
        <w:ind w:left="864" w:hanging="864"/>
        <w:jc w:val="both"/>
        <w:outlineLvl w:val="3"/>
        <w:rPr>
          <w:rFonts w:ascii="Cambria" w:eastAsia="Yu Gothic Light" w:hAnsi="Cambria"/>
          <w:i/>
          <w:iCs/>
          <w:color w:val="2F5496"/>
          <w:sz w:val="22"/>
          <w:szCs w:val="22"/>
        </w:rPr>
      </w:pPr>
      <w:r w:rsidRPr="00D42B04">
        <w:rPr>
          <w:rFonts w:ascii="Cambria" w:eastAsia="Yu Gothic Light" w:hAnsi="Cambria"/>
          <w:i/>
          <w:iCs/>
          <w:color w:val="2F5496"/>
          <w:sz w:val="22"/>
          <w:szCs w:val="22"/>
        </w:rPr>
        <w:t>Projektová dokumentácia</w:t>
      </w:r>
    </w:p>
    <w:tbl>
      <w:tblPr>
        <w:tblStyle w:val="GridTable4-Accent52"/>
        <w:tblW w:w="0" w:type="auto"/>
        <w:tblLook w:val="04A0" w:firstRow="1" w:lastRow="0" w:firstColumn="1" w:lastColumn="0" w:noHBand="0" w:noVBand="1"/>
      </w:tblPr>
      <w:tblGrid>
        <w:gridCol w:w="2829"/>
        <w:gridCol w:w="1786"/>
        <w:gridCol w:w="4381"/>
      </w:tblGrid>
      <w:tr w:rsidR="00D42B04" w:rsidRPr="00D42B04" w14:paraId="0D442618" w14:textId="77777777" w:rsidTr="00D42B0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29" w:type="dxa"/>
          </w:tcPr>
          <w:p w14:paraId="4193E9FF" w14:textId="77777777" w:rsidR="00D42B04" w:rsidRPr="00D42B04" w:rsidRDefault="00D42B04" w:rsidP="00D42B04">
            <w:pPr>
              <w:keepNext/>
              <w:spacing w:before="120" w:after="120"/>
              <w:jc w:val="both"/>
              <w:rPr>
                <w:rFonts w:ascii="Cambria" w:hAnsi="Cambria"/>
                <w:sz w:val="22"/>
              </w:rPr>
            </w:pPr>
            <w:r w:rsidRPr="00D42B04">
              <w:rPr>
                <w:rFonts w:ascii="Cambria" w:hAnsi="Cambria"/>
                <w:sz w:val="22"/>
              </w:rPr>
              <w:t>Výstup</w:t>
            </w:r>
          </w:p>
        </w:tc>
        <w:tc>
          <w:tcPr>
            <w:tcW w:w="1277" w:type="dxa"/>
          </w:tcPr>
          <w:p w14:paraId="6284C2E3"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Formát</w:t>
            </w:r>
          </w:p>
        </w:tc>
        <w:tc>
          <w:tcPr>
            <w:tcW w:w="4381" w:type="dxa"/>
          </w:tcPr>
          <w:p w14:paraId="1A3563D8"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w:t>
            </w:r>
          </w:p>
        </w:tc>
      </w:tr>
      <w:tr w:rsidR="00D42B04" w:rsidRPr="00D42B04" w14:paraId="2E203CE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0A762B48"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t>Zadanie projektu</w:t>
            </w:r>
          </w:p>
        </w:tc>
        <w:tc>
          <w:tcPr>
            <w:tcW w:w="1277" w:type="dxa"/>
          </w:tcPr>
          <w:p w14:paraId="72672459"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79EA573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Projektová inicializačná dokumentácia</w:t>
            </w:r>
          </w:p>
        </w:tc>
      </w:tr>
      <w:tr w:rsidR="00D42B04" w:rsidRPr="00D42B04" w14:paraId="2698EB8C"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25CC7F99" w14:textId="77777777" w:rsidR="00D42B04" w:rsidRPr="00D42B04" w:rsidRDefault="00D42B04" w:rsidP="00D42B04">
            <w:pPr>
              <w:spacing w:before="120" w:after="120"/>
              <w:jc w:val="both"/>
              <w:rPr>
                <w:rFonts w:ascii="Cambria" w:hAnsi="Cambria"/>
                <w:sz w:val="16"/>
                <w:szCs w:val="16"/>
              </w:rPr>
            </w:pPr>
            <w:r w:rsidRPr="00D42B04">
              <w:rPr>
                <w:rFonts w:ascii="Cambria" w:hAnsi="Cambria"/>
                <w:sz w:val="16"/>
                <w:szCs w:val="16"/>
              </w:rPr>
              <w:lastRenderedPageBreak/>
              <w:t>Plán projektu, revízie plánu projektu a etapové plány projektu,</w:t>
            </w:r>
          </w:p>
        </w:tc>
        <w:tc>
          <w:tcPr>
            <w:tcW w:w="1277" w:type="dxa"/>
          </w:tcPr>
          <w:p w14:paraId="3147CDBA"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2AAC1471"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 popisujúci projektový plán v zmysle dohodnutej projektovej metodiky</w:t>
            </w:r>
          </w:p>
        </w:tc>
      </w:tr>
      <w:tr w:rsidR="00D42B04" w:rsidRPr="00D42B04" w14:paraId="206131A3"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5391320D"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Plán komunikácie projektu (organizácia, plán meetingov, spoločný projektový priestor, zápisy)</w:t>
            </w:r>
          </w:p>
        </w:tc>
        <w:tc>
          <w:tcPr>
            <w:tcW w:w="1277" w:type="dxa"/>
          </w:tcPr>
          <w:p w14:paraId="0439EE8C"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3D8131D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 popisujúci organizáciu projektu a komunikáciu na projekte  v zmysle dohodnutej projektovej metodiky</w:t>
            </w:r>
          </w:p>
        </w:tc>
      </w:tr>
      <w:tr w:rsidR="00D42B04" w:rsidRPr="00D42B04" w14:paraId="14F4CBC9"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4BBA06B7"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Štandardy pre zaistenie kvality realizácie projektu a zaistenie kvality dodávaného systému.</w:t>
            </w:r>
          </w:p>
        </w:tc>
        <w:tc>
          <w:tcPr>
            <w:tcW w:w="1277" w:type="dxa"/>
          </w:tcPr>
          <w:p w14:paraId="3AA085C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3B390154"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Dokument popisujúci prístup ku kvalite, spôsob jej merania a vyhodnocovania.</w:t>
            </w:r>
          </w:p>
        </w:tc>
      </w:tr>
      <w:tr w:rsidR="00D42B04" w:rsidRPr="00D42B04" w14:paraId="107DE852"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0E3A9073"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Plán školení používateľov,</w:t>
            </w:r>
          </w:p>
        </w:tc>
        <w:tc>
          <w:tcPr>
            <w:tcW w:w="1277" w:type="dxa"/>
          </w:tcPr>
          <w:p w14:paraId="77C4489E"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4022C21F"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Dokument popisujúci prístup ku školeniam, formu, obsah a časové rámce školení jednotlivých rolí používateľov.</w:t>
            </w:r>
          </w:p>
        </w:tc>
      </w:tr>
      <w:tr w:rsidR="00D42B04" w:rsidRPr="00D42B04" w14:paraId="19E9B046"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49464916"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Plán skúšobnej prevádzky</w:t>
            </w:r>
          </w:p>
        </w:tc>
        <w:tc>
          <w:tcPr>
            <w:tcW w:w="1277" w:type="dxa"/>
          </w:tcPr>
          <w:p w14:paraId="286EACC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38E73BB0"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D42B04" w:rsidRPr="00D42B04" w14:paraId="06334B11"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351C1F09"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Správy o stave realizácie projektu</w:t>
            </w:r>
          </w:p>
        </w:tc>
        <w:tc>
          <w:tcPr>
            <w:tcW w:w="1277" w:type="dxa"/>
          </w:tcPr>
          <w:p w14:paraId="12DF5930"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1D6D53C4"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 xml:space="preserve">Dokument popisujúci aktuálny stav projektu dodávaný zhotoviteľom </w:t>
            </w:r>
          </w:p>
        </w:tc>
      </w:tr>
      <w:tr w:rsidR="00D42B04" w:rsidRPr="00D42B04" w14:paraId="2AE1753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78D37BE0"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Dokumentácia k ukončeniu projektu</w:t>
            </w:r>
          </w:p>
        </w:tc>
        <w:tc>
          <w:tcPr>
            <w:tcW w:w="1277" w:type="dxa"/>
          </w:tcPr>
          <w:p w14:paraId="6444431F"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29CFFB1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Záverečná  správa projektu v zmysle dohodnutej projektovej metodiky</w:t>
            </w:r>
          </w:p>
        </w:tc>
      </w:tr>
      <w:tr w:rsidR="00D42B04" w:rsidRPr="00D42B04" w14:paraId="09015EDC"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265B2F47"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Register rizík</w:t>
            </w:r>
          </w:p>
        </w:tc>
        <w:tc>
          <w:tcPr>
            <w:tcW w:w="1277" w:type="dxa"/>
          </w:tcPr>
          <w:p w14:paraId="13317E47"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6CC62835"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Evidenčný zoznam projektových rizík</w:t>
            </w:r>
          </w:p>
        </w:tc>
      </w:tr>
      <w:tr w:rsidR="00D42B04" w:rsidRPr="00D42B04" w14:paraId="427BE24D"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14A0DD17"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Register problémov</w:t>
            </w:r>
          </w:p>
        </w:tc>
        <w:tc>
          <w:tcPr>
            <w:tcW w:w="1277" w:type="dxa"/>
          </w:tcPr>
          <w:p w14:paraId="7A4E738C"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2EB3CAE8"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Evidenčný zoznam riešených problémov</w:t>
            </w:r>
          </w:p>
        </w:tc>
      </w:tr>
      <w:tr w:rsidR="00D42B04" w:rsidRPr="00D42B04" w14:paraId="78EE0C25" w14:textId="77777777" w:rsidTr="00D42B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29" w:type="dxa"/>
          </w:tcPr>
          <w:p w14:paraId="25A56A68"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Register zmien projektu</w:t>
            </w:r>
          </w:p>
        </w:tc>
        <w:tc>
          <w:tcPr>
            <w:tcW w:w="1277" w:type="dxa"/>
          </w:tcPr>
          <w:p w14:paraId="55EFE7BB"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6F99C381"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42B04">
              <w:rPr>
                <w:rFonts w:ascii="Cambria" w:hAnsi="Cambria"/>
                <w:sz w:val="16"/>
                <w:szCs w:val="16"/>
              </w:rPr>
              <w:t>Evidenčný zoznam zmien na projekte</w:t>
            </w:r>
          </w:p>
        </w:tc>
      </w:tr>
      <w:tr w:rsidR="00D42B04" w:rsidRPr="00D42B04" w14:paraId="3B0D767B" w14:textId="77777777" w:rsidTr="000C3B41">
        <w:trPr>
          <w:cantSplit/>
        </w:trPr>
        <w:tc>
          <w:tcPr>
            <w:cnfStyle w:val="001000000000" w:firstRow="0" w:lastRow="0" w:firstColumn="1" w:lastColumn="0" w:oddVBand="0" w:evenVBand="0" w:oddHBand="0" w:evenHBand="0" w:firstRowFirstColumn="0" w:firstRowLastColumn="0" w:lastRowFirstColumn="0" w:lastRowLastColumn="0"/>
            <w:tcW w:w="2829" w:type="dxa"/>
          </w:tcPr>
          <w:p w14:paraId="5F54D104" w14:textId="77777777" w:rsidR="00D42B04" w:rsidRPr="00D42B04" w:rsidRDefault="00D42B04" w:rsidP="00D42B04">
            <w:pPr>
              <w:spacing w:before="120" w:after="120"/>
              <w:rPr>
                <w:rFonts w:ascii="Cambria" w:hAnsi="Cambria"/>
                <w:sz w:val="16"/>
                <w:szCs w:val="16"/>
              </w:rPr>
            </w:pPr>
            <w:r w:rsidRPr="00D42B04">
              <w:rPr>
                <w:rFonts w:ascii="Cambria" w:hAnsi="Cambria"/>
                <w:sz w:val="16"/>
                <w:szCs w:val="16"/>
              </w:rPr>
              <w:t>Register výstupov projektu</w:t>
            </w:r>
          </w:p>
        </w:tc>
        <w:tc>
          <w:tcPr>
            <w:tcW w:w="1277" w:type="dxa"/>
          </w:tcPr>
          <w:p w14:paraId="53E35DBE"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DOCX/PDF/XLSX/MPP</w:t>
            </w:r>
          </w:p>
        </w:tc>
        <w:tc>
          <w:tcPr>
            <w:tcW w:w="4381" w:type="dxa"/>
          </w:tcPr>
          <w:p w14:paraId="54903350" w14:textId="77777777" w:rsidR="00D42B04" w:rsidRPr="00D42B04" w:rsidRDefault="00D42B04" w:rsidP="00D42B0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42B04">
              <w:rPr>
                <w:rFonts w:ascii="Cambria" w:hAnsi="Cambria"/>
                <w:sz w:val="16"/>
                <w:szCs w:val="16"/>
              </w:rPr>
              <w:t>Zoznam odovzdávanej výstupnej dokumentácie pri akceptačných míľnikoch</w:t>
            </w:r>
          </w:p>
        </w:tc>
      </w:tr>
    </w:tbl>
    <w:p w14:paraId="0E870E2D"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31</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Tabuľka projektovej dokumentácie</w:t>
      </w:r>
    </w:p>
    <w:p w14:paraId="6E377E61"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82" w:name="_Toc110518805"/>
      <w:r w:rsidRPr="00D42B04">
        <w:rPr>
          <w:rFonts w:ascii="Cambria" w:eastAsia="Yu Gothic Light" w:hAnsi="Cambria"/>
          <w:b/>
          <w:bCs/>
          <w:color w:val="2F5496"/>
          <w:szCs w:val="24"/>
        </w:rPr>
        <w:t>Akceptačné kritériá</w:t>
      </w:r>
      <w:bookmarkEnd w:id="182"/>
    </w:p>
    <w:p w14:paraId="61F84B9E"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Chybovosť dodávky pred nasadením do PROD:</w:t>
      </w:r>
    </w:p>
    <w:p w14:paraId="0D79DA52"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0 závažných nedostatkov z UAT</w:t>
      </w:r>
    </w:p>
    <w:p w14:paraId="16B9412D"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0 zásadných nedostatkov z UAT</w:t>
      </w:r>
    </w:p>
    <w:p w14:paraId="5C061677" w14:textId="77777777" w:rsidR="00D42B04" w:rsidRPr="00D42B04" w:rsidRDefault="00D42B04" w:rsidP="00D42B04">
      <w:pPr>
        <w:numPr>
          <w:ilvl w:val="0"/>
          <w:numId w:val="92"/>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Max 10 nepodstatných  nedostatkov z UAT</w:t>
      </w:r>
    </w:p>
    <w:p w14:paraId="7098B92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Exekúcia  100% odsúhlasených testovacích scenárov.</w:t>
      </w:r>
    </w:p>
    <w:p w14:paraId="2E03286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Priebežná príprava a predkladanie výstupnej dokumentácie</w:t>
      </w:r>
    </w:p>
    <w:p w14:paraId="4A31527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Akceptované všetky požadované výstupy projektu pre danú fázu podľa kapitoly 3.4.5.</w:t>
      </w:r>
    </w:p>
    <w:p w14:paraId="6135FD7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Zhotoviteľ dodá mesačné výkazy prác kľúčových expertov definovaných v súťažných podkladoch.</w:t>
      </w:r>
    </w:p>
    <w:p w14:paraId="6F49B4B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Zhotoviteľ zabezpečí prítomnosť minimálne dvoch pracovníkov v priestoroch banky počas celého trvania projektu. (Maximálna kapacita priestorov objednávateľom poskytnutých pre takýto typ práce je 12 pracovníkov).</w:t>
      </w:r>
    </w:p>
    <w:p w14:paraId="79A5CACE"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83" w:name="_Toc110518806"/>
      <w:r w:rsidRPr="00D42B04">
        <w:rPr>
          <w:rFonts w:ascii="Cambria" w:eastAsia="Yu Gothic Light" w:hAnsi="Cambria"/>
          <w:b/>
          <w:bCs/>
          <w:color w:val="2F5496"/>
          <w:szCs w:val="24"/>
        </w:rPr>
        <w:lastRenderedPageBreak/>
        <w:t>Riziká projektu</w:t>
      </w:r>
      <w:bookmarkEnd w:id="183"/>
    </w:p>
    <w:p w14:paraId="68623F3D" w14:textId="77777777" w:rsidR="00D42B04" w:rsidRPr="00D42B04" w:rsidRDefault="00D42B04" w:rsidP="00D42B04">
      <w:pPr>
        <w:keepNext/>
        <w:spacing w:before="120" w:after="120"/>
        <w:jc w:val="both"/>
        <w:rPr>
          <w:rFonts w:ascii="Cambria" w:eastAsia="Calibri" w:hAnsi="Cambria" w:cs="Arial"/>
          <w:sz w:val="22"/>
          <w:szCs w:val="22"/>
        </w:rPr>
      </w:pPr>
      <w:r w:rsidRPr="00D42B04">
        <w:rPr>
          <w:rFonts w:ascii="Cambria" w:eastAsia="Calibri" w:hAnsi="Cambria" w:cs="Arial"/>
          <w:sz w:val="22"/>
          <w:szCs w:val="22"/>
        </w:rPr>
        <w:t>V rámci verejného obstarania požadujeme vytvoriť register rizík projektu, ktoré budú mať vplyv na projekt v podobe nasledujúcej tabuľky:</w:t>
      </w:r>
    </w:p>
    <w:tbl>
      <w:tblPr>
        <w:tblStyle w:val="GridTable4-Accent52"/>
        <w:tblW w:w="0" w:type="auto"/>
        <w:tblLook w:val="04A0" w:firstRow="1" w:lastRow="0" w:firstColumn="1" w:lastColumn="0" w:noHBand="0" w:noVBand="1"/>
      </w:tblPr>
      <w:tblGrid>
        <w:gridCol w:w="2121"/>
        <w:gridCol w:w="2122"/>
        <w:gridCol w:w="2122"/>
        <w:gridCol w:w="2122"/>
      </w:tblGrid>
      <w:tr w:rsidR="00D42B04" w:rsidRPr="00D42B04" w14:paraId="23EC14E1" w14:textId="77777777" w:rsidTr="00D4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1C20F17C" w14:textId="77777777" w:rsidR="00D42B04" w:rsidRPr="00D42B04" w:rsidRDefault="00D42B04" w:rsidP="00D42B04">
            <w:pPr>
              <w:keepNext/>
              <w:spacing w:before="120" w:after="120"/>
              <w:jc w:val="both"/>
              <w:rPr>
                <w:rFonts w:ascii="Cambria" w:hAnsi="Cambria"/>
                <w:sz w:val="22"/>
              </w:rPr>
            </w:pPr>
            <w:r w:rsidRPr="00D42B04">
              <w:rPr>
                <w:rFonts w:ascii="Cambria" w:hAnsi="Cambria"/>
                <w:sz w:val="22"/>
              </w:rPr>
              <w:t>Názov a popis rizika</w:t>
            </w:r>
          </w:p>
        </w:tc>
        <w:tc>
          <w:tcPr>
            <w:tcW w:w="2122" w:type="dxa"/>
          </w:tcPr>
          <w:p w14:paraId="36DCF239"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Kategória dopadu na projekt (H/M,/L)</w:t>
            </w:r>
          </w:p>
        </w:tc>
        <w:tc>
          <w:tcPr>
            <w:tcW w:w="2122" w:type="dxa"/>
          </w:tcPr>
          <w:p w14:paraId="554535D2"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Kategória možnosti výskytu rizika (H/M,/L)</w:t>
            </w:r>
          </w:p>
        </w:tc>
        <w:tc>
          <w:tcPr>
            <w:tcW w:w="2122" w:type="dxa"/>
          </w:tcPr>
          <w:p w14:paraId="5B2E8D35" w14:textId="77777777" w:rsidR="00D42B04" w:rsidRPr="00D42B04" w:rsidRDefault="00D42B04" w:rsidP="00D42B04">
            <w:pPr>
              <w:keepNext/>
              <w:spacing w:before="120" w:after="120"/>
              <w:jc w:val="both"/>
              <w:cnfStyle w:val="100000000000" w:firstRow="1" w:lastRow="0" w:firstColumn="0" w:lastColumn="0" w:oddVBand="0" w:evenVBand="0" w:oddHBand="0" w:evenHBand="0" w:firstRowFirstColumn="0" w:firstRowLastColumn="0" w:lastRowFirstColumn="0" w:lastRowLastColumn="0"/>
              <w:rPr>
                <w:rFonts w:ascii="Cambria" w:hAnsi="Cambria"/>
                <w:sz w:val="22"/>
              </w:rPr>
            </w:pPr>
            <w:r w:rsidRPr="00D42B04">
              <w:rPr>
                <w:rFonts w:ascii="Cambria" w:hAnsi="Cambria"/>
                <w:sz w:val="22"/>
              </w:rPr>
              <w:t>Popis návrhu na zmiernenie dopadu</w:t>
            </w:r>
          </w:p>
        </w:tc>
      </w:tr>
      <w:tr w:rsidR="00D42B04" w:rsidRPr="00D42B04" w14:paraId="2BA7EA45" w14:textId="77777777" w:rsidTr="00D4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32E9C16C" w14:textId="77777777" w:rsidR="00D42B04" w:rsidRPr="00D42B04" w:rsidRDefault="00D42B04" w:rsidP="00D42B04">
            <w:pPr>
              <w:spacing w:before="120" w:after="120"/>
              <w:jc w:val="both"/>
              <w:rPr>
                <w:rFonts w:ascii="Cambria" w:hAnsi="Cambria"/>
                <w:sz w:val="22"/>
              </w:rPr>
            </w:pPr>
          </w:p>
        </w:tc>
        <w:tc>
          <w:tcPr>
            <w:tcW w:w="2122" w:type="dxa"/>
          </w:tcPr>
          <w:p w14:paraId="4CAE233A"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122" w:type="dxa"/>
          </w:tcPr>
          <w:p w14:paraId="4F8A3D7D"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c>
          <w:tcPr>
            <w:tcW w:w="2122" w:type="dxa"/>
          </w:tcPr>
          <w:p w14:paraId="0565C0F3" w14:textId="77777777" w:rsidR="00D42B04" w:rsidRPr="00D42B04" w:rsidRDefault="00D42B04" w:rsidP="00D42B04">
            <w:pPr>
              <w:spacing w:before="120" w:after="120"/>
              <w:jc w:val="both"/>
              <w:cnfStyle w:val="000000100000" w:firstRow="0" w:lastRow="0" w:firstColumn="0" w:lastColumn="0" w:oddVBand="0" w:evenVBand="0" w:oddHBand="1" w:evenHBand="0" w:firstRowFirstColumn="0" w:firstRowLastColumn="0" w:lastRowFirstColumn="0" w:lastRowLastColumn="0"/>
              <w:rPr>
                <w:rFonts w:ascii="Cambria" w:hAnsi="Cambria"/>
                <w:sz w:val="22"/>
              </w:rPr>
            </w:pPr>
          </w:p>
        </w:tc>
      </w:tr>
      <w:tr w:rsidR="00D42B04" w:rsidRPr="00D42B04" w14:paraId="0381A20F" w14:textId="77777777" w:rsidTr="000C3B41">
        <w:tc>
          <w:tcPr>
            <w:cnfStyle w:val="001000000000" w:firstRow="0" w:lastRow="0" w:firstColumn="1" w:lastColumn="0" w:oddVBand="0" w:evenVBand="0" w:oddHBand="0" w:evenHBand="0" w:firstRowFirstColumn="0" w:firstRowLastColumn="0" w:lastRowFirstColumn="0" w:lastRowLastColumn="0"/>
            <w:tcW w:w="2121" w:type="dxa"/>
          </w:tcPr>
          <w:p w14:paraId="63D31130" w14:textId="77777777" w:rsidR="00D42B04" w:rsidRPr="00D42B04" w:rsidRDefault="00D42B04" w:rsidP="00D42B04">
            <w:pPr>
              <w:spacing w:before="120" w:after="120"/>
              <w:jc w:val="both"/>
              <w:rPr>
                <w:rFonts w:ascii="Cambria" w:hAnsi="Cambria"/>
                <w:sz w:val="22"/>
              </w:rPr>
            </w:pPr>
          </w:p>
        </w:tc>
        <w:tc>
          <w:tcPr>
            <w:tcW w:w="2122" w:type="dxa"/>
          </w:tcPr>
          <w:p w14:paraId="33473A27"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2122" w:type="dxa"/>
          </w:tcPr>
          <w:p w14:paraId="4E8EAA3B" w14:textId="77777777" w:rsidR="00D42B04" w:rsidRPr="00D42B04" w:rsidRDefault="00D42B04" w:rsidP="00D42B04">
            <w:pPr>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c>
          <w:tcPr>
            <w:tcW w:w="2122" w:type="dxa"/>
          </w:tcPr>
          <w:p w14:paraId="52257EE3" w14:textId="77777777" w:rsidR="00D42B04" w:rsidRPr="00D42B04" w:rsidRDefault="00D42B04" w:rsidP="00D42B0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Cambria" w:hAnsi="Cambria"/>
                <w:sz w:val="22"/>
              </w:rPr>
            </w:pPr>
          </w:p>
        </w:tc>
      </w:tr>
    </w:tbl>
    <w:p w14:paraId="1F32D9E4" w14:textId="77777777" w:rsidR="00D42B04" w:rsidRPr="00D42B04" w:rsidRDefault="00D42B04" w:rsidP="00D42B04">
      <w:pPr>
        <w:spacing w:before="120" w:after="200"/>
        <w:jc w:val="both"/>
        <w:rPr>
          <w:rFonts w:ascii="Cambria" w:eastAsia="Calibri" w:hAnsi="Cambria" w:cs="Arial"/>
          <w:i/>
          <w:iCs/>
          <w:color w:val="44546A"/>
          <w:sz w:val="18"/>
          <w:szCs w:val="18"/>
        </w:rPr>
      </w:pPr>
      <w:r w:rsidRPr="00D42B04">
        <w:rPr>
          <w:rFonts w:ascii="Cambria" w:eastAsia="Calibri" w:hAnsi="Cambria" w:cs="Arial"/>
          <w:i/>
          <w:iCs/>
          <w:color w:val="44546A"/>
          <w:sz w:val="18"/>
          <w:szCs w:val="18"/>
        </w:rPr>
        <w:t xml:space="preserve">Tabuľka </w:t>
      </w:r>
      <w:r w:rsidRPr="00D42B04">
        <w:rPr>
          <w:rFonts w:ascii="Cambria" w:eastAsia="Calibri" w:hAnsi="Cambria" w:cs="Arial"/>
          <w:i/>
          <w:iCs/>
          <w:color w:val="44546A"/>
          <w:sz w:val="18"/>
          <w:szCs w:val="18"/>
        </w:rPr>
        <w:fldChar w:fldCharType="begin"/>
      </w:r>
      <w:r w:rsidRPr="00D42B04">
        <w:rPr>
          <w:rFonts w:ascii="Cambria" w:eastAsia="Calibri" w:hAnsi="Cambria" w:cs="Arial"/>
          <w:i/>
          <w:iCs/>
          <w:color w:val="44546A"/>
          <w:sz w:val="18"/>
          <w:szCs w:val="18"/>
        </w:rPr>
        <w:instrText xml:space="preserve"> SEQ Tabuľka \* ARABIC </w:instrText>
      </w:r>
      <w:r w:rsidRPr="00D42B04">
        <w:rPr>
          <w:rFonts w:ascii="Cambria" w:eastAsia="Calibri" w:hAnsi="Cambria" w:cs="Arial"/>
          <w:i/>
          <w:iCs/>
          <w:color w:val="44546A"/>
          <w:sz w:val="18"/>
          <w:szCs w:val="18"/>
        </w:rPr>
        <w:fldChar w:fldCharType="separate"/>
      </w:r>
      <w:r w:rsidRPr="00D42B04">
        <w:rPr>
          <w:rFonts w:ascii="Cambria" w:eastAsia="Calibri" w:hAnsi="Cambria" w:cs="Arial"/>
          <w:i/>
          <w:iCs/>
          <w:noProof/>
          <w:color w:val="44546A"/>
          <w:sz w:val="18"/>
          <w:szCs w:val="18"/>
        </w:rPr>
        <w:t>32</w:t>
      </w:r>
      <w:r w:rsidRPr="00D42B04">
        <w:rPr>
          <w:rFonts w:ascii="Cambria" w:eastAsia="Calibri" w:hAnsi="Cambria" w:cs="Arial"/>
          <w:i/>
          <w:iCs/>
          <w:noProof/>
          <w:color w:val="44546A"/>
          <w:sz w:val="18"/>
          <w:szCs w:val="18"/>
        </w:rPr>
        <w:fldChar w:fldCharType="end"/>
      </w:r>
      <w:r w:rsidRPr="00D42B04">
        <w:rPr>
          <w:rFonts w:ascii="Cambria" w:eastAsia="Calibri" w:hAnsi="Cambria" w:cs="Arial"/>
          <w:i/>
          <w:iCs/>
          <w:color w:val="44546A"/>
          <w:sz w:val="18"/>
          <w:szCs w:val="18"/>
        </w:rPr>
        <w:t>: Riziká projektu</w:t>
      </w:r>
    </w:p>
    <w:p w14:paraId="7CDDBB65" w14:textId="77777777" w:rsidR="00D42B04" w:rsidRPr="00D42B04" w:rsidRDefault="00D42B04" w:rsidP="00D42B04">
      <w:pPr>
        <w:keepNext/>
        <w:pageBreakBefore/>
        <w:spacing w:before="240" w:after="240"/>
        <w:ind w:left="432" w:hanging="432"/>
        <w:jc w:val="both"/>
        <w:outlineLvl w:val="0"/>
        <w:rPr>
          <w:rFonts w:ascii="Cambria" w:eastAsia="Yu Gothic Light" w:hAnsi="Cambria" w:cs="Calibri"/>
          <w:color w:val="2F5496"/>
          <w:sz w:val="32"/>
          <w:szCs w:val="32"/>
        </w:rPr>
      </w:pPr>
      <w:bookmarkStart w:id="184" w:name="_Toc110518807"/>
      <w:r w:rsidRPr="00D42B04">
        <w:rPr>
          <w:rFonts w:ascii="Cambria" w:eastAsia="Yu Gothic Light" w:hAnsi="Cambria" w:cs="Calibri"/>
          <w:color w:val="2F5496"/>
          <w:sz w:val="32"/>
          <w:szCs w:val="32"/>
        </w:rPr>
        <w:lastRenderedPageBreak/>
        <w:t>Opis predmetu zákazky pre služby podpory prevádzky a rozvoja</w:t>
      </w:r>
      <w:bookmarkEnd w:id="184"/>
    </w:p>
    <w:p w14:paraId="616AFB0A"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85" w:name="_Toc110518808"/>
      <w:r w:rsidRPr="00D42B04">
        <w:rPr>
          <w:rFonts w:ascii="Cambria" w:eastAsia="Yu Gothic Light" w:hAnsi="Cambria"/>
          <w:b/>
          <w:bCs/>
          <w:color w:val="2F5496"/>
          <w:sz w:val="26"/>
          <w:szCs w:val="26"/>
        </w:rPr>
        <w:t>Úvod</w:t>
      </w:r>
      <w:bookmarkEnd w:id="185"/>
    </w:p>
    <w:p w14:paraId="602D9775"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Zabezpečenie prevádzky vychádza z predpokladu trvalej udržateľnosti celého riešenia NBS DWH po dobu 3 rokov od ukončenia projektu (akceptácie diela) a nasadenia do produkcie.</w:t>
      </w:r>
    </w:p>
    <w:p w14:paraId="501841C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Úroveň L1 podpory</w:t>
      </w:r>
      <w:r w:rsidRPr="00D42B04">
        <w:rPr>
          <w:rFonts w:ascii="Cambria" w:eastAsia="Calibri" w:hAnsi="Cambria" w:cs="Arial"/>
          <w:sz w:val="22"/>
          <w:szCs w:val="22"/>
        </w:rPr>
        <w:t xml:space="preserve"> prevádzky NBS DWH bude zabezpečená vlastnými personálnymi kapacitami NBS, ktorá zabezpečí nasledovné služby prevádzky:</w:t>
      </w:r>
    </w:p>
    <w:p w14:paraId="4D9FC303"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technická podpora  pracovných staníc používateľov,</w:t>
      </w:r>
    </w:p>
    <w:p w14:paraId="05091685"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riadenie oprávnení,</w:t>
      </w:r>
    </w:p>
    <w:p w14:paraId="48B1AA48"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správu centrálneho systému riadenia identít</w:t>
      </w:r>
    </w:p>
    <w:p w14:paraId="62DE6E4F"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riešenie prípadných problémov komunikačnej infraštruktúry (databázy, sieť, aplikačné servere) na strane NBS. </w:t>
      </w:r>
    </w:p>
    <w:p w14:paraId="0A3ACAF5"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riadenie nasadzovania aplikácií, </w:t>
      </w:r>
    </w:p>
    <w:p w14:paraId="0C88CEF5"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prevádzku centrálneho SeriveDesk-u</w:t>
      </w:r>
    </w:p>
    <w:p w14:paraId="77783816" w14:textId="77777777" w:rsidR="00D42B04" w:rsidRPr="00D42B04" w:rsidRDefault="00D42B04" w:rsidP="00D42B04">
      <w:pPr>
        <w:numPr>
          <w:ilvl w:val="0"/>
          <w:numId w:val="8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poskytovanie základného poradenstva pre koncových používateľov informačného systému.</w:t>
      </w:r>
    </w:p>
    <w:p w14:paraId="5A0C8ED7"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Úroveň L2 podpory</w:t>
      </w:r>
      <w:r w:rsidRPr="00D42B04">
        <w:rPr>
          <w:rFonts w:ascii="Cambria" w:eastAsia="Calibri" w:hAnsi="Cambria" w:cs="Arial"/>
          <w:sz w:val="22"/>
          <w:szCs w:val="22"/>
        </w:rPr>
        <w:t xml:space="preserve"> prevádzky NBS DWH bude zabezpečená interným DWH tímom OIT NBS.</w:t>
      </w:r>
    </w:p>
    <w:p w14:paraId="2ED0A8D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b/>
          <w:bCs/>
          <w:sz w:val="22"/>
          <w:szCs w:val="22"/>
        </w:rPr>
        <w:t>Úroveň L3 podpory</w:t>
      </w:r>
      <w:r w:rsidRPr="00D42B04">
        <w:rPr>
          <w:rFonts w:ascii="Cambria" w:eastAsia="Calibri" w:hAnsi="Cambria" w:cs="Arial"/>
          <w:sz w:val="22"/>
          <w:szCs w:val="22"/>
        </w:rPr>
        <w:t xml:space="preserve"> prevádzky NBS DWH zabezpečí vybraný externý poskytovať na základe Zmluvy o poskytovaní  služieb  podpory prevádzky a rozvoja NBS DWH, ktorý bude garantovať:</w:t>
      </w:r>
    </w:p>
    <w:p w14:paraId="15EA3F09" w14:textId="77777777" w:rsidR="00D42B04" w:rsidRPr="00D42B04" w:rsidRDefault="00D42B04" w:rsidP="00D42B04">
      <w:pPr>
        <w:numPr>
          <w:ilvl w:val="0"/>
          <w:numId w:val="8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dostupnosť, funkčnosť a technickú podporu aplikačných komponentov riešenia</w:t>
      </w:r>
    </w:p>
    <w:p w14:paraId="56810A92" w14:textId="77777777" w:rsidR="00D42B04" w:rsidRPr="00D42B04" w:rsidRDefault="00D42B04" w:rsidP="00D42B04">
      <w:pPr>
        <w:numPr>
          <w:ilvl w:val="0"/>
          <w:numId w:val="8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riešenie aplikačných incidentov</w:t>
      </w:r>
    </w:p>
    <w:p w14:paraId="2F7F55C3" w14:textId="77777777" w:rsidR="00D42B04" w:rsidRPr="00D42B04" w:rsidRDefault="00D42B04" w:rsidP="00D42B04">
      <w:pPr>
        <w:numPr>
          <w:ilvl w:val="0"/>
          <w:numId w:val="88"/>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realizáciu vyžiadaných úprav a zmenových konaní v informačnom systéme </w:t>
      </w:r>
    </w:p>
    <w:p w14:paraId="4309E1B2"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a to podľa požiadaviek uvedených v nasledujúcich častiach opisu.</w:t>
      </w:r>
    </w:p>
    <w:p w14:paraId="6D244AEB"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86" w:name="_Toc110518809"/>
      <w:r w:rsidRPr="00D42B04">
        <w:rPr>
          <w:rFonts w:ascii="Cambria" w:eastAsia="Yu Gothic Light" w:hAnsi="Cambria"/>
          <w:b/>
          <w:bCs/>
          <w:color w:val="2F5496"/>
          <w:sz w:val="26"/>
          <w:szCs w:val="26"/>
        </w:rPr>
        <w:t>Požiadavky na služby aplikačnej podpory prevádzky NBS DWH</w:t>
      </w:r>
      <w:bookmarkEnd w:id="186"/>
    </w:p>
    <w:p w14:paraId="245B10BC"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Služby podpory prevádzky NBS DWH zahŕňajú predovšetkým:</w:t>
      </w:r>
    </w:p>
    <w:p w14:paraId="549DBD69" w14:textId="77777777" w:rsidR="00D42B04" w:rsidRPr="00D42B04" w:rsidRDefault="00D42B04" w:rsidP="00D42B04">
      <w:pPr>
        <w:numPr>
          <w:ilvl w:val="0"/>
          <w:numId w:val="3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Zabezpečenie bežnej servisnej podpory NBS DWH odbornými zamestnancami poskytovateľa pre riešenie hlásených incidentov, a to denne, v čase od 8:00 do 16:00 hodiny počas pracovných dní SR.</w:t>
      </w:r>
    </w:p>
    <w:p w14:paraId="42783910" w14:textId="77777777" w:rsidR="00D42B04" w:rsidRPr="00D42B04" w:rsidRDefault="00D42B04" w:rsidP="00D42B04">
      <w:pPr>
        <w:numPr>
          <w:ilvl w:val="0"/>
          <w:numId w:val="3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Odstraňovanie hlásených incidentov a odstraňovanie chýb v jednotlivých komponentoch NBS DWH, brániacich bezproblémovému používaniu informačného systému, s dodržaním požadovaných reakčných časov, resp. poskytnutie náhradného riešenia pri riešení incidentov.</w:t>
      </w:r>
    </w:p>
    <w:p w14:paraId="19320570" w14:textId="77777777" w:rsidR="00D42B04" w:rsidRPr="00D42B04" w:rsidRDefault="00D42B04" w:rsidP="00D42B04">
      <w:pPr>
        <w:numPr>
          <w:ilvl w:val="0"/>
          <w:numId w:val="37"/>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 xml:space="preserve">Raz za štvrťrok vytvorenie reportu ako zhodnotenie stavu a priebehu aktualizácie dát v DWH </w:t>
      </w:r>
    </w:p>
    <w:p w14:paraId="2F075F5F"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87" w:name="_Toc110518810"/>
      <w:r w:rsidRPr="00D42B04">
        <w:rPr>
          <w:rFonts w:ascii="Cambria" w:eastAsia="Yu Gothic Light" w:hAnsi="Cambria"/>
          <w:b/>
          <w:bCs/>
          <w:color w:val="2F5496"/>
          <w:szCs w:val="24"/>
        </w:rPr>
        <w:t>Zoznam činností vykonávaných v rámci Služieb podpory prevádzky</w:t>
      </w:r>
      <w:bookmarkEnd w:id="187"/>
    </w:p>
    <w:p w14:paraId="48E29681"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Služby podpory prevádzky NBS DWH zahŕňajú nasledovné činnosti:</w:t>
      </w:r>
    </w:p>
    <w:p w14:paraId="37B4A848"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Podpora (Hotline)</w:t>
      </w:r>
    </w:p>
    <w:p w14:paraId="28A8AEB2"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Poskytovanie poradenstva súvisiaceho s prevádzkou</w:t>
      </w:r>
    </w:p>
    <w:p w14:paraId="6A42A2A7"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Vykonávanie bežných operatívnych zásahov (bez zmeny funkcionality)</w:t>
      </w:r>
    </w:p>
    <w:p w14:paraId="1966BF28"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pravidelná údržba riešenia – monitorovanie prostredia, pravidelné aplikovanie publikovaných SW záplat (okrem databáz).</w:t>
      </w:r>
    </w:p>
    <w:p w14:paraId="15C016E2"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denný monitoring ETL procesov (vyhodnocovanie systémových logov priebehu aktualizácie DWH) a opravovanie prípadných chýb implementácie.</w:t>
      </w:r>
    </w:p>
    <w:p w14:paraId="053A9C2B"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proaktívna kontrola (profylaktika) ETL procesu – jej výsledkom je odporúčanie aktivít pre krátky a stredný časový horizont na zabezpečenie úspešného a optimálneho chodu aktualizácie</w:t>
      </w:r>
    </w:p>
    <w:p w14:paraId="3485DCB6"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lastRenderedPageBreak/>
        <w:t>reportovanie zamerané na spracovávanie požadovaných reportov o incidentoch a operatívnych informácií o ich riešení,</w:t>
      </w:r>
    </w:p>
    <w:p w14:paraId="0E7109B6"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poskytnúť súčinnosť požadovanú NBS pri prenesení uzavretého Problému do Produkčného prostredia.</w:t>
      </w:r>
    </w:p>
    <w:p w14:paraId="218E4B8F"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Proaktívne informovať NBS o chybách v DWH systémoch, ktoré zistil sám</w:t>
      </w:r>
    </w:p>
    <w:p w14:paraId="6AF56884"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Údržba (riadenie incidentov)</w:t>
      </w:r>
    </w:p>
    <w:p w14:paraId="63B7794D"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sz w:val="22"/>
          <w:szCs w:val="22"/>
        </w:rPr>
        <w:t>vedenie evidencie nahlásených Incidentov v systéme na evidenciu problémov.</w:t>
      </w:r>
    </w:p>
    <w:p w14:paraId="10B567CD"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sz w:val="22"/>
          <w:szCs w:val="22"/>
        </w:rPr>
        <w:t>identifikácia problému, jeho analýza a samotné riešenie</w:t>
      </w:r>
    </w:p>
    <w:p w14:paraId="1A5BDB5F"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sz w:val="22"/>
          <w:szCs w:val="22"/>
        </w:rPr>
        <w:t>poskytovanie konzultácii o incidentoch</w:t>
      </w:r>
    </w:p>
    <w:p w14:paraId="50FB9251"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sz w:val="22"/>
          <w:szCs w:val="22"/>
        </w:rPr>
        <w:t>projektové riadenie servisných činností</w:t>
      </w:r>
    </w:p>
    <w:p w14:paraId="5E292037"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sz w:val="22"/>
          <w:szCs w:val="22"/>
        </w:rPr>
        <w:t>riešenie eskalácií</w:t>
      </w:r>
    </w:p>
    <w:p w14:paraId="6AC5C24F"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Školenia</w:t>
      </w:r>
    </w:p>
    <w:p w14:paraId="3FBC32DB"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Zabezpečovanie odborných školení podľa požiadaviek NBS (opcia na ročný rozsah vzdelávania a hodinové sadzby)</w:t>
      </w:r>
    </w:p>
    <w:p w14:paraId="31F7D39A"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Konzultačné služby</w:t>
      </w:r>
    </w:p>
    <w:p w14:paraId="0B7D7ED5"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poskytovanie rád (odborných telefonických, mailových a osobných konzultácií) administrátorom a používateľom DWH ekosystému (opcia na ročný rozsah vzdelávania a hodinové sadzby)</w:t>
      </w:r>
    </w:p>
    <w:p w14:paraId="68777A95"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Implementácia (riadenie zmien)</w:t>
      </w:r>
    </w:p>
    <w:p w14:paraId="4AA691BA"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analýza a realizácia požiadaviek na zmeny zo stany NBS – popísané v kap. 1.3</w:t>
      </w:r>
    </w:p>
    <w:p w14:paraId="7331601D"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Podpora SW tretích strán</w:t>
      </w:r>
    </w:p>
    <w:p w14:paraId="484126AE"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Sledovanie nových verzií SW tretích strán</w:t>
      </w:r>
    </w:p>
    <w:p w14:paraId="0675BBA7"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pri nasadzovaní nových verzií SW tretích strán</w:t>
      </w:r>
    </w:p>
    <w:p w14:paraId="6DACB25C"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Sledovanie záplat pre SW tretích strán</w:t>
      </w:r>
    </w:p>
    <w:p w14:paraId="15435236"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pri nasadzovaní záplat SW tretích strán</w:t>
      </w:r>
    </w:p>
    <w:p w14:paraId="52B58C8D" w14:textId="77777777" w:rsidR="00D42B04" w:rsidRPr="00D42B04" w:rsidRDefault="00D42B04" w:rsidP="00D42B04">
      <w:pPr>
        <w:numPr>
          <w:ilvl w:val="0"/>
          <w:numId w:val="89"/>
        </w:numPr>
        <w:spacing w:before="120" w:after="120" w:line="240" w:lineRule="atLeast"/>
        <w:contextualSpacing/>
        <w:jc w:val="both"/>
        <w:rPr>
          <w:rFonts w:ascii="Cambria" w:eastAsia="Calibri" w:hAnsi="Cambria" w:cs="Arial"/>
          <w:b/>
          <w:bCs/>
          <w:sz w:val="22"/>
          <w:szCs w:val="22"/>
        </w:rPr>
      </w:pPr>
      <w:r w:rsidRPr="00D42B04">
        <w:rPr>
          <w:rFonts w:ascii="Cambria" w:eastAsia="Calibri" w:hAnsi="Cambria" w:cs="Arial"/>
          <w:b/>
          <w:bCs/>
          <w:sz w:val="22"/>
          <w:szCs w:val="22"/>
        </w:rPr>
        <w:t>Doplnkové služby</w:t>
      </w:r>
    </w:p>
    <w:p w14:paraId="19DDDA23"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Exit služba – podpora pri prechode na nového poskytovateľa</w:t>
      </w:r>
    </w:p>
    <w:p w14:paraId="6F062D2E" w14:textId="77777777" w:rsidR="00D42B04" w:rsidRPr="00D42B04" w:rsidRDefault="00D42B04" w:rsidP="00D42B04">
      <w:pPr>
        <w:numPr>
          <w:ilvl w:val="1"/>
          <w:numId w:val="89"/>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Podpora nového poskytovateľa 6 mesiacov po zmene poskytovateľa</w:t>
      </w:r>
    </w:p>
    <w:p w14:paraId="5B002DF4"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Služby podpory prevádzky NBS DWH nezahŕňajú nasledovné činnosti:</w:t>
      </w:r>
    </w:p>
    <w:p w14:paraId="30EFC761" w14:textId="77777777" w:rsidR="00D42B04" w:rsidRPr="00D42B04" w:rsidRDefault="00D42B04" w:rsidP="00D42B04">
      <w:pPr>
        <w:numPr>
          <w:ilvl w:val="0"/>
          <w:numId w:val="51"/>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Riešenie problémov súvisiacich s kvalitou dát, resp. spracovaním  dát v zdrojových systémoch</w:t>
      </w:r>
    </w:p>
    <w:p w14:paraId="79C090A1" w14:textId="77777777" w:rsidR="00D42B04" w:rsidRPr="00D42B04" w:rsidRDefault="00D42B04" w:rsidP="00D42B04">
      <w:pPr>
        <w:numPr>
          <w:ilvl w:val="0"/>
          <w:numId w:val="51"/>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Práce súvisiace s administráciou prostredí (UNIX, databázy, aplikačný server, BI nástroje)</w:t>
      </w:r>
    </w:p>
    <w:p w14:paraId="6B7959C3" w14:textId="77777777" w:rsidR="00D42B04" w:rsidRPr="00D42B04" w:rsidRDefault="00D42B04" w:rsidP="00D42B04">
      <w:pPr>
        <w:numPr>
          <w:ilvl w:val="0"/>
          <w:numId w:val="51"/>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Realizácia požiadaviek na zmenu – tie sú riešené podľa kapitoly 4.3</w:t>
      </w:r>
    </w:p>
    <w:p w14:paraId="29756F9F"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88" w:name="_Toc110518811"/>
      <w:r w:rsidRPr="00D42B04">
        <w:rPr>
          <w:rFonts w:ascii="Cambria" w:eastAsia="Yu Gothic Light" w:hAnsi="Cambria"/>
          <w:b/>
          <w:bCs/>
          <w:color w:val="2F5496"/>
          <w:szCs w:val="24"/>
        </w:rPr>
        <w:t>Parametre kvality poskytovanej služby podpory prevádzky</w:t>
      </w:r>
      <w:bookmarkEnd w:id="188"/>
    </w:p>
    <w:p w14:paraId="19480240"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Kvalita služieb podpory prevádzky DWH je definovaná nasledujúcimi ukazovateľmi:</w:t>
      </w:r>
    </w:p>
    <w:p w14:paraId="7A8B22C5" w14:textId="77777777" w:rsidR="00D42B04" w:rsidRPr="00D42B04" w:rsidRDefault="00D42B04" w:rsidP="00D42B04">
      <w:pPr>
        <w:numPr>
          <w:ilvl w:val="0"/>
          <w:numId w:val="5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Dostupnosť podpory systému v rozsahu 8x5, t. j. denne, v čase od 8:00 do 16:00 hodiny počas pracovných dní SR.</w:t>
      </w:r>
    </w:p>
    <w:p w14:paraId="46C1D162" w14:textId="77777777" w:rsidR="00D42B04" w:rsidRPr="00D42B04" w:rsidRDefault="00D42B04" w:rsidP="00D42B04">
      <w:pPr>
        <w:numPr>
          <w:ilvl w:val="0"/>
          <w:numId w:val="5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Reakčný čas odozvy na hlásený incident podľa zaradenia incidentu do kategórie. Zaradenie incidentu do príslušnej kategórie je na prvotnom posúdení verejného obstarávateľa. V prípade rozporu o zaradení incidentu budú obe strany rokovať o zaradení do príslušnej kategórie.</w:t>
      </w:r>
    </w:p>
    <w:p w14:paraId="148A732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Detailné podmienky sú v návrhu zmluvy o prevádzke a údržbe systému (viď príloha).</w:t>
      </w:r>
    </w:p>
    <w:p w14:paraId="1E70246A"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89" w:name="_Toc110518812"/>
      <w:r w:rsidRPr="00D42B04">
        <w:rPr>
          <w:rFonts w:ascii="Cambria" w:eastAsia="Yu Gothic Light" w:hAnsi="Cambria"/>
          <w:b/>
          <w:bCs/>
          <w:color w:val="2F5496"/>
          <w:sz w:val="26"/>
          <w:szCs w:val="26"/>
        </w:rPr>
        <w:t>Požiadavky na služby rozvoja systému</w:t>
      </w:r>
      <w:bookmarkEnd w:id="189"/>
    </w:p>
    <w:p w14:paraId="4F31C568"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90" w:name="_Toc110518813"/>
      <w:r w:rsidRPr="00D42B04">
        <w:rPr>
          <w:rFonts w:ascii="Cambria" w:eastAsia="Yu Gothic Light" w:hAnsi="Cambria"/>
          <w:b/>
          <w:bCs/>
          <w:color w:val="2F5496"/>
          <w:szCs w:val="24"/>
        </w:rPr>
        <w:t>Požiadavky na realizáciu zmien na základe požiadaviek verejného obstarávateľa</w:t>
      </w:r>
      <w:bookmarkEnd w:id="190"/>
    </w:p>
    <w:p w14:paraId="436F0AE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Služby, ktoré sú požadované v rámci podpory riešenia:</w:t>
      </w:r>
    </w:p>
    <w:p w14:paraId="160173B8" w14:textId="77777777" w:rsidR="00D42B04" w:rsidRPr="00D42B04" w:rsidRDefault="00D42B04" w:rsidP="00D42B04">
      <w:pPr>
        <w:numPr>
          <w:ilvl w:val="0"/>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Realizácia zmien v riešení (formou požiadaviek na zmenu):</w:t>
      </w:r>
    </w:p>
    <w:p w14:paraId="50C117BC" w14:textId="77777777" w:rsidR="00D42B04" w:rsidRPr="00D42B04" w:rsidRDefault="00D42B04" w:rsidP="00D42B04">
      <w:pPr>
        <w:numPr>
          <w:ilvl w:val="1"/>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analýza požiadavky</w:t>
      </w:r>
    </w:p>
    <w:p w14:paraId="1AB8627D" w14:textId="77777777" w:rsidR="00D42B04" w:rsidRPr="00D42B04" w:rsidRDefault="00D42B04" w:rsidP="00D42B04">
      <w:pPr>
        <w:numPr>
          <w:ilvl w:val="1"/>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lastRenderedPageBreak/>
        <w:t>vytvorenie technickej špecifikácie na riešenie požiadavky</w:t>
      </w:r>
    </w:p>
    <w:p w14:paraId="2EA70B0F" w14:textId="77777777" w:rsidR="00D42B04" w:rsidRPr="00D42B04" w:rsidRDefault="00D42B04" w:rsidP="00D42B04">
      <w:pPr>
        <w:numPr>
          <w:ilvl w:val="1"/>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implementácia nových ETL častí DWH riešenia</w:t>
      </w:r>
    </w:p>
    <w:p w14:paraId="59601A63" w14:textId="77777777" w:rsidR="00D42B04" w:rsidRPr="00D42B04" w:rsidRDefault="00D42B04" w:rsidP="00D42B04">
      <w:pPr>
        <w:numPr>
          <w:ilvl w:val="2"/>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Vytvorenie programového kódu dohodnutého rozsahu</w:t>
      </w:r>
    </w:p>
    <w:p w14:paraId="56E11CEF" w14:textId="77777777" w:rsidR="00D42B04" w:rsidRPr="00D42B04" w:rsidRDefault="00D42B04" w:rsidP="00D42B04">
      <w:pPr>
        <w:numPr>
          <w:ilvl w:val="2"/>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Nastavenie metadát  príslušných frameworkov</w:t>
      </w:r>
    </w:p>
    <w:p w14:paraId="151FD5EB" w14:textId="77777777" w:rsidR="00D42B04" w:rsidRPr="00D42B04" w:rsidRDefault="00D42B04" w:rsidP="00D42B04">
      <w:pPr>
        <w:numPr>
          <w:ilvl w:val="2"/>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Testovanie</w:t>
      </w:r>
    </w:p>
    <w:p w14:paraId="015E4ABA" w14:textId="77777777" w:rsidR="00D42B04" w:rsidRPr="00D42B04" w:rsidRDefault="00D42B04" w:rsidP="00D42B04">
      <w:pPr>
        <w:numPr>
          <w:ilvl w:val="2"/>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Súčinnosť pri nasadení na produkciu</w:t>
      </w:r>
    </w:p>
    <w:p w14:paraId="19657772" w14:textId="77777777" w:rsidR="00D42B04" w:rsidRPr="00D42B04" w:rsidRDefault="00D42B04" w:rsidP="00D42B04">
      <w:pPr>
        <w:numPr>
          <w:ilvl w:val="2"/>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Údržba dokumentácie</w:t>
      </w:r>
    </w:p>
    <w:p w14:paraId="64A41AE4" w14:textId="77777777" w:rsidR="00D42B04" w:rsidRPr="00D42B04" w:rsidRDefault="00D42B04" w:rsidP="00D42B04">
      <w:pPr>
        <w:numPr>
          <w:ilvl w:val="1"/>
          <w:numId w:val="40"/>
        </w:numPr>
        <w:spacing w:before="120" w:after="120" w:line="240" w:lineRule="atLeast"/>
        <w:contextualSpacing/>
        <w:jc w:val="both"/>
        <w:rPr>
          <w:rFonts w:ascii="Cambria" w:eastAsia="Calibri" w:hAnsi="Cambria" w:cs="Arial"/>
          <w:sz w:val="22"/>
          <w:szCs w:val="22"/>
        </w:rPr>
      </w:pPr>
      <w:r w:rsidRPr="00D42B04">
        <w:rPr>
          <w:rFonts w:ascii="Cambria" w:eastAsia="Calibri" w:hAnsi="Cambria" w:cs="Arial"/>
          <w:sz w:val="22"/>
          <w:szCs w:val="22"/>
        </w:rPr>
        <w:t>implementácia dátových integrácií</w:t>
      </w:r>
    </w:p>
    <w:p w14:paraId="06A8974D" w14:textId="77777777" w:rsidR="00D42B04" w:rsidRPr="00D42B04" w:rsidRDefault="00D42B04" w:rsidP="00D42B04">
      <w:pPr>
        <w:numPr>
          <w:ilvl w:val="1"/>
          <w:numId w:val="40"/>
        </w:numPr>
        <w:spacing w:before="120" w:after="120" w:line="240" w:lineRule="atLeast"/>
        <w:contextualSpacing/>
        <w:jc w:val="both"/>
        <w:rPr>
          <w:rFonts w:ascii="Cambria" w:eastAsia="Yu Mincho" w:hAnsi="Cambria" w:cs="Yu Mincho"/>
          <w:sz w:val="22"/>
          <w:szCs w:val="22"/>
        </w:rPr>
      </w:pPr>
      <w:r w:rsidRPr="00D42B04">
        <w:rPr>
          <w:rFonts w:ascii="Cambria" w:eastAsia="Calibri" w:hAnsi="Cambria" w:cs="Arial"/>
          <w:sz w:val="22"/>
          <w:szCs w:val="22"/>
        </w:rPr>
        <w:t>úprava a dopĺňanie nových výstupných zostáv a reportov</w:t>
      </w:r>
    </w:p>
    <w:p w14:paraId="0CC12783" w14:textId="77777777" w:rsidR="00D42B04" w:rsidRPr="00D42B04" w:rsidRDefault="00D42B04" w:rsidP="00D42B04">
      <w:pPr>
        <w:numPr>
          <w:ilvl w:val="0"/>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reinštalácie a rekonfigurácie modulov a softvérových komponentov DWH v prípade technologických zmien v prostredí NBS,</w:t>
      </w:r>
    </w:p>
    <w:p w14:paraId="69158B74" w14:textId="77777777" w:rsidR="00D42B04" w:rsidRPr="00D42B04" w:rsidRDefault="00D42B04" w:rsidP="00D42B04">
      <w:pPr>
        <w:numPr>
          <w:ilvl w:val="0"/>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verejným obstarávateľom vyžiadané školenia pre nové verzie frameworkov, ETL nastavení, číselníkov referenčných dát a iné</w:t>
      </w:r>
    </w:p>
    <w:p w14:paraId="7A93CA30" w14:textId="77777777" w:rsidR="00D42B04" w:rsidRPr="00D42B04" w:rsidRDefault="00D42B04" w:rsidP="00D42B04">
      <w:pPr>
        <w:numPr>
          <w:ilvl w:val="0"/>
          <w:numId w:val="40"/>
        </w:numPr>
        <w:spacing w:before="120" w:after="120" w:line="240" w:lineRule="atLeast"/>
        <w:contextualSpacing/>
        <w:jc w:val="both"/>
        <w:rPr>
          <w:rFonts w:ascii="Cambria" w:eastAsia="Yu Mincho" w:hAnsi="Cambria" w:cs="Arial"/>
          <w:sz w:val="22"/>
          <w:szCs w:val="22"/>
        </w:rPr>
      </w:pPr>
      <w:r w:rsidRPr="00D42B04">
        <w:rPr>
          <w:rFonts w:ascii="Cambria" w:eastAsia="Calibri" w:hAnsi="Cambria" w:cs="Arial"/>
          <w:sz w:val="22"/>
          <w:szCs w:val="22"/>
        </w:rPr>
        <w:t>verejným obstarávateľom vyžiadané administrátorské práce.</w:t>
      </w:r>
    </w:p>
    <w:p w14:paraId="12C0869B"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91" w:name="_Toc110518814"/>
      <w:r w:rsidRPr="00D42B04">
        <w:rPr>
          <w:rFonts w:ascii="Cambria" w:eastAsia="Yu Gothic Light" w:hAnsi="Cambria"/>
          <w:b/>
          <w:bCs/>
          <w:color w:val="2F5496"/>
          <w:szCs w:val="24"/>
        </w:rPr>
        <w:t>Parametre kvality poskytovanej služby rozvoja systému</w:t>
      </w:r>
      <w:bookmarkEnd w:id="191"/>
    </w:p>
    <w:p w14:paraId="7EF8A2D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 xml:space="preserve">Detailné podmienky sú uvedené v Zmluve o prevádzke, údržbe a rozvoji systému v prílohe F. </w:t>
      </w:r>
    </w:p>
    <w:p w14:paraId="238B7389" w14:textId="77777777" w:rsidR="00D42B04" w:rsidRPr="00D42B04" w:rsidRDefault="00D42B04" w:rsidP="00D42B04">
      <w:pPr>
        <w:keepNext/>
        <w:numPr>
          <w:ilvl w:val="2"/>
          <w:numId w:val="0"/>
        </w:numPr>
        <w:spacing w:before="360" w:after="120"/>
        <w:ind w:left="709" w:hanging="720"/>
        <w:jc w:val="both"/>
        <w:outlineLvl w:val="2"/>
        <w:rPr>
          <w:rFonts w:ascii="Cambria" w:eastAsia="Yu Gothic Light" w:hAnsi="Cambria"/>
          <w:b/>
          <w:bCs/>
          <w:color w:val="2F5496"/>
          <w:szCs w:val="24"/>
        </w:rPr>
      </w:pPr>
      <w:bookmarkStart w:id="192" w:name="_Toc110518815"/>
      <w:r w:rsidRPr="00D42B04">
        <w:rPr>
          <w:rFonts w:ascii="Cambria" w:eastAsia="Yu Gothic Light" w:hAnsi="Cambria"/>
          <w:b/>
          <w:bCs/>
          <w:color w:val="2F5496"/>
          <w:szCs w:val="24"/>
        </w:rPr>
        <w:t>Servisné služby čiastkového plnenia</w:t>
      </w:r>
      <w:bookmarkEnd w:id="192"/>
    </w:p>
    <w:p w14:paraId="37DC246A"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t>Verejný obstarávateľ požaduje poskytovanie týchto  služieb  od nasadenia jednotlivých fáz riešenia do produkcie. Služby budú poskytované do začiatku účinnosti Zmluvy o prevádzke, údržbe a rozvoji systému. Špecifikácia týchto služieb ja popísaná v prílohe G.</w:t>
      </w:r>
    </w:p>
    <w:p w14:paraId="136DC197" w14:textId="77777777" w:rsidR="00D42B04" w:rsidRPr="00D42B04" w:rsidRDefault="00D42B04" w:rsidP="00D42B04">
      <w:pPr>
        <w:spacing w:before="120" w:after="120"/>
        <w:jc w:val="both"/>
        <w:rPr>
          <w:rFonts w:ascii="Cambria" w:eastAsia="Calibri" w:hAnsi="Cambria" w:cs="Arial"/>
          <w:sz w:val="22"/>
          <w:szCs w:val="22"/>
        </w:rPr>
      </w:pPr>
    </w:p>
    <w:p w14:paraId="74A8717A" w14:textId="77777777" w:rsidR="00D42B04" w:rsidRPr="00D42B04" w:rsidRDefault="00D42B04" w:rsidP="00D42B04">
      <w:pPr>
        <w:keepNext/>
        <w:pageBreakBefore/>
        <w:spacing w:before="240" w:after="240"/>
        <w:ind w:left="432" w:hanging="432"/>
        <w:jc w:val="both"/>
        <w:outlineLvl w:val="0"/>
        <w:rPr>
          <w:rFonts w:ascii="Cambria" w:eastAsia="Yu Gothic Light" w:hAnsi="Cambria" w:cs="Calibri"/>
          <w:color w:val="2F5496"/>
          <w:sz w:val="32"/>
          <w:szCs w:val="32"/>
        </w:rPr>
      </w:pPr>
      <w:bookmarkStart w:id="193" w:name="_Toc110518816"/>
      <w:r w:rsidRPr="00D42B04">
        <w:rPr>
          <w:rFonts w:ascii="Cambria" w:eastAsia="Yu Gothic Light" w:hAnsi="Cambria" w:cs="Calibri"/>
          <w:color w:val="2F5496"/>
          <w:sz w:val="32"/>
          <w:szCs w:val="32"/>
        </w:rPr>
        <w:lastRenderedPageBreak/>
        <w:t>Prílohy</w:t>
      </w:r>
      <w:bookmarkEnd w:id="193"/>
    </w:p>
    <w:p w14:paraId="7D165B4A" w14:textId="77777777" w:rsidR="00D42B04" w:rsidRPr="00D42B04" w:rsidRDefault="00D42B04" w:rsidP="00D42B04">
      <w:pPr>
        <w:spacing w:before="120" w:after="120"/>
        <w:jc w:val="both"/>
        <w:rPr>
          <w:rFonts w:ascii="Cambria" w:eastAsia="Calibri" w:hAnsi="Cambria" w:cs="Arial"/>
          <w:sz w:val="22"/>
          <w:szCs w:val="22"/>
        </w:rPr>
      </w:pPr>
    </w:p>
    <w:p w14:paraId="5DB91D64"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94" w:name="_Toc110518817"/>
      <w:bookmarkStart w:id="195" w:name="_Ref89206997"/>
      <w:r w:rsidRPr="00D42B04">
        <w:rPr>
          <w:rFonts w:ascii="Cambria" w:eastAsia="Yu Gothic Light" w:hAnsi="Cambria"/>
          <w:b/>
          <w:bCs/>
          <w:color w:val="2F5496"/>
          <w:sz w:val="26"/>
          <w:szCs w:val="26"/>
        </w:rPr>
        <w:t>A – Zdrojové systémy NBS DWH</w:t>
      </w:r>
      <w:bookmarkEnd w:id="194"/>
    </w:p>
    <w:p w14:paraId="21A97ABE" w14:textId="77777777" w:rsidR="00D42B04" w:rsidRPr="00D42B04" w:rsidRDefault="00D42B04" w:rsidP="00D42B04">
      <w:pPr>
        <w:spacing w:before="120" w:after="120"/>
        <w:jc w:val="both"/>
        <w:rPr>
          <w:rFonts w:ascii="Calibri" w:eastAsia="Calibri" w:hAnsi="Calibri" w:cs="Arial"/>
          <w:sz w:val="22"/>
          <w:szCs w:val="22"/>
        </w:rPr>
      </w:pPr>
      <w:r w:rsidRPr="00D42B04">
        <w:rPr>
          <w:rFonts w:ascii="Calibri" w:eastAsia="Calibri" w:hAnsi="Calibri" w:cs="Arial"/>
          <w:sz w:val="22"/>
          <w:szCs w:val="22"/>
        </w:rPr>
        <w:object w:dxaOrig="1532" w:dyaOrig="991" w14:anchorId="4803E8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79.2pt;height:50.4pt" o:ole="">
            <v:imagedata r:id="rId37" o:title=""/>
          </v:shape>
          <o:OLEObject Type="Embed" ProgID="Excel.Sheet.12" ShapeID="_x0000_i1170" DrawAspect="Icon" ObjectID="_1721821636" r:id="rId38"/>
        </w:object>
      </w:r>
    </w:p>
    <w:p w14:paraId="7DD696B3" w14:textId="77777777" w:rsidR="00D42B04" w:rsidRPr="00D42B04" w:rsidRDefault="00D42B04" w:rsidP="00D42B04">
      <w:pPr>
        <w:spacing w:before="120" w:after="120"/>
        <w:jc w:val="both"/>
        <w:rPr>
          <w:rFonts w:ascii="Cambria" w:eastAsia="Calibri" w:hAnsi="Cambria" w:cs="Arial"/>
          <w:sz w:val="22"/>
          <w:szCs w:val="22"/>
        </w:rPr>
      </w:pPr>
    </w:p>
    <w:p w14:paraId="2C603C67"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96" w:name="_Ref89207050"/>
      <w:bookmarkStart w:id="197" w:name="_Ref89207072"/>
      <w:bookmarkStart w:id="198" w:name="_Toc110518818"/>
      <w:bookmarkEnd w:id="195"/>
      <w:r w:rsidRPr="00D42B04">
        <w:rPr>
          <w:rFonts w:ascii="Cambria" w:eastAsia="Yu Gothic Light" w:hAnsi="Cambria"/>
          <w:b/>
          <w:bCs/>
          <w:color w:val="2F5496"/>
          <w:sz w:val="26"/>
          <w:szCs w:val="26"/>
        </w:rPr>
        <w:t xml:space="preserve">B – </w:t>
      </w:r>
      <w:bookmarkEnd w:id="196"/>
      <w:bookmarkEnd w:id="197"/>
      <w:r w:rsidRPr="00D42B04">
        <w:rPr>
          <w:rFonts w:ascii="Cambria" w:eastAsia="Yu Gothic Light" w:hAnsi="Cambria"/>
          <w:b/>
          <w:bCs/>
          <w:color w:val="2F5496"/>
          <w:sz w:val="26"/>
          <w:szCs w:val="26"/>
        </w:rPr>
        <w:t>DataMarty NBS DWH</w:t>
      </w:r>
      <w:bookmarkEnd w:id="198"/>
    </w:p>
    <w:p w14:paraId="02F9FA23"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object w:dxaOrig="1532" w:dyaOrig="991" w14:anchorId="58F36B72">
          <v:shape id="_x0000_i1171" type="#_x0000_t75" style="width:79.2pt;height:50.4pt" o:ole="">
            <v:imagedata r:id="rId39" o:title=""/>
          </v:shape>
          <o:OLEObject Type="Embed" ProgID="Excel.Sheet.12" ShapeID="_x0000_i1171" DrawAspect="Icon" ObjectID="_1721821637" r:id="rId40"/>
        </w:object>
      </w:r>
    </w:p>
    <w:p w14:paraId="4AFDC577"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199" w:name="_Toc110518819"/>
      <w:r w:rsidRPr="00D42B04">
        <w:rPr>
          <w:rFonts w:ascii="Cambria" w:eastAsia="Yu Gothic Light" w:hAnsi="Cambria"/>
          <w:b/>
          <w:bCs/>
          <w:noProof/>
          <w:color w:val="2F5496"/>
          <w:sz w:val="26"/>
          <w:szCs w:val="26"/>
        </w:rPr>
        <w:t>C – Metodika k predpisu NBS č.20/2020 o projektovom riadení</w:t>
      </w:r>
      <w:bookmarkEnd w:id="199"/>
    </w:p>
    <w:p w14:paraId="048D3B4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noProof/>
          <w:sz w:val="22"/>
          <w:szCs w:val="22"/>
        </w:rPr>
        <w:object w:dxaOrig="1348" w:dyaOrig="872" w14:anchorId="0D6DEB54">
          <v:shape id="_x0000_i1172" type="#_x0000_t75" style="width:64.8pt;height:43.2pt" o:ole="">
            <v:imagedata r:id="rId41" o:title=""/>
          </v:shape>
          <o:OLEObject Type="Embed" ProgID="Acrobat.Document.2017" ShapeID="_x0000_i1172" DrawAspect="Icon" ObjectID="_1721821638" r:id="rId42"/>
        </w:object>
      </w:r>
    </w:p>
    <w:p w14:paraId="3927E37E" w14:textId="77777777" w:rsidR="00D42B04" w:rsidRPr="00D42B04" w:rsidRDefault="00D42B04" w:rsidP="00D42B04">
      <w:pPr>
        <w:spacing w:before="120" w:after="120"/>
        <w:jc w:val="both"/>
        <w:rPr>
          <w:rFonts w:ascii="Cambria" w:eastAsia="Calibri" w:hAnsi="Cambria" w:cs="Arial"/>
          <w:sz w:val="22"/>
          <w:szCs w:val="22"/>
        </w:rPr>
      </w:pPr>
    </w:p>
    <w:p w14:paraId="4A4F244D"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200" w:name="_Toc110518820"/>
      <w:r w:rsidRPr="00D42B04">
        <w:rPr>
          <w:rFonts w:ascii="Cambria" w:eastAsia="Yu Gothic Light" w:hAnsi="Cambria"/>
          <w:b/>
          <w:bCs/>
          <w:color w:val="2F5496"/>
          <w:sz w:val="26"/>
          <w:szCs w:val="26"/>
        </w:rPr>
        <w:t>D – RACI matica</w:t>
      </w:r>
      <w:bookmarkEnd w:id="200"/>
    </w:p>
    <w:p w14:paraId="59307B68"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object w:dxaOrig="1348" w:dyaOrig="872" w14:anchorId="4CE9B31B">
          <v:shape id="_x0000_i1173" type="#_x0000_t75" style="width:1in;height:43.2pt" o:ole="">
            <v:imagedata r:id="rId43" o:title=""/>
          </v:shape>
          <o:OLEObject Type="Embed" ProgID="Excel.Sheet.12" ShapeID="_x0000_i1173" DrawAspect="Icon" ObjectID="_1721821639" r:id="rId44"/>
        </w:object>
      </w:r>
    </w:p>
    <w:p w14:paraId="33FB3207" w14:textId="77777777" w:rsidR="00D42B04" w:rsidRPr="00D42B04" w:rsidRDefault="00D42B04" w:rsidP="00D42B04">
      <w:pPr>
        <w:spacing w:before="120" w:after="120"/>
        <w:jc w:val="both"/>
        <w:rPr>
          <w:rFonts w:ascii="Cambria" w:eastAsia="Calibri" w:hAnsi="Cambria" w:cs="Arial"/>
          <w:sz w:val="22"/>
          <w:szCs w:val="22"/>
        </w:rPr>
      </w:pPr>
    </w:p>
    <w:p w14:paraId="46BB09F0"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201" w:name="_Toc110518821"/>
      <w:r w:rsidRPr="00D42B04">
        <w:rPr>
          <w:rFonts w:ascii="Cambria" w:eastAsia="Yu Gothic Light" w:hAnsi="Cambria"/>
          <w:b/>
          <w:bCs/>
          <w:color w:val="2F5496"/>
          <w:sz w:val="26"/>
          <w:szCs w:val="26"/>
        </w:rPr>
        <w:t>E – Projektový plán</w:t>
      </w:r>
      <w:bookmarkEnd w:id="201"/>
    </w:p>
    <w:p w14:paraId="10791C66" w14:textId="77777777" w:rsidR="00D42B04" w:rsidRPr="00D42B04" w:rsidRDefault="00D42B04" w:rsidP="00D42B04">
      <w:pPr>
        <w:spacing w:before="120" w:after="120"/>
        <w:jc w:val="both"/>
        <w:rPr>
          <w:rFonts w:ascii="Cambria" w:eastAsia="Calibri" w:hAnsi="Cambria" w:cs="Arial"/>
          <w:sz w:val="22"/>
          <w:szCs w:val="22"/>
        </w:rPr>
      </w:pPr>
      <w:r w:rsidRPr="00D42B04">
        <w:rPr>
          <w:rFonts w:ascii="Cambria" w:eastAsia="Calibri" w:hAnsi="Cambria" w:cs="Arial"/>
          <w:sz w:val="22"/>
          <w:szCs w:val="22"/>
        </w:rPr>
        <w:object w:dxaOrig="1546" w:dyaOrig="1011" w14:anchorId="3C88F87D">
          <v:shape id="_x0000_i1174" type="#_x0000_t75" style="width:79.2pt;height:50.4pt" o:ole="">
            <v:imagedata r:id="rId45" o:title=""/>
          </v:shape>
          <o:OLEObject Type="Embed" ProgID="Excel.Sheet.12" ShapeID="_x0000_i1174" DrawAspect="Icon" ObjectID="_1721821640" r:id="rId46"/>
        </w:object>
      </w:r>
    </w:p>
    <w:p w14:paraId="1143313A"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202" w:name="_Toc110518822"/>
      <w:r w:rsidRPr="00D42B04">
        <w:rPr>
          <w:rFonts w:ascii="Cambria" w:eastAsia="Yu Gothic Light" w:hAnsi="Cambria"/>
          <w:b/>
          <w:bCs/>
          <w:color w:val="2F5496"/>
          <w:sz w:val="26"/>
          <w:szCs w:val="26"/>
        </w:rPr>
        <w:t>F - Zmluva o prevádzke, údržbe a rozvoji systému</w:t>
      </w:r>
      <w:bookmarkEnd w:id="202"/>
    </w:p>
    <w:p w14:paraId="59C42C13" w14:textId="77777777" w:rsidR="00D42B04" w:rsidRPr="00D42B04" w:rsidRDefault="00D42B04" w:rsidP="00D42B04">
      <w:pPr>
        <w:spacing w:before="120" w:after="120"/>
        <w:jc w:val="both"/>
        <w:rPr>
          <w:rFonts w:ascii="Calibri" w:eastAsia="Calibri" w:hAnsi="Calibri" w:cs="Arial"/>
          <w:sz w:val="22"/>
          <w:szCs w:val="22"/>
        </w:rPr>
      </w:pPr>
      <w:r w:rsidRPr="00D42B04">
        <w:rPr>
          <w:rFonts w:ascii="Calibri" w:eastAsia="Calibri" w:hAnsi="Calibri" w:cs="Arial"/>
          <w:sz w:val="22"/>
          <w:szCs w:val="22"/>
        </w:rPr>
        <w:t>– osobitný dokument</w:t>
      </w:r>
    </w:p>
    <w:p w14:paraId="55DBC2F9" w14:textId="77777777" w:rsidR="00D42B04" w:rsidRPr="00D42B04" w:rsidRDefault="00D42B04" w:rsidP="00D42B04">
      <w:pPr>
        <w:keepNext/>
        <w:numPr>
          <w:ilvl w:val="1"/>
          <w:numId w:val="0"/>
        </w:numPr>
        <w:spacing w:before="240" w:after="120"/>
        <w:ind w:left="576" w:hanging="576"/>
        <w:jc w:val="both"/>
        <w:outlineLvl w:val="1"/>
        <w:rPr>
          <w:rFonts w:ascii="Cambria" w:eastAsia="Yu Gothic Light" w:hAnsi="Cambria"/>
          <w:b/>
          <w:bCs/>
          <w:color w:val="2F5496"/>
          <w:sz w:val="26"/>
          <w:szCs w:val="26"/>
        </w:rPr>
      </w:pPr>
      <w:bookmarkStart w:id="203" w:name="_Toc110518823"/>
      <w:r w:rsidRPr="00D42B04">
        <w:rPr>
          <w:rFonts w:ascii="Cambria" w:eastAsia="Yu Gothic Light" w:hAnsi="Cambria"/>
          <w:b/>
          <w:bCs/>
          <w:color w:val="2F5496"/>
          <w:sz w:val="26"/>
          <w:szCs w:val="26"/>
        </w:rPr>
        <w:t>G -Špecifikácia  Servisných služieb čiastočného plnenia</w:t>
      </w:r>
      <w:bookmarkEnd w:id="203"/>
    </w:p>
    <w:p w14:paraId="6AD39DC6" w14:textId="5399A2F0" w:rsidR="00D42B04" w:rsidRPr="00D42B04" w:rsidRDefault="00D42B04" w:rsidP="00D42B04">
      <w:pPr>
        <w:spacing w:before="120" w:after="120"/>
        <w:jc w:val="both"/>
        <w:rPr>
          <w:rFonts w:ascii="Cambria" w:eastAsia="Calibri" w:hAnsi="Cambria" w:cs="Arial"/>
          <w:sz w:val="22"/>
          <w:szCs w:val="22"/>
        </w:rPr>
      </w:pPr>
      <w:bookmarkStart w:id="204" w:name="_MON_1717568303"/>
      <w:bookmarkEnd w:id="204"/>
      <w:r w:rsidRPr="00D42B04">
        <w:rPr>
          <w:rFonts w:ascii="Cambria" w:eastAsia="Calibri" w:hAnsi="Cambria" w:cs="Arial"/>
          <w:noProof/>
          <w:sz w:val="22"/>
          <w:szCs w:val="22"/>
        </w:rPr>
        <w:drawing>
          <wp:inline distT="0" distB="0" distL="0" distR="0" wp14:anchorId="6DB1998A" wp14:editId="3491ACA9">
            <wp:extent cx="1000125" cy="647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00125" cy="647700"/>
                    </a:xfrm>
                    <a:prstGeom prst="rect">
                      <a:avLst/>
                    </a:prstGeom>
                    <a:noFill/>
                    <a:ln>
                      <a:noFill/>
                    </a:ln>
                  </pic:spPr>
                </pic:pic>
              </a:graphicData>
            </a:graphic>
          </wp:inline>
        </w:drawing>
      </w:r>
    </w:p>
    <w:p w14:paraId="5358B488" w14:textId="77777777" w:rsidR="00D42B04" w:rsidRPr="00D42B04" w:rsidRDefault="00D42B04" w:rsidP="00D42B04">
      <w:pPr>
        <w:spacing w:before="120" w:after="120"/>
        <w:jc w:val="both"/>
        <w:rPr>
          <w:rFonts w:ascii="Cambria" w:eastAsia="Calibri" w:hAnsi="Cambria" w:cs="Arial"/>
          <w:sz w:val="22"/>
          <w:szCs w:val="22"/>
        </w:rPr>
      </w:pPr>
    </w:p>
    <w:p w14:paraId="0D12AC23" w14:textId="77777777" w:rsidR="00D42B04" w:rsidRPr="00D42B04" w:rsidRDefault="00D42B04" w:rsidP="00D42B04">
      <w:pPr>
        <w:spacing w:before="120" w:after="120"/>
        <w:jc w:val="both"/>
        <w:rPr>
          <w:rFonts w:ascii="Cambria" w:eastAsia="Calibri" w:hAnsi="Cambria" w:cs="Arial"/>
          <w:sz w:val="22"/>
          <w:szCs w:val="22"/>
        </w:rPr>
      </w:pPr>
    </w:p>
    <w:p w14:paraId="62E2AEAF" w14:textId="583228AA" w:rsidR="008D56AA" w:rsidRDefault="008D56AA" w:rsidP="008D56AA">
      <w:pPr>
        <w:jc w:val="both"/>
        <w:rPr>
          <w:rFonts w:ascii="Cambria" w:hAnsi="Cambria"/>
          <w:sz w:val="22"/>
          <w:szCs w:val="22"/>
          <w:highlight w:val="yellow"/>
        </w:rPr>
      </w:pPr>
    </w:p>
    <w:bookmarkEnd w:id="87"/>
    <w:bookmarkEnd w:id="88"/>
    <w:p w14:paraId="6AAF3CAA" w14:textId="05AB3E67" w:rsidR="001E4B7D" w:rsidRPr="00E75798" w:rsidRDefault="00047A75" w:rsidP="00047A75">
      <w:pPr>
        <w:pStyle w:val="Heading1"/>
        <w:keepNext w:val="0"/>
        <w:ind w:left="2832" w:firstLine="854"/>
        <w:jc w:val="both"/>
        <w:rPr>
          <w:rFonts w:ascii="Cambria" w:hAnsi="Cambria"/>
          <w:b w:val="0"/>
          <w:sz w:val="22"/>
          <w:szCs w:val="22"/>
        </w:rPr>
      </w:pPr>
      <w:r w:rsidRPr="00E75798">
        <w:rPr>
          <w:rFonts w:ascii="Cambria" w:hAnsi="Cambria"/>
          <w:sz w:val="22"/>
          <w:szCs w:val="22"/>
        </w:rPr>
        <w:lastRenderedPageBreak/>
        <w:t>Príloha č. 3:</w:t>
      </w:r>
      <w:r w:rsidRPr="00E75798">
        <w:rPr>
          <w:rFonts w:ascii="Cambria" w:hAnsi="Cambria"/>
          <w:sz w:val="22"/>
          <w:szCs w:val="22"/>
        </w:rPr>
        <w:tab/>
        <w:t>Harmonogram fakturačných míľnikov</w:t>
      </w:r>
    </w:p>
    <w:p w14:paraId="21D77F1D" w14:textId="39CACA38" w:rsidR="00167CDB" w:rsidRPr="00E75798" w:rsidRDefault="00167CDB">
      <w:pPr>
        <w:rPr>
          <w:rFonts w:ascii="Cambria" w:hAnsi="Cambria" w:cs="Arial"/>
          <w:sz w:val="22"/>
          <w:szCs w:val="22"/>
        </w:rPr>
      </w:pPr>
      <w:bookmarkStart w:id="205" w:name="_Toc45812208"/>
    </w:p>
    <w:tbl>
      <w:tblPr>
        <w:tblW w:w="9404" w:type="dxa"/>
        <w:jc w:val="center"/>
        <w:tblCellMar>
          <w:left w:w="70" w:type="dxa"/>
          <w:right w:w="70" w:type="dxa"/>
        </w:tblCellMar>
        <w:tblLook w:val="04A0" w:firstRow="1" w:lastRow="0" w:firstColumn="1" w:lastColumn="0" w:noHBand="0" w:noVBand="1"/>
      </w:tblPr>
      <w:tblGrid>
        <w:gridCol w:w="1515"/>
        <w:gridCol w:w="5083"/>
        <w:gridCol w:w="1406"/>
        <w:gridCol w:w="1400"/>
      </w:tblGrid>
      <w:tr w:rsidR="00AA060E" w:rsidRPr="00E75798" w14:paraId="444522C5" w14:textId="1E70FA63" w:rsidTr="00264D04">
        <w:trPr>
          <w:trHeight w:val="82"/>
          <w:jc w:val="center"/>
        </w:trPr>
        <w:tc>
          <w:tcPr>
            <w:tcW w:w="151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73E304AB" w:rsidR="00AA060E" w:rsidRPr="00E75798" w:rsidRDefault="00AA060E" w:rsidP="007C3C91">
            <w:pPr>
              <w:jc w:val="center"/>
              <w:rPr>
                <w:rFonts w:ascii="Cambria" w:hAnsi="Cambria"/>
                <w:b/>
                <w:bCs/>
                <w:sz w:val="16"/>
                <w:szCs w:val="16"/>
                <w:lang w:eastAsia="sk-SK"/>
              </w:rPr>
            </w:pPr>
            <w:bookmarkStart w:id="206" w:name="_Hlk106774488"/>
            <w:r w:rsidRPr="00E75798">
              <w:rPr>
                <w:rFonts w:ascii="Cambria" w:hAnsi="Cambria"/>
                <w:b/>
                <w:bCs/>
                <w:sz w:val="16"/>
                <w:szCs w:val="16"/>
                <w:lang w:eastAsia="sk-SK"/>
              </w:rPr>
              <w:t xml:space="preserve">Poradové číslo fakturačného celku/ Fáza </w:t>
            </w:r>
            <w:r w:rsidR="00F72B61">
              <w:rPr>
                <w:rFonts w:ascii="Cambria" w:hAnsi="Cambria"/>
                <w:b/>
                <w:bCs/>
                <w:sz w:val="16"/>
                <w:szCs w:val="16"/>
                <w:lang w:eastAsia="sk-SK"/>
              </w:rPr>
              <w:t>D</w:t>
            </w:r>
            <w:r w:rsidRPr="00E75798">
              <w:rPr>
                <w:rFonts w:ascii="Cambria" w:hAnsi="Cambria"/>
                <w:b/>
                <w:bCs/>
                <w:sz w:val="16"/>
                <w:szCs w:val="16"/>
                <w:lang w:eastAsia="sk-SK"/>
              </w:rPr>
              <w:t>iela</w:t>
            </w:r>
          </w:p>
        </w:tc>
        <w:tc>
          <w:tcPr>
            <w:tcW w:w="508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AA060E" w:rsidRPr="00E75798" w:rsidRDefault="00AA060E"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4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AA060E" w:rsidRPr="00E75798" w:rsidRDefault="00AA060E"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sidR="00AF561E">
              <w:rPr>
                <w:rFonts w:ascii="Cambria" w:hAnsi="Cambria"/>
                <w:b/>
                <w:bCs/>
                <w:sz w:val="16"/>
                <w:szCs w:val="16"/>
                <w:lang w:eastAsia="sk-SK"/>
              </w:rPr>
              <w:t xml:space="preserve"> o dielo</w:t>
            </w:r>
          </w:p>
        </w:tc>
        <w:tc>
          <w:tcPr>
            <w:tcW w:w="1400" w:type="dxa"/>
            <w:tcBorders>
              <w:top w:val="single" w:sz="4" w:space="0" w:color="auto"/>
              <w:left w:val="single" w:sz="4" w:space="0" w:color="auto"/>
              <w:bottom w:val="single" w:sz="4" w:space="0" w:color="auto"/>
              <w:right w:val="single" w:sz="4" w:space="0" w:color="auto"/>
            </w:tcBorders>
            <w:shd w:val="clear" w:color="000000" w:fill="E7E6E6"/>
            <w:vAlign w:val="center"/>
          </w:tcPr>
          <w:p w14:paraId="6F425BF6" w14:textId="06D272AE" w:rsidR="00AA060E" w:rsidRPr="00A025E7" w:rsidRDefault="00AA060E" w:rsidP="007C3C91">
            <w:pPr>
              <w:jc w:val="center"/>
              <w:rPr>
                <w:rFonts w:ascii="Cambria" w:hAnsi="Cambria"/>
                <w:b/>
                <w:bCs/>
                <w:sz w:val="16"/>
                <w:szCs w:val="16"/>
                <w:lang w:eastAsia="sk-SK"/>
              </w:rPr>
            </w:pPr>
            <w:r w:rsidRPr="00A025E7">
              <w:rPr>
                <w:rFonts w:ascii="Cambria" w:hAnsi="Cambria"/>
                <w:b/>
                <w:bCs/>
                <w:sz w:val="16"/>
                <w:szCs w:val="16"/>
                <w:lang w:eastAsia="sk-SK"/>
              </w:rPr>
              <w:t xml:space="preserve">Podiel ceny fakturačného míľniku z celkovej ceny </w:t>
            </w:r>
            <w:r w:rsidR="004D42CE">
              <w:rPr>
                <w:rFonts w:ascii="Cambria" w:hAnsi="Cambria"/>
                <w:b/>
                <w:bCs/>
                <w:sz w:val="16"/>
                <w:szCs w:val="16"/>
                <w:lang w:eastAsia="sk-SK"/>
              </w:rPr>
              <w:t>predmetu zmluvy</w:t>
            </w:r>
          </w:p>
        </w:tc>
      </w:tr>
      <w:tr w:rsidR="00AF561E" w:rsidRPr="00E75798" w14:paraId="6FF3778D" w14:textId="1B255E1A" w:rsidTr="00264D04">
        <w:trPr>
          <w:trHeight w:val="82"/>
          <w:jc w:val="center"/>
        </w:trPr>
        <w:tc>
          <w:tcPr>
            <w:tcW w:w="15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7640A39A" w:rsidR="00AF561E" w:rsidRPr="00E75798" w:rsidRDefault="00AF561E" w:rsidP="002B3654">
            <w:pPr>
              <w:jc w:val="center"/>
              <w:rPr>
                <w:rFonts w:ascii="Cambria" w:hAnsi="Cambria"/>
                <w:b/>
                <w:bCs/>
                <w:sz w:val="16"/>
                <w:szCs w:val="16"/>
                <w:lang w:eastAsia="sk-SK"/>
              </w:rPr>
            </w:pPr>
            <w:r w:rsidRPr="00E75798">
              <w:rPr>
                <w:rFonts w:ascii="Cambria" w:hAnsi="Cambria"/>
                <w:b/>
                <w:bCs/>
                <w:sz w:val="16"/>
                <w:szCs w:val="16"/>
                <w:lang w:eastAsia="sk-SK"/>
              </w:rPr>
              <w:t>1.</w:t>
            </w:r>
            <w:r w:rsidRPr="005E41C5">
              <w:rPr>
                <w:rFonts w:ascii="Cambria" w:hAnsi="Cambria"/>
                <w:b/>
                <w:bCs/>
                <w:sz w:val="16"/>
                <w:szCs w:val="16"/>
                <w:lang w:eastAsia="sk-SK"/>
              </w:rPr>
              <w:t xml:space="preserve"> </w:t>
            </w:r>
            <w:r w:rsidR="005E41C5" w:rsidRPr="005E41C5">
              <w:rPr>
                <w:rFonts w:ascii="Cambria" w:hAnsi="Cambria"/>
                <w:b/>
                <w:bCs/>
                <w:sz w:val="16"/>
                <w:szCs w:val="16"/>
                <w:lang w:eastAsia="sk-SK"/>
              </w:rPr>
              <w:t xml:space="preserve">Fáza </w:t>
            </w:r>
            <w:r w:rsidRPr="00E75798">
              <w:rPr>
                <w:rFonts w:ascii="Cambria" w:hAnsi="Cambria"/>
                <w:b/>
                <w:bCs/>
                <w:sz w:val="16"/>
                <w:szCs w:val="16"/>
                <w:lang w:eastAsia="sk-SK"/>
              </w:rPr>
              <w:t>Implementácia Relačnej časti DWH a začiatok dátovej integrácie</w:t>
            </w: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C051E" w14:textId="33AC5B4D"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Infraštruktúra DWH (inštalácia frameworkov, vytvorenie DB, nastavenie governance)</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325E5A59" w:rsidR="00AF561E" w:rsidRPr="00BE23A6" w:rsidRDefault="00AF561E" w:rsidP="002B3654">
            <w:pPr>
              <w:jc w:val="center"/>
              <w:rPr>
                <w:rFonts w:ascii="Cambria" w:hAnsi="Cambria"/>
                <w:b/>
                <w:bCs/>
                <w:sz w:val="22"/>
                <w:szCs w:val="22"/>
                <w:lang w:eastAsia="sk-SK"/>
              </w:rPr>
            </w:pPr>
            <w:r w:rsidRPr="00BE23A6">
              <w:rPr>
                <w:rFonts w:ascii="Cambria" w:hAnsi="Cambria"/>
                <w:b/>
                <w:bCs/>
                <w:sz w:val="22"/>
                <w:szCs w:val="22"/>
                <w:lang w:eastAsia="sk-SK"/>
              </w:rPr>
              <w:t>6</w:t>
            </w:r>
          </w:p>
        </w:tc>
        <w:tc>
          <w:tcPr>
            <w:tcW w:w="1400" w:type="dxa"/>
            <w:vMerge w:val="restart"/>
            <w:tcBorders>
              <w:top w:val="single" w:sz="4" w:space="0" w:color="auto"/>
              <w:left w:val="single" w:sz="4" w:space="0" w:color="auto"/>
              <w:bottom w:val="single" w:sz="4" w:space="0" w:color="auto"/>
              <w:right w:val="single" w:sz="4" w:space="0" w:color="auto"/>
            </w:tcBorders>
            <w:vAlign w:val="center"/>
          </w:tcPr>
          <w:p w14:paraId="0397BA6E" w14:textId="714FA43C" w:rsidR="00AF561E" w:rsidRPr="00B73F77" w:rsidRDefault="00AF561E" w:rsidP="002B3654">
            <w:pPr>
              <w:jc w:val="center"/>
              <w:rPr>
                <w:rFonts w:ascii="Cambria" w:hAnsi="Cambria"/>
                <w:b/>
                <w:bCs/>
                <w:sz w:val="22"/>
                <w:szCs w:val="22"/>
                <w:lang w:eastAsia="sk-SK"/>
              </w:rPr>
            </w:pPr>
            <w:r w:rsidRPr="00B73F77">
              <w:rPr>
                <w:rFonts w:ascii="Cambria" w:hAnsi="Cambria"/>
                <w:b/>
                <w:bCs/>
                <w:sz w:val="22"/>
                <w:szCs w:val="22"/>
                <w:lang w:eastAsia="sk-SK"/>
              </w:rPr>
              <w:t>16 %</w:t>
            </w:r>
          </w:p>
        </w:tc>
      </w:tr>
      <w:tr w:rsidR="00AF561E" w:rsidRPr="00E75798" w14:paraId="33E53184" w14:textId="1BED8A1F" w:rsidTr="00264D04">
        <w:trPr>
          <w:trHeight w:val="82"/>
          <w:jc w:val="center"/>
        </w:trPr>
        <w:tc>
          <w:tcPr>
            <w:tcW w:w="1515" w:type="dxa"/>
            <w:vMerge/>
            <w:tcBorders>
              <w:top w:val="single" w:sz="4" w:space="0" w:color="auto"/>
              <w:left w:val="single" w:sz="4" w:space="0" w:color="auto"/>
              <w:right w:val="single" w:sz="4" w:space="0" w:color="auto"/>
            </w:tcBorders>
            <w:vAlign w:val="center"/>
            <w:hideMark/>
          </w:tcPr>
          <w:p w14:paraId="6A3E590D"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EB393C" w14:textId="4698BA1E"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Design a Implementácia DWH (Rel. časť) + dátový model pre vybrané 4 zdroje (L0, L1)</w:t>
            </w:r>
          </w:p>
        </w:tc>
        <w:tc>
          <w:tcPr>
            <w:tcW w:w="1406" w:type="dxa"/>
            <w:vMerge/>
            <w:tcBorders>
              <w:top w:val="single" w:sz="4" w:space="0" w:color="auto"/>
              <w:left w:val="single" w:sz="4" w:space="0" w:color="auto"/>
              <w:right w:val="single" w:sz="4" w:space="0" w:color="auto"/>
            </w:tcBorders>
            <w:shd w:val="clear" w:color="auto" w:fill="auto"/>
          </w:tcPr>
          <w:p w14:paraId="4CE6234D" w14:textId="10DF3C7A" w:rsidR="00AF561E" w:rsidRPr="00BE23A6" w:rsidRDefault="00AF561E" w:rsidP="002B3654">
            <w:pPr>
              <w:jc w:val="center"/>
              <w:rPr>
                <w:rFonts w:ascii="Cambria" w:hAnsi="Cambria"/>
                <w:b/>
                <w:bCs/>
                <w:sz w:val="22"/>
                <w:szCs w:val="22"/>
                <w:lang w:eastAsia="sk-SK"/>
              </w:rPr>
            </w:pPr>
          </w:p>
        </w:tc>
        <w:tc>
          <w:tcPr>
            <w:tcW w:w="1400" w:type="dxa"/>
            <w:vMerge/>
            <w:tcBorders>
              <w:top w:val="single" w:sz="4" w:space="0" w:color="auto"/>
              <w:left w:val="single" w:sz="4" w:space="0" w:color="auto"/>
              <w:right w:val="single" w:sz="4" w:space="0" w:color="auto"/>
            </w:tcBorders>
          </w:tcPr>
          <w:p w14:paraId="02D8871B" w14:textId="77777777" w:rsidR="00AF561E" w:rsidRPr="00B73F77" w:rsidRDefault="00AF561E" w:rsidP="002B3654">
            <w:pPr>
              <w:jc w:val="center"/>
              <w:rPr>
                <w:rFonts w:ascii="Cambria" w:hAnsi="Cambria"/>
                <w:b/>
                <w:bCs/>
                <w:sz w:val="22"/>
                <w:szCs w:val="22"/>
                <w:lang w:eastAsia="sk-SK"/>
              </w:rPr>
            </w:pPr>
          </w:p>
        </w:tc>
      </w:tr>
      <w:tr w:rsidR="00AF561E" w:rsidRPr="00E75798" w14:paraId="19240D64" w14:textId="2A4211C1" w:rsidTr="00264D04">
        <w:trPr>
          <w:trHeight w:val="82"/>
          <w:jc w:val="center"/>
        </w:trPr>
        <w:tc>
          <w:tcPr>
            <w:tcW w:w="1515" w:type="dxa"/>
            <w:vMerge/>
            <w:tcBorders>
              <w:left w:val="single" w:sz="4" w:space="0" w:color="auto"/>
              <w:right w:val="single" w:sz="4" w:space="0" w:color="auto"/>
            </w:tcBorders>
            <w:vAlign w:val="center"/>
          </w:tcPr>
          <w:p w14:paraId="101AF678"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756E0068" w14:textId="76DF3C0E"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Integrácia vybratých 4 zdrojových systémov ako funkčný test frameworkov</w:t>
            </w:r>
          </w:p>
        </w:tc>
        <w:tc>
          <w:tcPr>
            <w:tcW w:w="1406" w:type="dxa"/>
            <w:vMerge/>
            <w:tcBorders>
              <w:left w:val="single" w:sz="4" w:space="0" w:color="auto"/>
              <w:right w:val="single" w:sz="4" w:space="0" w:color="auto"/>
            </w:tcBorders>
          </w:tcPr>
          <w:p w14:paraId="05BF5B73" w14:textId="5AECEE3A"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43AFD62E" w14:textId="77777777" w:rsidR="00AF561E" w:rsidRPr="00B73F77" w:rsidRDefault="00AF561E" w:rsidP="002B3654">
            <w:pPr>
              <w:jc w:val="center"/>
              <w:rPr>
                <w:rFonts w:ascii="Cambria" w:hAnsi="Cambria"/>
                <w:b/>
                <w:bCs/>
                <w:sz w:val="22"/>
                <w:szCs w:val="22"/>
                <w:lang w:eastAsia="sk-SK"/>
              </w:rPr>
            </w:pPr>
          </w:p>
        </w:tc>
      </w:tr>
      <w:tr w:rsidR="00AF561E" w:rsidRPr="00E75798" w14:paraId="03AFFFD6" w14:textId="5B0F4C81" w:rsidTr="00264D04">
        <w:trPr>
          <w:trHeight w:val="82"/>
          <w:jc w:val="center"/>
        </w:trPr>
        <w:tc>
          <w:tcPr>
            <w:tcW w:w="1515" w:type="dxa"/>
            <w:vMerge/>
            <w:tcBorders>
              <w:left w:val="single" w:sz="4" w:space="0" w:color="auto"/>
              <w:right w:val="single" w:sz="4" w:space="0" w:color="auto"/>
            </w:tcBorders>
            <w:vAlign w:val="center"/>
          </w:tcPr>
          <w:p w14:paraId="61104BCB"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49388A34" w14:textId="1615970C"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Vytvorenie DB časti (Datamart pre vybratný rozsah reportov)</w:t>
            </w:r>
          </w:p>
        </w:tc>
        <w:tc>
          <w:tcPr>
            <w:tcW w:w="1406" w:type="dxa"/>
            <w:vMerge/>
            <w:tcBorders>
              <w:left w:val="single" w:sz="4" w:space="0" w:color="auto"/>
              <w:right w:val="single" w:sz="4" w:space="0" w:color="auto"/>
            </w:tcBorders>
          </w:tcPr>
          <w:p w14:paraId="32DA81BD" w14:textId="1AC4CA23"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74F6C634" w14:textId="77777777" w:rsidR="00AF561E" w:rsidRPr="00B73F77" w:rsidRDefault="00AF561E" w:rsidP="002B3654">
            <w:pPr>
              <w:jc w:val="center"/>
              <w:rPr>
                <w:rFonts w:ascii="Cambria" w:hAnsi="Cambria"/>
                <w:b/>
                <w:bCs/>
                <w:sz w:val="22"/>
                <w:szCs w:val="22"/>
                <w:lang w:eastAsia="sk-SK"/>
              </w:rPr>
            </w:pPr>
          </w:p>
        </w:tc>
      </w:tr>
      <w:tr w:rsidR="00AF561E" w:rsidRPr="00E75798" w14:paraId="6AAEC933" w14:textId="29DAC4B1" w:rsidTr="00264D04">
        <w:trPr>
          <w:trHeight w:val="82"/>
          <w:jc w:val="center"/>
        </w:trPr>
        <w:tc>
          <w:tcPr>
            <w:tcW w:w="1515" w:type="dxa"/>
            <w:vMerge/>
            <w:tcBorders>
              <w:left w:val="single" w:sz="4" w:space="0" w:color="auto"/>
              <w:right w:val="single" w:sz="4" w:space="0" w:color="auto"/>
            </w:tcBorders>
            <w:vAlign w:val="center"/>
          </w:tcPr>
          <w:p w14:paraId="79C721D1" w14:textId="12D18AC9"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676951D3" w14:textId="06DC13DE"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Vytvorenie základného rozsahu reportov (do 20)</w:t>
            </w:r>
          </w:p>
        </w:tc>
        <w:tc>
          <w:tcPr>
            <w:tcW w:w="1406" w:type="dxa"/>
            <w:vMerge/>
            <w:tcBorders>
              <w:left w:val="single" w:sz="4" w:space="0" w:color="auto"/>
              <w:right w:val="single" w:sz="4" w:space="0" w:color="auto"/>
            </w:tcBorders>
          </w:tcPr>
          <w:p w14:paraId="4A42406F" w14:textId="5A7908DF"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48B8914B" w14:textId="77777777" w:rsidR="00AF561E" w:rsidRPr="00B73F77" w:rsidRDefault="00AF561E" w:rsidP="002B3654">
            <w:pPr>
              <w:jc w:val="center"/>
              <w:rPr>
                <w:rFonts w:ascii="Cambria" w:hAnsi="Cambria"/>
                <w:b/>
                <w:bCs/>
                <w:sz w:val="22"/>
                <w:szCs w:val="22"/>
                <w:lang w:eastAsia="sk-SK"/>
              </w:rPr>
            </w:pPr>
          </w:p>
        </w:tc>
      </w:tr>
      <w:tr w:rsidR="00AF561E" w:rsidRPr="00E75798" w14:paraId="2D55E91C" w14:textId="41DC58AC" w:rsidTr="00264D04">
        <w:trPr>
          <w:trHeight w:val="82"/>
          <w:jc w:val="center"/>
        </w:trPr>
        <w:tc>
          <w:tcPr>
            <w:tcW w:w="1515" w:type="dxa"/>
            <w:vMerge/>
            <w:tcBorders>
              <w:left w:val="single" w:sz="4" w:space="0" w:color="auto"/>
              <w:right w:val="single" w:sz="4" w:space="0" w:color="auto"/>
            </w:tcBorders>
            <w:vAlign w:val="center"/>
          </w:tcPr>
          <w:p w14:paraId="71B22338"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59FE1B78" w14:textId="3D4C0918" w:rsidR="00AF561E" w:rsidRPr="002134A4" w:rsidRDefault="00AF561E" w:rsidP="002B3654">
            <w:pPr>
              <w:rPr>
                <w:rFonts w:ascii="Cambria" w:hAnsi="Cambria"/>
                <w:sz w:val="18"/>
                <w:szCs w:val="18"/>
                <w:lang w:eastAsia="sk-SK"/>
              </w:rPr>
            </w:pPr>
            <w:r w:rsidRPr="002134A4">
              <w:rPr>
                <w:rFonts w:ascii="Cambria" w:hAnsi="Cambria" w:cs="Calibri"/>
                <w:color w:val="000000"/>
                <w:sz w:val="18"/>
                <w:szCs w:val="18"/>
              </w:rPr>
              <w:t>UAT</w:t>
            </w:r>
            <w:r w:rsidR="00DA21E0" w:rsidRPr="002134A4">
              <w:rPr>
                <w:rFonts w:ascii="Cambria" w:hAnsi="Cambria" w:cs="Calibri"/>
                <w:color w:val="000000"/>
                <w:sz w:val="18"/>
                <w:szCs w:val="18"/>
              </w:rPr>
              <w:t xml:space="preserve"> </w:t>
            </w:r>
          </w:p>
        </w:tc>
        <w:tc>
          <w:tcPr>
            <w:tcW w:w="1406" w:type="dxa"/>
            <w:vMerge/>
            <w:tcBorders>
              <w:left w:val="single" w:sz="4" w:space="0" w:color="auto"/>
              <w:right w:val="single" w:sz="4" w:space="0" w:color="auto"/>
            </w:tcBorders>
          </w:tcPr>
          <w:p w14:paraId="3B4DA8EA" w14:textId="6F8FA31F"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3D42A3F0" w14:textId="77777777" w:rsidR="00AF561E" w:rsidRPr="00B73F77" w:rsidRDefault="00AF561E" w:rsidP="002B3654">
            <w:pPr>
              <w:jc w:val="center"/>
              <w:rPr>
                <w:rFonts w:ascii="Cambria" w:hAnsi="Cambria"/>
                <w:b/>
                <w:bCs/>
                <w:sz w:val="22"/>
                <w:szCs w:val="22"/>
                <w:lang w:eastAsia="sk-SK"/>
              </w:rPr>
            </w:pPr>
          </w:p>
        </w:tc>
      </w:tr>
      <w:tr w:rsidR="00AF561E" w:rsidRPr="00E75798" w14:paraId="371DAC78" w14:textId="7F189CA6" w:rsidTr="00264D04">
        <w:trPr>
          <w:trHeight w:val="82"/>
          <w:jc w:val="center"/>
        </w:trPr>
        <w:tc>
          <w:tcPr>
            <w:tcW w:w="1515" w:type="dxa"/>
            <w:vMerge/>
            <w:tcBorders>
              <w:left w:val="single" w:sz="4" w:space="0" w:color="auto"/>
              <w:right w:val="single" w:sz="4" w:space="0" w:color="auto"/>
            </w:tcBorders>
            <w:vAlign w:val="center"/>
          </w:tcPr>
          <w:p w14:paraId="04BB7B5D"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27784034" w14:textId="53B45800" w:rsidR="00AF561E" w:rsidRPr="0057696C" w:rsidRDefault="00AF561E" w:rsidP="002B3654">
            <w:pPr>
              <w:rPr>
                <w:rFonts w:ascii="Cambria" w:hAnsi="Cambria" w:cs="Calibri"/>
                <w:color w:val="000000"/>
                <w:sz w:val="18"/>
                <w:szCs w:val="18"/>
              </w:rPr>
            </w:pPr>
            <w:r w:rsidRPr="002134A4">
              <w:rPr>
                <w:rFonts w:ascii="Cambria" w:hAnsi="Cambria" w:cs="Calibri"/>
                <w:color w:val="000000"/>
                <w:sz w:val="18"/>
                <w:szCs w:val="18"/>
              </w:rPr>
              <w:t>Inštalácia na PROD</w:t>
            </w:r>
          </w:p>
        </w:tc>
        <w:tc>
          <w:tcPr>
            <w:tcW w:w="1406" w:type="dxa"/>
            <w:vMerge/>
            <w:tcBorders>
              <w:left w:val="single" w:sz="4" w:space="0" w:color="auto"/>
              <w:right w:val="single" w:sz="4" w:space="0" w:color="auto"/>
            </w:tcBorders>
          </w:tcPr>
          <w:p w14:paraId="722CAE0A" w14:textId="390FAE64"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6E3E75A7" w14:textId="77777777" w:rsidR="00AF561E" w:rsidRPr="00B73F77" w:rsidRDefault="00AF561E" w:rsidP="002B3654">
            <w:pPr>
              <w:jc w:val="center"/>
              <w:rPr>
                <w:rFonts w:ascii="Cambria" w:hAnsi="Cambria"/>
                <w:b/>
                <w:bCs/>
                <w:sz w:val="22"/>
                <w:szCs w:val="22"/>
                <w:lang w:eastAsia="sk-SK"/>
              </w:rPr>
            </w:pPr>
          </w:p>
        </w:tc>
      </w:tr>
      <w:tr w:rsidR="00AF561E" w:rsidRPr="00E75798" w14:paraId="786580A7" w14:textId="77777777" w:rsidTr="00264D04">
        <w:trPr>
          <w:trHeight w:val="82"/>
          <w:jc w:val="center"/>
        </w:trPr>
        <w:tc>
          <w:tcPr>
            <w:tcW w:w="1515" w:type="dxa"/>
            <w:vMerge/>
            <w:tcBorders>
              <w:left w:val="single" w:sz="4" w:space="0" w:color="auto"/>
              <w:right w:val="single" w:sz="4" w:space="0" w:color="auto"/>
            </w:tcBorders>
            <w:vAlign w:val="center"/>
          </w:tcPr>
          <w:p w14:paraId="31637483"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4F79A25A" w14:textId="48A0C8FF" w:rsidR="00AF561E" w:rsidRPr="002134A4" w:rsidRDefault="00AF561E" w:rsidP="002B3654">
            <w:pPr>
              <w:rPr>
                <w:rFonts w:ascii="Cambria" w:hAnsi="Cambria" w:cs="Calibri"/>
                <w:color w:val="000000"/>
                <w:sz w:val="18"/>
                <w:szCs w:val="18"/>
              </w:rPr>
            </w:pPr>
            <w:r w:rsidRPr="0057696C">
              <w:rPr>
                <w:rFonts w:ascii="Cambria" w:hAnsi="Cambria" w:cs="Calibri"/>
                <w:color w:val="000000"/>
                <w:sz w:val="18"/>
                <w:szCs w:val="18"/>
              </w:rPr>
              <w:t>Finálna akceptácia fázy</w:t>
            </w:r>
          </w:p>
        </w:tc>
        <w:tc>
          <w:tcPr>
            <w:tcW w:w="1406" w:type="dxa"/>
            <w:vMerge/>
            <w:tcBorders>
              <w:left w:val="single" w:sz="4" w:space="0" w:color="auto"/>
              <w:right w:val="single" w:sz="4" w:space="0" w:color="auto"/>
            </w:tcBorders>
          </w:tcPr>
          <w:p w14:paraId="08562B98" w14:textId="77777777"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right w:val="single" w:sz="4" w:space="0" w:color="auto"/>
            </w:tcBorders>
          </w:tcPr>
          <w:p w14:paraId="6CD311F9" w14:textId="77777777" w:rsidR="00AF561E" w:rsidRPr="00B73F77" w:rsidRDefault="00AF561E" w:rsidP="002B3654">
            <w:pPr>
              <w:jc w:val="center"/>
              <w:rPr>
                <w:rFonts w:ascii="Cambria" w:hAnsi="Cambria"/>
                <w:b/>
                <w:bCs/>
                <w:sz w:val="22"/>
                <w:szCs w:val="22"/>
                <w:lang w:eastAsia="sk-SK"/>
              </w:rPr>
            </w:pPr>
          </w:p>
        </w:tc>
      </w:tr>
      <w:tr w:rsidR="00AF561E" w:rsidRPr="00E75798" w14:paraId="04B1654E" w14:textId="77777777" w:rsidTr="00264D04">
        <w:trPr>
          <w:trHeight w:val="82"/>
          <w:jc w:val="center"/>
        </w:trPr>
        <w:tc>
          <w:tcPr>
            <w:tcW w:w="1515" w:type="dxa"/>
            <w:vMerge/>
            <w:tcBorders>
              <w:left w:val="single" w:sz="4" w:space="0" w:color="auto"/>
              <w:bottom w:val="single" w:sz="4" w:space="0" w:color="auto"/>
              <w:right w:val="single" w:sz="4" w:space="0" w:color="auto"/>
            </w:tcBorders>
            <w:vAlign w:val="center"/>
          </w:tcPr>
          <w:p w14:paraId="075F025F" w14:textId="77777777" w:rsidR="00AF561E" w:rsidRPr="00E75798" w:rsidRDefault="00AF561E"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62EA9E12" w14:textId="5B4BC609" w:rsidR="00AF561E" w:rsidRPr="002134A4" w:rsidRDefault="00AF561E" w:rsidP="002B3654">
            <w:pPr>
              <w:rPr>
                <w:rFonts w:ascii="Cambria" w:hAnsi="Cambria" w:cs="Calibri"/>
                <w:color w:val="000000"/>
                <w:sz w:val="18"/>
                <w:szCs w:val="18"/>
              </w:rPr>
            </w:pPr>
            <w:r w:rsidRPr="002134A4">
              <w:rPr>
                <w:rFonts w:ascii="Cambria" w:hAnsi="Cambria" w:cs="Calibri"/>
                <w:color w:val="000000"/>
                <w:sz w:val="18"/>
                <w:szCs w:val="18"/>
              </w:rPr>
              <w:t>Skúšobná prevádzka</w:t>
            </w:r>
          </w:p>
        </w:tc>
        <w:tc>
          <w:tcPr>
            <w:tcW w:w="1406" w:type="dxa"/>
            <w:vMerge/>
            <w:tcBorders>
              <w:left w:val="single" w:sz="4" w:space="0" w:color="auto"/>
              <w:bottom w:val="single" w:sz="4" w:space="0" w:color="auto"/>
              <w:right w:val="single" w:sz="4" w:space="0" w:color="auto"/>
            </w:tcBorders>
          </w:tcPr>
          <w:p w14:paraId="5DBF1525" w14:textId="77777777" w:rsidR="00AF561E" w:rsidRPr="00BE23A6" w:rsidRDefault="00AF561E" w:rsidP="002B3654">
            <w:pPr>
              <w:jc w:val="center"/>
              <w:rPr>
                <w:rFonts w:ascii="Cambria" w:hAnsi="Cambria"/>
                <w:b/>
                <w:bCs/>
                <w:sz w:val="22"/>
                <w:szCs w:val="22"/>
                <w:lang w:eastAsia="sk-SK"/>
              </w:rPr>
            </w:pPr>
          </w:p>
        </w:tc>
        <w:tc>
          <w:tcPr>
            <w:tcW w:w="1400" w:type="dxa"/>
            <w:vMerge/>
            <w:tcBorders>
              <w:left w:val="single" w:sz="4" w:space="0" w:color="auto"/>
              <w:bottom w:val="single" w:sz="4" w:space="0" w:color="auto"/>
              <w:right w:val="single" w:sz="4" w:space="0" w:color="auto"/>
            </w:tcBorders>
          </w:tcPr>
          <w:p w14:paraId="069B08E8" w14:textId="77777777" w:rsidR="00AF561E" w:rsidRPr="00B73F77" w:rsidRDefault="00AF561E" w:rsidP="002B3654">
            <w:pPr>
              <w:jc w:val="center"/>
              <w:rPr>
                <w:rFonts w:ascii="Cambria" w:hAnsi="Cambria"/>
                <w:b/>
                <w:bCs/>
                <w:sz w:val="22"/>
                <w:szCs w:val="22"/>
                <w:lang w:eastAsia="sk-SK"/>
              </w:rPr>
            </w:pPr>
          </w:p>
        </w:tc>
      </w:tr>
      <w:tr w:rsidR="00ED7D51" w:rsidRPr="00E75798" w14:paraId="3E9B155C" w14:textId="30F5B006" w:rsidTr="00264D04">
        <w:trPr>
          <w:trHeight w:val="82"/>
          <w:jc w:val="center"/>
        </w:trPr>
        <w:tc>
          <w:tcPr>
            <w:tcW w:w="1515" w:type="dxa"/>
            <w:vMerge w:val="restart"/>
            <w:tcBorders>
              <w:top w:val="single" w:sz="4" w:space="0" w:color="auto"/>
              <w:left w:val="single" w:sz="4" w:space="0" w:color="auto"/>
              <w:right w:val="single" w:sz="4" w:space="0" w:color="auto"/>
            </w:tcBorders>
            <w:shd w:val="clear" w:color="auto" w:fill="auto"/>
            <w:noWrap/>
            <w:vAlign w:val="center"/>
            <w:hideMark/>
          </w:tcPr>
          <w:p w14:paraId="476BC449" w14:textId="77777777" w:rsidR="005E41C5" w:rsidRDefault="00ED7D51" w:rsidP="00ED7D51">
            <w:pPr>
              <w:jc w:val="center"/>
              <w:rPr>
                <w:rFonts w:ascii="Cambria" w:hAnsi="Cambria"/>
                <w:b/>
                <w:bCs/>
                <w:sz w:val="16"/>
                <w:szCs w:val="16"/>
                <w:lang w:eastAsia="sk-SK"/>
              </w:rPr>
            </w:pPr>
            <w:r w:rsidRPr="00E75798">
              <w:rPr>
                <w:rFonts w:ascii="Cambria" w:hAnsi="Cambria"/>
                <w:b/>
                <w:bCs/>
                <w:sz w:val="16"/>
                <w:szCs w:val="16"/>
                <w:lang w:eastAsia="sk-SK"/>
              </w:rPr>
              <w:t xml:space="preserve">2. </w:t>
            </w:r>
            <w:r w:rsidR="005E41C5">
              <w:rPr>
                <w:rFonts w:ascii="Cambria" w:hAnsi="Cambria"/>
                <w:b/>
                <w:bCs/>
                <w:sz w:val="16"/>
                <w:szCs w:val="16"/>
                <w:lang w:eastAsia="sk-SK"/>
              </w:rPr>
              <w:t xml:space="preserve">Fáza </w:t>
            </w:r>
          </w:p>
          <w:p w14:paraId="7AA9680C" w14:textId="1F7E32B3" w:rsidR="00ED7D51" w:rsidRPr="00E75798" w:rsidRDefault="00ED7D51" w:rsidP="00ED7D51">
            <w:pPr>
              <w:jc w:val="center"/>
              <w:rPr>
                <w:rFonts w:ascii="Cambria" w:hAnsi="Cambria"/>
                <w:b/>
                <w:bCs/>
                <w:sz w:val="16"/>
                <w:szCs w:val="16"/>
                <w:lang w:eastAsia="sk-SK"/>
              </w:rPr>
            </w:pPr>
            <w:r w:rsidRPr="00E75798">
              <w:rPr>
                <w:rFonts w:ascii="Cambria" w:hAnsi="Cambria"/>
                <w:b/>
                <w:bCs/>
                <w:sz w:val="16"/>
                <w:szCs w:val="16"/>
                <w:lang w:eastAsia="sk-SK"/>
              </w:rPr>
              <w:t>Hlavné zdrojové systémy, príprava DL</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97F0E" w14:textId="5E28D720"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Integrácia 10 zdrojových systémov</w:t>
            </w:r>
          </w:p>
        </w:tc>
        <w:tc>
          <w:tcPr>
            <w:tcW w:w="1406" w:type="dxa"/>
            <w:vMerge w:val="restart"/>
            <w:tcBorders>
              <w:top w:val="single" w:sz="4" w:space="0" w:color="auto"/>
              <w:left w:val="single" w:sz="4" w:space="0" w:color="auto"/>
              <w:right w:val="single" w:sz="4" w:space="0" w:color="auto"/>
            </w:tcBorders>
            <w:shd w:val="clear" w:color="auto" w:fill="auto"/>
            <w:noWrap/>
            <w:vAlign w:val="center"/>
          </w:tcPr>
          <w:p w14:paraId="628FB838" w14:textId="2359440D" w:rsidR="00ED7D51" w:rsidRPr="00BE23A6" w:rsidRDefault="00ED7D51" w:rsidP="00ED7D51">
            <w:pPr>
              <w:jc w:val="center"/>
              <w:rPr>
                <w:rFonts w:ascii="Cambria" w:hAnsi="Cambria"/>
                <w:b/>
                <w:bCs/>
                <w:sz w:val="22"/>
                <w:szCs w:val="22"/>
                <w:lang w:eastAsia="sk-SK"/>
              </w:rPr>
            </w:pPr>
            <w:r w:rsidRPr="00BE23A6">
              <w:rPr>
                <w:rFonts w:ascii="Cambria" w:hAnsi="Cambria"/>
                <w:b/>
                <w:bCs/>
                <w:sz w:val="22"/>
                <w:szCs w:val="22"/>
                <w:lang w:eastAsia="sk-SK"/>
              </w:rPr>
              <w:t>16</w:t>
            </w:r>
          </w:p>
        </w:tc>
        <w:tc>
          <w:tcPr>
            <w:tcW w:w="1400" w:type="dxa"/>
            <w:vMerge w:val="restart"/>
            <w:tcBorders>
              <w:top w:val="single" w:sz="4" w:space="0" w:color="auto"/>
              <w:left w:val="single" w:sz="4" w:space="0" w:color="auto"/>
              <w:right w:val="single" w:sz="4" w:space="0" w:color="auto"/>
            </w:tcBorders>
            <w:vAlign w:val="center"/>
          </w:tcPr>
          <w:p w14:paraId="5C6EA574" w14:textId="00CE6544" w:rsidR="00ED7D51" w:rsidRPr="00B73F77" w:rsidRDefault="00ED7D51" w:rsidP="00ED7D51">
            <w:pPr>
              <w:jc w:val="center"/>
              <w:rPr>
                <w:rFonts w:ascii="Cambria" w:hAnsi="Cambria"/>
                <w:b/>
                <w:bCs/>
                <w:sz w:val="22"/>
                <w:szCs w:val="22"/>
                <w:lang w:eastAsia="sk-SK"/>
              </w:rPr>
            </w:pPr>
            <w:r w:rsidRPr="00B73F77">
              <w:rPr>
                <w:rFonts w:ascii="Cambria" w:hAnsi="Cambria"/>
                <w:b/>
                <w:bCs/>
                <w:sz w:val="22"/>
                <w:szCs w:val="22"/>
                <w:lang w:eastAsia="sk-SK"/>
              </w:rPr>
              <w:t>24 %</w:t>
            </w:r>
          </w:p>
        </w:tc>
      </w:tr>
      <w:tr w:rsidR="00ED7D51" w:rsidRPr="00E75798" w14:paraId="7B852122" w14:textId="07149370" w:rsidTr="00264D04">
        <w:trPr>
          <w:trHeight w:val="82"/>
          <w:jc w:val="center"/>
        </w:trPr>
        <w:tc>
          <w:tcPr>
            <w:tcW w:w="1515" w:type="dxa"/>
            <w:vMerge/>
            <w:tcBorders>
              <w:left w:val="single" w:sz="4" w:space="0" w:color="auto"/>
              <w:right w:val="single" w:sz="4" w:space="0" w:color="auto"/>
            </w:tcBorders>
            <w:vAlign w:val="center"/>
            <w:hideMark/>
          </w:tcPr>
          <w:p w14:paraId="5E8F3C2B"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41DFB" w14:textId="0EDC8F5E"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Vytvorenie DB časti (Transakčná časť)</w:t>
            </w:r>
          </w:p>
        </w:tc>
        <w:tc>
          <w:tcPr>
            <w:tcW w:w="1406" w:type="dxa"/>
            <w:vMerge/>
            <w:tcBorders>
              <w:left w:val="single" w:sz="4" w:space="0" w:color="auto"/>
              <w:right w:val="single" w:sz="4" w:space="0" w:color="auto"/>
            </w:tcBorders>
            <w:shd w:val="clear" w:color="auto" w:fill="auto"/>
            <w:vAlign w:val="center"/>
          </w:tcPr>
          <w:p w14:paraId="1DC7228C" w14:textId="1F71AA3A"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3B68F05A" w14:textId="77777777" w:rsidR="00ED7D51" w:rsidRPr="00B73F77" w:rsidRDefault="00ED7D51" w:rsidP="00ED7D51">
            <w:pPr>
              <w:jc w:val="center"/>
              <w:rPr>
                <w:rFonts w:ascii="Cambria" w:hAnsi="Cambria"/>
                <w:b/>
                <w:bCs/>
                <w:sz w:val="22"/>
                <w:szCs w:val="22"/>
                <w:lang w:eastAsia="sk-SK"/>
              </w:rPr>
            </w:pPr>
          </w:p>
        </w:tc>
      </w:tr>
      <w:tr w:rsidR="00ED7D51" w:rsidRPr="00E75798" w14:paraId="59BA0323" w14:textId="68C79F1B" w:rsidTr="00264D04">
        <w:trPr>
          <w:trHeight w:val="82"/>
          <w:jc w:val="center"/>
        </w:trPr>
        <w:tc>
          <w:tcPr>
            <w:tcW w:w="1515" w:type="dxa"/>
            <w:vMerge/>
            <w:tcBorders>
              <w:left w:val="single" w:sz="4" w:space="0" w:color="auto"/>
              <w:right w:val="single" w:sz="4" w:space="0" w:color="auto"/>
            </w:tcBorders>
            <w:vAlign w:val="center"/>
            <w:hideMark/>
          </w:tcPr>
          <w:p w14:paraId="3D55121C"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48049" w14:textId="21F8FAD4"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Vytvorenie DB časti (Datamarty 1. etapy - kap. 3.3.2)</w:t>
            </w:r>
          </w:p>
        </w:tc>
        <w:tc>
          <w:tcPr>
            <w:tcW w:w="1406" w:type="dxa"/>
            <w:vMerge/>
            <w:tcBorders>
              <w:left w:val="single" w:sz="4" w:space="0" w:color="auto"/>
              <w:right w:val="single" w:sz="4" w:space="0" w:color="auto"/>
            </w:tcBorders>
            <w:shd w:val="clear" w:color="auto" w:fill="auto"/>
            <w:vAlign w:val="center"/>
          </w:tcPr>
          <w:p w14:paraId="099CA6DC" w14:textId="5528FD37"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4D2FBAEE" w14:textId="77777777" w:rsidR="00ED7D51" w:rsidRPr="00B73F77" w:rsidRDefault="00ED7D51" w:rsidP="00ED7D51">
            <w:pPr>
              <w:jc w:val="center"/>
              <w:rPr>
                <w:rFonts w:ascii="Cambria" w:hAnsi="Cambria"/>
                <w:b/>
                <w:bCs/>
                <w:sz w:val="22"/>
                <w:szCs w:val="22"/>
                <w:lang w:eastAsia="sk-SK"/>
              </w:rPr>
            </w:pPr>
          </w:p>
        </w:tc>
      </w:tr>
      <w:tr w:rsidR="00ED7D51" w:rsidRPr="00E75798" w14:paraId="6426D749" w14:textId="016BA852" w:rsidTr="00264D04">
        <w:trPr>
          <w:trHeight w:val="82"/>
          <w:jc w:val="center"/>
        </w:trPr>
        <w:tc>
          <w:tcPr>
            <w:tcW w:w="1515" w:type="dxa"/>
            <w:vMerge/>
            <w:tcBorders>
              <w:left w:val="single" w:sz="4" w:space="0" w:color="auto"/>
              <w:right w:val="single" w:sz="4" w:space="0" w:color="auto"/>
            </w:tcBorders>
            <w:vAlign w:val="center"/>
            <w:hideMark/>
          </w:tcPr>
          <w:p w14:paraId="50173EEA"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571BF" w14:textId="1C781826"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Vytvorenie DL</w:t>
            </w:r>
          </w:p>
        </w:tc>
        <w:tc>
          <w:tcPr>
            <w:tcW w:w="1406" w:type="dxa"/>
            <w:vMerge/>
            <w:tcBorders>
              <w:left w:val="single" w:sz="4" w:space="0" w:color="auto"/>
              <w:right w:val="single" w:sz="4" w:space="0" w:color="auto"/>
            </w:tcBorders>
            <w:shd w:val="clear" w:color="auto" w:fill="auto"/>
            <w:vAlign w:val="center"/>
          </w:tcPr>
          <w:p w14:paraId="2EF0BA46" w14:textId="0C28AABB"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1A250E42" w14:textId="77777777" w:rsidR="00ED7D51" w:rsidRPr="00B73F77" w:rsidRDefault="00ED7D51" w:rsidP="00ED7D51">
            <w:pPr>
              <w:jc w:val="center"/>
              <w:rPr>
                <w:rFonts w:ascii="Cambria" w:hAnsi="Cambria"/>
                <w:b/>
                <w:bCs/>
                <w:sz w:val="22"/>
                <w:szCs w:val="22"/>
                <w:lang w:eastAsia="sk-SK"/>
              </w:rPr>
            </w:pPr>
          </w:p>
        </w:tc>
      </w:tr>
      <w:tr w:rsidR="00ED7D51" w:rsidRPr="00E75798" w14:paraId="2D2EF731" w14:textId="598E4A68" w:rsidTr="00264D04">
        <w:trPr>
          <w:trHeight w:val="82"/>
          <w:jc w:val="center"/>
        </w:trPr>
        <w:tc>
          <w:tcPr>
            <w:tcW w:w="1515" w:type="dxa"/>
            <w:vMerge/>
            <w:tcBorders>
              <w:left w:val="single" w:sz="4" w:space="0" w:color="auto"/>
              <w:right w:val="single" w:sz="4" w:space="0" w:color="auto"/>
            </w:tcBorders>
            <w:vAlign w:val="center"/>
            <w:hideMark/>
          </w:tcPr>
          <w:p w14:paraId="411E03C8"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3D797" w14:textId="182EA02D"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Vytvorenie "Výstupné zostavy" pre 3 strany pre 1. etapu</w:t>
            </w:r>
          </w:p>
        </w:tc>
        <w:tc>
          <w:tcPr>
            <w:tcW w:w="1406" w:type="dxa"/>
            <w:vMerge/>
            <w:tcBorders>
              <w:left w:val="single" w:sz="4" w:space="0" w:color="auto"/>
              <w:right w:val="single" w:sz="4" w:space="0" w:color="auto"/>
            </w:tcBorders>
            <w:shd w:val="clear" w:color="auto" w:fill="auto"/>
            <w:vAlign w:val="center"/>
          </w:tcPr>
          <w:p w14:paraId="4D9A229E" w14:textId="1BF2EF16"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42C969B6" w14:textId="77777777" w:rsidR="00ED7D51" w:rsidRPr="00B73F77" w:rsidRDefault="00ED7D51" w:rsidP="00ED7D51">
            <w:pPr>
              <w:jc w:val="center"/>
              <w:rPr>
                <w:rFonts w:ascii="Cambria" w:hAnsi="Cambria"/>
                <w:b/>
                <w:bCs/>
                <w:sz w:val="22"/>
                <w:szCs w:val="22"/>
                <w:lang w:eastAsia="sk-SK"/>
              </w:rPr>
            </w:pPr>
          </w:p>
        </w:tc>
      </w:tr>
      <w:tr w:rsidR="00ED7D51" w:rsidRPr="00E75798" w14:paraId="327224F1" w14:textId="4166F9D7" w:rsidTr="00264D04">
        <w:trPr>
          <w:trHeight w:val="82"/>
          <w:jc w:val="center"/>
        </w:trPr>
        <w:tc>
          <w:tcPr>
            <w:tcW w:w="1515" w:type="dxa"/>
            <w:vMerge/>
            <w:tcBorders>
              <w:left w:val="single" w:sz="4" w:space="0" w:color="auto"/>
              <w:right w:val="single" w:sz="4" w:space="0" w:color="auto"/>
            </w:tcBorders>
            <w:vAlign w:val="center"/>
            <w:hideMark/>
          </w:tcPr>
          <w:p w14:paraId="7DCDECF0"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7A0BB" w14:textId="1D70554F"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Vytvorenie reportov pre 1. etapu</w:t>
            </w:r>
          </w:p>
        </w:tc>
        <w:tc>
          <w:tcPr>
            <w:tcW w:w="1406" w:type="dxa"/>
            <w:vMerge/>
            <w:tcBorders>
              <w:left w:val="single" w:sz="4" w:space="0" w:color="auto"/>
              <w:right w:val="single" w:sz="4" w:space="0" w:color="auto"/>
            </w:tcBorders>
            <w:shd w:val="clear" w:color="auto" w:fill="auto"/>
            <w:vAlign w:val="center"/>
          </w:tcPr>
          <w:p w14:paraId="6D38ADD8" w14:textId="72F26DBF"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268B8BBE" w14:textId="77777777" w:rsidR="00ED7D51" w:rsidRPr="00B73F77" w:rsidRDefault="00ED7D51" w:rsidP="00ED7D51">
            <w:pPr>
              <w:jc w:val="center"/>
              <w:rPr>
                <w:rFonts w:ascii="Cambria" w:hAnsi="Cambria"/>
                <w:b/>
                <w:bCs/>
                <w:sz w:val="22"/>
                <w:szCs w:val="22"/>
                <w:lang w:eastAsia="sk-SK"/>
              </w:rPr>
            </w:pPr>
          </w:p>
        </w:tc>
      </w:tr>
      <w:tr w:rsidR="00ED7D51" w:rsidRPr="00E75798" w14:paraId="66FB3E39" w14:textId="7CDDFB4D" w:rsidTr="00264D04">
        <w:trPr>
          <w:trHeight w:val="82"/>
          <w:jc w:val="center"/>
        </w:trPr>
        <w:tc>
          <w:tcPr>
            <w:tcW w:w="1515" w:type="dxa"/>
            <w:vMerge/>
            <w:tcBorders>
              <w:left w:val="single" w:sz="4" w:space="0" w:color="auto"/>
              <w:right w:val="single" w:sz="4" w:space="0" w:color="auto"/>
            </w:tcBorders>
            <w:vAlign w:val="center"/>
            <w:hideMark/>
          </w:tcPr>
          <w:p w14:paraId="5FFFF390"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FB61F" w14:textId="1050594C" w:rsidR="00ED7D51" w:rsidRPr="002134A4" w:rsidRDefault="00ED7D51" w:rsidP="00ED7D51">
            <w:pPr>
              <w:rPr>
                <w:rFonts w:ascii="Cambria" w:hAnsi="Cambria" w:cs="Calibri"/>
                <w:color w:val="000000"/>
                <w:sz w:val="18"/>
                <w:szCs w:val="18"/>
              </w:rPr>
            </w:pPr>
            <w:r w:rsidRPr="002134A4">
              <w:rPr>
                <w:rFonts w:ascii="Cambria" w:hAnsi="Cambria" w:cs="Calibri"/>
                <w:color w:val="000000"/>
                <w:sz w:val="18"/>
                <w:szCs w:val="18"/>
              </w:rPr>
              <w:t>UAT</w:t>
            </w:r>
          </w:p>
        </w:tc>
        <w:tc>
          <w:tcPr>
            <w:tcW w:w="1406" w:type="dxa"/>
            <w:vMerge/>
            <w:tcBorders>
              <w:left w:val="single" w:sz="4" w:space="0" w:color="auto"/>
              <w:right w:val="single" w:sz="4" w:space="0" w:color="auto"/>
            </w:tcBorders>
            <w:shd w:val="clear" w:color="auto" w:fill="auto"/>
            <w:vAlign w:val="center"/>
          </w:tcPr>
          <w:p w14:paraId="47AA2FDE" w14:textId="2BC16B20" w:rsidR="00ED7D51" w:rsidRPr="00BE23A6" w:rsidRDefault="00ED7D51" w:rsidP="00ED7D5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6AFEAFE2" w14:textId="77777777" w:rsidR="00ED7D51" w:rsidRPr="00B73F77" w:rsidRDefault="00ED7D51" w:rsidP="00ED7D51">
            <w:pPr>
              <w:jc w:val="center"/>
              <w:rPr>
                <w:rFonts w:ascii="Cambria" w:hAnsi="Cambria"/>
                <w:b/>
                <w:bCs/>
                <w:sz w:val="22"/>
                <w:szCs w:val="22"/>
                <w:lang w:eastAsia="sk-SK"/>
              </w:rPr>
            </w:pPr>
          </w:p>
        </w:tc>
      </w:tr>
      <w:tr w:rsidR="00ED7D51" w:rsidRPr="00E75798" w14:paraId="6FB1FE8E" w14:textId="7F3B7218" w:rsidTr="00264D04">
        <w:trPr>
          <w:trHeight w:val="79"/>
          <w:jc w:val="center"/>
        </w:trPr>
        <w:tc>
          <w:tcPr>
            <w:tcW w:w="1515" w:type="dxa"/>
            <w:vMerge/>
            <w:tcBorders>
              <w:left w:val="single" w:sz="4" w:space="0" w:color="auto"/>
              <w:right w:val="single" w:sz="4" w:space="0" w:color="auto"/>
            </w:tcBorders>
            <w:vAlign w:val="center"/>
          </w:tcPr>
          <w:p w14:paraId="04BB0280"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155B9503" w14:textId="0DB4DD4A" w:rsidR="00ED7D51" w:rsidRPr="0057696C" w:rsidRDefault="00ED7D51" w:rsidP="00ED7D51">
            <w:pPr>
              <w:rPr>
                <w:rFonts w:ascii="Cambria" w:hAnsi="Cambria" w:cs="Calibri"/>
                <w:color w:val="000000"/>
                <w:sz w:val="18"/>
                <w:szCs w:val="18"/>
              </w:rPr>
            </w:pPr>
            <w:r w:rsidRPr="002134A4">
              <w:rPr>
                <w:rFonts w:ascii="Cambria" w:hAnsi="Cambria" w:cs="Calibri"/>
                <w:color w:val="000000"/>
                <w:sz w:val="18"/>
                <w:szCs w:val="18"/>
              </w:rPr>
              <w:t>Inštalácia na PROD</w:t>
            </w:r>
          </w:p>
        </w:tc>
        <w:tc>
          <w:tcPr>
            <w:tcW w:w="1406" w:type="dxa"/>
            <w:vMerge/>
            <w:tcBorders>
              <w:left w:val="single" w:sz="4" w:space="0" w:color="auto"/>
              <w:right w:val="single" w:sz="4" w:space="0" w:color="auto"/>
            </w:tcBorders>
            <w:shd w:val="clear" w:color="auto" w:fill="auto"/>
            <w:vAlign w:val="center"/>
          </w:tcPr>
          <w:p w14:paraId="672774A0" w14:textId="2755B234" w:rsidR="00ED7D51" w:rsidRPr="00BE23A6" w:rsidRDefault="00ED7D51" w:rsidP="00ED7D51">
            <w:pPr>
              <w:jc w:val="center"/>
              <w:rPr>
                <w:rFonts w:ascii="Cambria" w:hAnsi="Cambria"/>
                <w:b/>
                <w:bCs/>
                <w:sz w:val="22"/>
                <w:szCs w:val="22"/>
                <w:highlight w:val="green"/>
                <w:lang w:eastAsia="sk-SK"/>
              </w:rPr>
            </w:pPr>
          </w:p>
        </w:tc>
        <w:tc>
          <w:tcPr>
            <w:tcW w:w="1400" w:type="dxa"/>
            <w:vMerge/>
            <w:tcBorders>
              <w:left w:val="single" w:sz="4" w:space="0" w:color="auto"/>
              <w:right w:val="single" w:sz="4" w:space="0" w:color="auto"/>
            </w:tcBorders>
            <w:vAlign w:val="center"/>
          </w:tcPr>
          <w:p w14:paraId="2694FFC7" w14:textId="77777777" w:rsidR="00ED7D51" w:rsidRPr="00B73F77" w:rsidRDefault="00ED7D51" w:rsidP="00ED7D51">
            <w:pPr>
              <w:jc w:val="center"/>
              <w:rPr>
                <w:rFonts w:ascii="Cambria" w:hAnsi="Cambria"/>
                <w:b/>
                <w:bCs/>
                <w:sz w:val="22"/>
                <w:szCs w:val="22"/>
                <w:lang w:eastAsia="sk-SK"/>
              </w:rPr>
            </w:pPr>
          </w:p>
        </w:tc>
      </w:tr>
      <w:tr w:rsidR="00ED7D51" w:rsidRPr="00E75798" w14:paraId="6493E229" w14:textId="77777777" w:rsidTr="00264D04">
        <w:trPr>
          <w:trHeight w:val="79"/>
          <w:jc w:val="center"/>
        </w:trPr>
        <w:tc>
          <w:tcPr>
            <w:tcW w:w="1515" w:type="dxa"/>
            <w:vMerge/>
            <w:tcBorders>
              <w:left w:val="single" w:sz="4" w:space="0" w:color="auto"/>
              <w:right w:val="single" w:sz="4" w:space="0" w:color="auto"/>
            </w:tcBorders>
            <w:vAlign w:val="center"/>
          </w:tcPr>
          <w:p w14:paraId="46DFBCDE"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105D6851" w14:textId="6E9A135B" w:rsidR="00ED7D51" w:rsidRPr="0057696C" w:rsidRDefault="00ED7D51" w:rsidP="00ED7D51">
            <w:pPr>
              <w:rPr>
                <w:rFonts w:ascii="Cambria" w:hAnsi="Cambria" w:cs="Calibri"/>
                <w:color w:val="000000"/>
                <w:sz w:val="18"/>
                <w:szCs w:val="18"/>
              </w:rPr>
            </w:pPr>
            <w:r w:rsidRPr="0057696C">
              <w:rPr>
                <w:rFonts w:ascii="Cambria" w:hAnsi="Cambria" w:cs="Calibri"/>
                <w:color w:val="000000"/>
                <w:sz w:val="18"/>
                <w:szCs w:val="18"/>
              </w:rPr>
              <w:t>Finálna akceptácia fázy</w:t>
            </w:r>
          </w:p>
        </w:tc>
        <w:tc>
          <w:tcPr>
            <w:tcW w:w="1406" w:type="dxa"/>
            <w:vMerge/>
            <w:tcBorders>
              <w:left w:val="single" w:sz="4" w:space="0" w:color="auto"/>
              <w:right w:val="single" w:sz="4" w:space="0" w:color="auto"/>
            </w:tcBorders>
            <w:shd w:val="clear" w:color="auto" w:fill="auto"/>
            <w:vAlign w:val="center"/>
          </w:tcPr>
          <w:p w14:paraId="6A77B2D5" w14:textId="77777777" w:rsidR="00ED7D51" w:rsidRPr="00BE23A6" w:rsidRDefault="00ED7D51" w:rsidP="00ED7D51">
            <w:pPr>
              <w:jc w:val="center"/>
              <w:rPr>
                <w:rFonts w:ascii="Cambria" w:hAnsi="Cambria"/>
                <w:b/>
                <w:bCs/>
                <w:sz w:val="22"/>
                <w:szCs w:val="22"/>
                <w:highlight w:val="green"/>
                <w:lang w:eastAsia="sk-SK"/>
              </w:rPr>
            </w:pPr>
          </w:p>
        </w:tc>
        <w:tc>
          <w:tcPr>
            <w:tcW w:w="1400" w:type="dxa"/>
            <w:vMerge/>
            <w:tcBorders>
              <w:left w:val="single" w:sz="4" w:space="0" w:color="auto"/>
              <w:right w:val="single" w:sz="4" w:space="0" w:color="auto"/>
            </w:tcBorders>
            <w:vAlign w:val="center"/>
          </w:tcPr>
          <w:p w14:paraId="0D147331" w14:textId="77777777" w:rsidR="00ED7D51" w:rsidRPr="00B73F77" w:rsidRDefault="00ED7D51" w:rsidP="00ED7D51">
            <w:pPr>
              <w:jc w:val="center"/>
              <w:rPr>
                <w:rFonts w:ascii="Cambria" w:hAnsi="Cambria"/>
                <w:b/>
                <w:bCs/>
                <w:sz w:val="22"/>
                <w:szCs w:val="22"/>
                <w:lang w:eastAsia="sk-SK"/>
              </w:rPr>
            </w:pPr>
          </w:p>
        </w:tc>
      </w:tr>
      <w:tr w:rsidR="00ED7D51" w:rsidRPr="00E75798" w14:paraId="1A83C2C6" w14:textId="77777777" w:rsidTr="00264D04">
        <w:trPr>
          <w:trHeight w:val="79"/>
          <w:jc w:val="center"/>
        </w:trPr>
        <w:tc>
          <w:tcPr>
            <w:tcW w:w="1515" w:type="dxa"/>
            <w:vMerge/>
            <w:tcBorders>
              <w:left w:val="single" w:sz="4" w:space="0" w:color="auto"/>
              <w:bottom w:val="single" w:sz="4" w:space="0" w:color="auto"/>
              <w:right w:val="single" w:sz="4" w:space="0" w:color="auto"/>
            </w:tcBorders>
            <w:vAlign w:val="center"/>
          </w:tcPr>
          <w:p w14:paraId="02D7F477" w14:textId="77777777" w:rsidR="00ED7D51" w:rsidRPr="00E75798" w:rsidRDefault="00ED7D51"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31CA3B3E" w14:textId="27E58218" w:rsidR="00ED7D51" w:rsidRPr="0057696C" w:rsidRDefault="00ED7D51" w:rsidP="00ED7D51">
            <w:pPr>
              <w:rPr>
                <w:rFonts w:ascii="Cambria" w:hAnsi="Cambria" w:cs="Calibri"/>
                <w:color w:val="000000"/>
                <w:sz w:val="18"/>
                <w:szCs w:val="18"/>
              </w:rPr>
            </w:pPr>
            <w:r w:rsidRPr="002134A4">
              <w:rPr>
                <w:rFonts w:ascii="Cambria" w:hAnsi="Cambria" w:cs="Calibri"/>
                <w:color w:val="000000"/>
                <w:sz w:val="18"/>
                <w:szCs w:val="18"/>
              </w:rPr>
              <w:t>Skúšobná prevádzka</w:t>
            </w:r>
          </w:p>
        </w:tc>
        <w:tc>
          <w:tcPr>
            <w:tcW w:w="1406" w:type="dxa"/>
            <w:vMerge/>
            <w:tcBorders>
              <w:left w:val="single" w:sz="4" w:space="0" w:color="auto"/>
              <w:bottom w:val="single" w:sz="4" w:space="0" w:color="auto"/>
              <w:right w:val="single" w:sz="4" w:space="0" w:color="auto"/>
            </w:tcBorders>
            <w:shd w:val="clear" w:color="auto" w:fill="auto"/>
            <w:vAlign w:val="center"/>
          </w:tcPr>
          <w:p w14:paraId="364F9457" w14:textId="77777777" w:rsidR="00ED7D51" w:rsidRPr="00BE23A6" w:rsidRDefault="00ED7D51" w:rsidP="00ED7D51">
            <w:pPr>
              <w:jc w:val="center"/>
              <w:rPr>
                <w:rFonts w:ascii="Cambria" w:hAnsi="Cambria"/>
                <w:b/>
                <w:bCs/>
                <w:sz w:val="22"/>
                <w:szCs w:val="22"/>
                <w:highlight w:val="green"/>
                <w:lang w:eastAsia="sk-SK"/>
              </w:rPr>
            </w:pPr>
          </w:p>
        </w:tc>
        <w:tc>
          <w:tcPr>
            <w:tcW w:w="1400" w:type="dxa"/>
            <w:vMerge/>
            <w:tcBorders>
              <w:left w:val="single" w:sz="4" w:space="0" w:color="auto"/>
              <w:bottom w:val="single" w:sz="4" w:space="0" w:color="auto"/>
              <w:right w:val="single" w:sz="4" w:space="0" w:color="auto"/>
            </w:tcBorders>
            <w:vAlign w:val="center"/>
          </w:tcPr>
          <w:p w14:paraId="25FA9DC8" w14:textId="77777777" w:rsidR="00ED7D51" w:rsidRPr="00B73F77" w:rsidRDefault="00ED7D51" w:rsidP="00ED7D51">
            <w:pPr>
              <w:jc w:val="center"/>
              <w:rPr>
                <w:rFonts w:ascii="Cambria" w:hAnsi="Cambria"/>
                <w:b/>
                <w:bCs/>
                <w:sz w:val="22"/>
                <w:szCs w:val="22"/>
                <w:lang w:eastAsia="sk-SK"/>
              </w:rPr>
            </w:pPr>
          </w:p>
        </w:tc>
      </w:tr>
      <w:tr w:rsidR="0057696C" w:rsidRPr="00E75798" w14:paraId="604BE794" w14:textId="5DA3EB95" w:rsidTr="00264D04">
        <w:trPr>
          <w:trHeight w:val="82"/>
          <w:jc w:val="center"/>
        </w:trPr>
        <w:tc>
          <w:tcPr>
            <w:tcW w:w="1515" w:type="dxa"/>
            <w:vMerge w:val="restart"/>
            <w:tcBorders>
              <w:top w:val="single" w:sz="4" w:space="0" w:color="auto"/>
              <w:left w:val="single" w:sz="4" w:space="0" w:color="auto"/>
              <w:right w:val="single" w:sz="4" w:space="0" w:color="auto"/>
            </w:tcBorders>
            <w:shd w:val="clear" w:color="auto" w:fill="auto"/>
            <w:noWrap/>
            <w:vAlign w:val="center"/>
            <w:hideMark/>
          </w:tcPr>
          <w:p w14:paraId="0D0F40BA" w14:textId="77777777" w:rsidR="0057696C" w:rsidRDefault="0057696C" w:rsidP="00551CB1">
            <w:pPr>
              <w:jc w:val="center"/>
              <w:rPr>
                <w:rFonts w:ascii="Cambria" w:hAnsi="Cambria"/>
                <w:b/>
                <w:bCs/>
                <w:sz w:val="16"/>
                <w:szCs w:val="16"/>
                <w:lang w:eastAsia="sk-SK"/>
              </w:rPr>
            </w:pPr>
            <w:r w:rsidRPr="00E75798">
              <w:rPr>
                <w:rFonts w:ascii="Cambria" w:hAnsi="Cambria"/>
                <w:b/>
                <w:bCs/>
                <w:sz w:val="16"/>
                <w:szCs w:val="16"/>
                <w:lang w:eastAsia="sk-SK"/>
              </w:rPr>
              <w:t xml:space="preserve">3. </w:t>
            </w:r>
            <w:r>
              <w:rPr>
                <w:rFonts w:ascii="Cambria" w:hAnsi="Cambria"/>
                <w:b/>
                <w:bCs/>
                <w:sz w:val="16"/>
                <w:szCs w:val="16"/>
                <w:lang w:eastAsia="sk-SK"/>
              </w:rPr>
              <w:t xml:space="preserve">Fáza </w:t>
            </w:r>
          </w:p>
          <w:p w14:paraId="4F8F0419" w14:textId="6035DA94" w:rsidR="0057696C" w:rsidRPr="00E75798" w:rsidRDefault="0057696C" w:rsidP="00551CB1">
            <w:pPr>
              <w:jc w:val="center"/>
              <w:rPr>
                <w:rFonts w:ascii="Cambria" w:hAnsi="Cambria"/>
                <w:b/>
                <w:bCs/>
                <w:sz w:val="16"/>
                <w:szCs w:val="16"/>
                <w:lang w:eastAsia="sk-SK"/>
              </w:rPr>
            </w:pPr>
            <w:r w:rsidRPr="00E75798">
              <w:rPr>
                <w:rFonts w:ascii="Cambria" w:hAnsi="Cambria"/>
                <w:b/>
                <w:bCs/>
                <w:sz w:val="16"/>
                <w:szCs w:val="16"/>
                <w:lang w:eastAsia="sk-SK"/>
              </w:rPr>
              <w:t>ďalšie zdrojové systémy, tvorba Datamartov, implemtácia DL</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D026E" w14:textId="24294EBD"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Integrácia 15 zdrojových systémov</w:t>
            </w:r>
          </w:p>
        </w:tc>
        <w:tc>
          <w:tcPr>
            <w:tcW w:w="1406" w:type="dxa"/>
            <w:vMerge w:val="restart"/>
            <w:tcBorders>
              <w:top w:val="single" w:sz="4" w:space="0" w:color="auto"/>
              <w:left w:val="single" w:sz="4" w:space="0" w:color="auto"/>
              <w:right w:val="single" w:sz="4" w:space="0" w:color="auto"/>
            </w:tcBorders>
            <w:shd w:val="clear" w:color="auto" w:fill="auto"/>
            <w:noWrap/>
            <w:vAlign w:val="center"/>
          </w:tcPr>
          <w:p w14:paraId="201EFFE6" w14:textId="250CA6B9" w:rsidR="0057696C" w:rsidRPr="00BE23A6" w:rsidRDefault="0057696C" w:rsidP="00551CB1">
            <w:pPr>
              <w:jc w:val="center"/>
              <w:rPr>
                <w:rFonts w:ascii="Cambria" w:hAnsi="Cambria"/>
                <w:b/>
                <w:bCs/>
                <w:sz w:val="22"/>
                <w:szCs w:val="22"/>
                <w:lang w:eastAsia="sk-SK"/>
              </w:rPr>
            </w:pPr>
            <w:r w:rsidRPr="00BE23A6">
              <w:rPr>
                <w:rFonts w:ascii="Cambria" w:hAnsi="Cambria"/>
                <w:b/>
                <w:bCs/>
                <w:sz w:val="22"/>
                <w:szCs w:val="22"/>
                <w:lang w:eastAsia="sk-SK"/>
              </w:rPr>
              <w:t>27</w:t>
            </w:r>
          </w:p>
        </w:tc>
        <w:tc>
          <w:tcPr>
            <w:tcW w:w="1400" w:type="dxa"/>
            <w:vMerge w:val="restart"/>
            <w:tcBorders>
              <w:top w:val="single" w:sz="4" w:space="0" w:color="auto"/>
              <w:left w:val="single" w:sz="4" w:space="0" w:color="auto"/>
              <w:right w:val="single" w:sz="4" w:space="0" w:color="auto"/>
            </w:tcBorders>
            <w:vAlign w:val="center"/>
          </w:tcPr>
          <w:p w14:paraId="7491A012" w14:textId="349EA59C" w:rsidR="0057696C" w:rsidRPr="00B73F77" w:rsidRDefault="0057696C" w:rsidP="00551CB1">
            <w:pPr>
              <w:jc w:val="center"/>
              <w:rPr>
                <w:rFonts w:ascii="Cambria" w:hAnsi="Cambria"/>
                <w:b/>
                <w:bCs/>
                <w:sz w:val="22"/>
                <w:szCs w:val="22"/>
                <w:lang w:eastAsia="sk-SK"/>
              </w:rPr>
            </w:pPr>
            <w:r w:rsidRPr="00B73F77">
              <w:rPr>
                <w:rFonts w:ascii="Cambria" w:hAnsi="Cambria"/>
                <w:b/>
                <w:bCs/>
                <w:sz w:val="22"/>
                <w:szCs w:val="22"/>
                <w:lang w:eastAsia="sk-SK"/>
              </w:rPr>
              <w:t>29 %</w:t>
            </w:r>
          </w:p>
        </w:tc>
      </w:tr>
      <w:tr w:rsidR="0057696C" w:rsidRPr="00E75798" w14:paraId="076C9BB3" w14:textId="6C958005" w:rsidTr="00264D04">
        <w:trPr>
          <w:trHeight w:val="82"/>
          <w:jc w:val="center"/>
        </w:trPr>
        <w:tc>
          <w:tcPr>
            <w:tcW w:w="1515" w:type="dxa"/>
            <w:vMerge/>
            <w:tcBorders>
              <w:left w:val="single" w:sz="4" w:space="0" w:color="auto"/>
              <w:right w:val="single" w:sz="4" w:space="0" w:color="auto"/>
            </w:tcBorders>
            <w:vAlign w:val="center"/>
            <w:hideMark/>
          </w:tcPr>
          <w:p w14:paraId="5B000E7A"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845DF" w14:textId="5FBE722A"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Vytvorenie DB časti (Transakčná časť)</w:t>
            </w:r>
          </w:p>
        </w:tc>
        <w:tc>
          <w:tcPr>
            <w:tcW w:w="1406" w:type="dxa"/>
            <w:vMerge/>
            <w:tcBorders>
              <w:left w:val="single" w:sz="4" w:space="0" w:color="auto"/>
              <w:right w:val="single" w:sz="4" w:space="0" w:color="auto"/>
            </w:tcBorders>
            <w:shd w:val="clear" w:color="auto" w:fill="auto"/>
            <w:vAlign w:val="center"/>
          </w:tcPr>
          <w:p w14:paraId="307EB182" w14:textId="79E59DCA"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3E5D1E27" w14:textId="77777777" w:rsidR="0057696C" w:rsidRPr="00B73F77" w:rsidRDefault="0057696C" w:rsidP="00551CB1">
            <w:pPr>
              <w:jc w:val="center"/>
              <w:rPr>
                <w:rFonts w:ascii="Cambria" w:hAnsi="Cambria"/>
                <w:b/>
                <w:bCs/>
                <w:sz w:val="22"/>
                <w:szCs w:val="22"/>
                <w:lang w:eastAsia="sk-SK"/>
              </w:rPr>
            </w:pPr>
          </w:p>
        </w:tc>
      </w:tr>
      <w:tr w:rsidR="0057696C" w:rsidRPr="00E75798" w14:paraId="0C19073E" w14:textId="03AB31F1" w:rsidTr="00264D04">
        <w:trPr>
          <w:trHeight w:val="82"/>
          <w:jc w:val="center"/>
        </w:trPr>
        <w:tc>
          <w:tcPr>
            <w:tcW w:w="1515" w:type="dxa"/>
            <w:vMerge/>
            <w:tcBorders>
              <w:left w:val="single" w:sz="4" w:space="0" w:color="auto"/>
              <w:right w:val="single" w:sz="4" w:space="0" w:color="auto"/>
            </w:tcBorders>
            <w:vAlign w:val="center"/>
            <w:hideMark/>
          </w:tcPr>
          <w:p w14:paraId="6C9DE2D7"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43085" w14:textId="1E4B5736"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Vytvorenie DB časti (Datamarty 2. etapy - kap. 3.3.2)</w:t>
            </w:r>
          </w:p>
        </w:tc>
        <w:tc>
          <w:tcPr>
            <w:tcW w:w="1406" w:type="dxa"/>
            <w:vMerge/>
            <w:tcBorders>
              <w:left w:val="single" w:sz="4" w:space="0" w:color="auto"/>
              <w:right w:val="single" w:sz="4" w:space="0" w:color="auto"/>
            </w:tcBorders>
            <w:shd w:val="clear" w:color="auto" w:fill="auto"/>
            <w:vAlign w:val="center"/>
          </w:tcPr>
          <w:p w14:paraId="728C5154" w14:textId="0E571892"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59A7A332" w14:textId="77777777" w:rsidR="0057696C" w:rsidRPr="00B73F77" w:rsidRDefault="0057696C" w:rsidP="00551CB1">
            <w:pPr>
              <w:jc w:val="center"/>
              <w:rPr>
                <w:rFonts w:ascii="Cambria" w:hAnsi="Cambria"/>
                <w:b/>
                <w:bCs/>
                <w:sz w:val="22"/>
                <w:szCs w:val="22"/>
                <w:lang w:eastAsia="sk-SK"/>
              </w:rPr>
            </w:pPr>
          </w:p>
        </w:tc>
      </w:tr>
      <w:tr w:rsidR="0057696C" w:rsidRPr="00E75798" w14:paraId="657DB249" w14:textId="013F67BB" w:rsidTr="00264D04">
        <w:trPr>
          <w:trHeight w:val="82"/>
          <w:jc w:val="center"/>
        </w:trPr>
        <w:tc>
          <w:tcPr>
            <w:tcW w:w="1515" w:type="dxa"/>
            <w:vMerge/>
            <w:tcBorders>
              <w:left w:val="single" w:sz="4" w:space="0" w:color="auto"/>
              <w:right w:val="single" w:sz="4" w:space="0" w:color="auto"/>
            </w:tcBorders>
            <w:vAlign w:val="center"/>
            <w:hideMark/>
          </w:tcPr>
          <w:p w14:paraId="37379597"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280F1" w14:textId="5C66F2C1"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Výstupné zostavy pre 3 strany pre 2. etapu</w:t>
            </w:r>
          </w:p>
        </w:tc>
        <w:tc>
          <w:tcPr>
            <w:tcW w:w="1406" w:type="dxa"/>
            <w:vMerge/>
            <w:tcBorders>
              <w:left w:val="single" w:sz="4" w:space="0" w:color="auto"/>
              <w:right w:val="single" w:sz="4" w:space="0" w:color="auto"/>
            </w:tcBorders>
            <w:shd w:val="clear" w:color="auto" w:fill="auto"/>
            <w:vAlign w:val="center"/>
          </w:tcPr>
          <w:p w14:paraId="06577DB1" w14:textId="3B6D4E81"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787B2FDF" w14:textId="77777777" w:rsidR="0057696C" w:rsidRPr="00B73F77" w:rsidRDefault="0057696C" w:rsidP="00551CB1">
            <w:pPr>
              <w:jc w:val="center"/>
              <w:rPr>
                <w:rFonts w:ascii="Cambria" w:hAnsi="Cambria"/>
                <w:b/>
                <w:bCs/>
                <w:sz w:val="22"/>
                <w:szCs w:val="22"/>
                <w:lang w:eastAsia="sk-SK"/>
              </w:rPr>
            </w:pPr>
          </w:p>
        </w:tc>
      </w:tr>
      <w:tr w:rsidR="0057696C" w:rsidRPr="00E75798" w14:paraId="5483FDA7" w14:textId="4DEB74A1" w:rsidTr="00264D04">
        <w:trPr>
          <w:trHeight w:val="82"/>
          <w:jc w:val="center"/>
        </w:trPr>
        <w:tc>
          <w:tcPr>
            <w:tcW w:w="1515" w:type="dxa"/>
            <w:vMerge/>
            <w:tcBorders>
              <w:left w:val="single" w:sz="4" w:space="0" w:color="auto"/>
              <w:right w:val="single" w:sz="4" w:space="0" w:color="auto"/>
            </w:tcBorders>
            <w:vAlign w:val="center"/>
            <w:hideMark/>
          </w:tcPr>
          <w:p w14:paraId="222D8332"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EE57D" w14:textId="747BCBE6"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Vybudovanie sandboxov</w:t>
            </w:r>
          </w:p>
        </w:tc>
        <w:tc>
          <w:tcPr>
            <w:tcW w:w="1406" w:type="dxa"/>
            <w:vMerge/>
            <w:tcBorders>
              <w:left w:val="single" w:sz="4" w:space="0" w:color="auto"/>
              <w:right w:val="single" w:sz="4" w:space="0" w:color="auto"/>
            </w:tcBorders>
            <w:shd w:val="clear" w:color="auto" w:fill="auto"/>
            <w:vAlign w:val="center"/>
          </w:tcPr>
          <w:p w14:paraId="4B27E4DE" w14:textId="4C1E8BD3"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5CE61BEE" w14:textId="77777777" w:rsidR="0057696C" w:rsidRPr="00B73F77" w:rsidRDefault="0057696C" w:rsidP="00551CB1">
            <w:pPr>
              <w:jc w:val="center"/>
              <w:rPr>
                <w:rFonts w:ascii="Cambria" w:hAnsi="Cambria"/>
                <w:b/>
                <w:bCs/>
                <w:sz w:val="22"/>
                <w:szCs w:val="22"/>
                <w:lang w:eastAsia="sk-SK"/>
              </w:rPr>
            </w:pPr>
          </w:p>
        </w:tc>
      </w:tr>
      <w:tr w:rsidR="0057696C" w:rsidRPr="00E75798" w14:paraId="5BC01D77" w14:textId="740F6CC0" w:rsidTr="00264D04">
        <w:trPr>
          <w:trHeight w:val="82"/>
          <w:jc w:val="center"/>
        </w:trPr>
        <w:tc>
          <w:tcPr>
            <w:tcW w:w="1515" w:type="dxa"/>
            <w:vMerge/>
            <w:tcBorders>
              <w:left w:val="single" w:sz="4" w:space="0" w:color="auto"/>
              <w:right w:val="single" w:sz="4" w:space="0" w:color="auto"/>
            </w:tcBorders>
            <w:vAlign w:val="center"/>
            <w:hideMark/>
          </w:tcPr>
          <w:p w14:paraId="66A6C3CF"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2DBBB" w14:textId="4C4A2513"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Napojenie DWH (rel.časť a DL) na štatistické frameworky</w:t>
            </w:r>
          </w:p>
        </w:tc>
        <w:tc>
          <w:tcPr>
            <w:tcW w:w="1406" w:type="dxa"/>
            <w:vMerge/>
            <w:tcBorders>
              <w:left w:val="single" w:sz="4" w:space="0" w:color="auto"/>
              <w:right w:val="single" w:sz="4" w:space="0" w:color="auto"/>
            </w:tcBorders>
            <w:shd w:val="clear" w:color="auto" w:fill="auto"/>
            <w:vAlign w:val="center"/>
          </w:tcPr>
          <w:p w14:paraId="33122FCA" w14:textId="78EFCECF"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0ECC0879" w14:textId="77777777" w:rsidR="0057696C" w:rsidRPr="00B73F77" w:rsidRDefault="0057696C" w:rsidP="00551CB1">
            <w:pPr>
              <w:jc w:val="center"/>
              <w:rPr>
                <w:rFonts w:ascii="Cambria" w:hAnsi="Cambria"/>
                <w:b/>
                <w:bCs/>
                <w:sz w:val="22"/>
                <w:szCs w:val="22"/>
                <w:lang w:eastAsia="sk-SK"/>
              </w:rPr>
            </w:pPr>
          </w:p>
        </w:tc>
      </w:tr>
      <w:tr w:rsidR="0057696C" w:rsidRPr="00E75798" w14:paraId="208F551B" w14:textId="0947FACB" w:rsidTr="00264D04">
        <w:trPr>
          <w:trHeight w:val="82"/>
          <w:jc w:val="center"/>
        </w:trPr>
        <w:tc>
          <w:tcPr>
            <w:tcW w:w="1515" w:type="dxa"/>
            <w:vMerge/>
            <w:tcBorders>
              <w:left w:val="single" w:sz="4" w:space="0" w:color="auto"/>
              <w:right w:val="single" w:sz="4" w:space="0" w:color="auto"/>
            </w:tcBorders>
            <w:vAlign w:val="center"/>
            <w:hideMark/>
          </w:tcPr>
          <w:p w14:paraId="74374A33"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67CEB" w14:textId="537D20BE"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Qlik - Napojenie na DWH – priame a ľahké transformácie z Qlik do DWH ETL</w:t>
            </w:r>
          </w:p>
        </w:tc>
        <w:tc>
          <w:tcPr>
            <w:tcW w:w="1406" w:type="dxa"/>
            <w:vMerge/>
            <w:tcBorders>
              <w:left w:val="single" w:sz="4" w:space="0" w:color="auto"/>
              <w:right w:val="single" w:sz="4" w:space="0" w:color="auto"/>
            </w:tcBorders>
            <w:shd w:val="clear" w:color="auto" w:fill="auto"/>
            <w:vAlign w:val="center"/>
          </w:tcPr>
          <w:p w14:paraId="3843EAB1" w14:textId="32293247"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296CE469" w14:textId="77777777" w:rsidR="0057696C" w:rsidRPr="00B73F77" w:rsidRDefault="0057696C" w:rsidP="00551CB1">
            <w:pPr>
              <w:jc w:val="center"/>
              <w:rPr>
                <w:rFonts w:ascii="Cambria" w:hAnsi="Cambria"/>
                <w:b/>
                <w:bCs/>
                <w:sz w:val="22"/>
                <w:szCs w:val="22"/>
                <w:lang w:eastAsia="sk-SK"/>
              </w:rPr>
            </w:pPr>
          </w:p>
        </w:tc>
      </w:tr>
      <w:tr w:rsidR="0057696C" w:rsidRPr="00E75798" w14:paraId="5E2A42E2" w14:textId="0BC3E70B" w:rsidTr="00264D04">
        <w:trPr>
          <w:trHeight w:val="82"/>
          <w:jc w:val="center"/>
        </w:trPr>
        <w:tc>
          <w:tcPr>
            <w:tcW w:w="1515" w:type="dxa"/>
            <w:vMerge/>
            <w:tcBorders>
              <w:left w:val="single" w:sz="4" w:space="0" w:color="auto"/>
              <w:right w:val="single" w:sz="4" w:space="0" w:color="auto"/>
            </w:tcBorders>
            <w:vAlign w:val="center"/>
            <w:hideMark/>
          </w:tcPr>
          <w:p w14:paraId="35C0A741"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DD362A" w14:textId="025E06DF"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UAT</w:t>
            </w:r>
          </w:p>
        </w:tc>
        <w:tc>
          <w:tcPr>
            <w:tcW w:w="1406" w:type="dxa"/>
            <w:vMerge/>
            <w:tcBorders>
              <w:left w:val="single" w:sz="4" w:space="0" w:color="auto"/>
              <w:right w:val="single" w:sz="4" w:space="0" w:color="auto"/>
            </w:tcBorders>
            <w:shd w:val="clear" w:color="auto" w:fill="auto"/>
            <w:vAlign w:val="center"/>
            <w:hideMark/>
          </w:tcPr>
          <w:p w14:paraId="7122C69C" w14:textId="2F6712EB"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75835122" w14:textId="77777777" w:rsidR="0057696C" w:rsidRPr="00B73F77" w:rsidRDefault="0057696C" w:rsidP="00551CB1">
            <w:pPr>
              <w:jc w:val="center"/>
              <w:rPr>
                <w:rFonts w:ascii="Cambria" w:hAnsi="Cambria"/>
                <w:b/>
                <w:bCs/>
                <w:sz w:val="22"/>
                <w:szCs w:val="22"/>
                <w:lang w:eastAsia="sk-SK"/>
              </w:rPr>
            </w:pPr>
          </w:p>
        </w:tc>
      </w:tr>
      <w:tr w:rsidR="0057696C" w:rsidRPr="00E75798" w14:paraId="13D8E651" w14:textId="785AEC19" w:rsidTr="00264D04">
        <w:trPr>
          <w:trHeight w:val="82"/>
          <w:jc w:val="center"/>
        </w:trPr>
        <w:tc>
          <w:tcPr>
            <w:tcW w:w="1515" w:type="dxa"/>
            <w:vMerge/>
            <w:tcBorders>
              <w:left w:val="single" w:sz="4" w:space="0" w:color="auto"/>
              <w:right w:val="single" w:sz="4" w:space="0" w:color="auto"/>
            </w:tcBorders>
            <w:vAlign w:val="center"/>
            <w:hideMark/>
          </w:tcPr>
          <w:p w14:paraId="1654CDD1"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88C1D" w14:textId="6C3A576D" w:rsidR="0057696C" w:rsidRPr="002134A4" w:rsidRDefault="0057696C" w:rsidP="00551CB1">
            <w:pPr>
              <w:rPr>
                <w:rFonts w:ascii="Cambria" w:hAnsi="Cambria" w:cs="Calibri"/>
                <w:color w:val="000000"/>
                <w:sz w:val="18"/>
                <w:szCs w:val="18"/>
              </w:rPr>
            </w:pPr>
            <w:r w:rsidRPr="002134A4">
              <w:rPr>
                <w:rFonts w:ascii="Cambria" w:hAnsi="Cambria" w:cs="Calibri"/>
                <w:color w:val="000000"/>
                <w:sz w:val="18"/>
                <w:szCs w:val="18"/>
              </w:rPr>
              <w:t>Inštalácia na PROD</w:t>
            </w:r>
          </w:p>
        </w:tc>
        <w:tc>
          <w:tcPr>
            <w:tcW w:w="1406" w:type="dxa"/>
            <w:vMerge/>
            <w:tcBorders>
              <w:left w:val="single" w:sz="4" w:space="0" w:color="auto"/>
              <w:right w:val="single" w:sz="4" w:space="0" w:color="auto"/>
            </w:tcBorders>
            <w:shd w:val="clear" w:color="auto" w:fill="auto"/>
            <w:vAlign w:val="center"/>
          </w:tcPr>
          <w:p w14:paraId="5F6A80B7" w14:textId="65CDB7CD"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53207BBC" w14:textId="0F986E57" w:rsidR="0057696C" w:rsidRPr="00B73F77" w:rsidRDefault="0057696C" w:rsidP="00551CB1">
            <w:pPr>
              <w:jc w:val="center"/>
              <w:rPr>
                <w:rFonts w:ascii="Cambria" w:hAnsi="Cambria"/>
                <w:b/>
                <w:bCs/>
                <w:sz w:val="22"/>
                <w:szCs w:val="22"/>
                <w:lang w:eastAsia="sk-SK"/>
              </w:rPr>
            </w:pPr>
          </w:p>
        </w:tc>
      </w:tr>
      <w:tr w:rsidR="0057696C" w:rsidRPr="00E75798" w14:paraId="7E62A866" w14:textId="77777777" w:rsidTr="00264D04">
        <w:trPr>
          <w:trHeight w:val="79"/>
          <w:jc w:val="center"/>
        </w:trPr>
        <w:tc>
          <w:tcPr>
            <w:tcW w:w="1515" w:type="dxa"/>
            <w:vMerge/>
            <w:tcBorders>
              <w:left w:val="single" w:sz="4" w:space="0" w:color="auto"/>
              <w:right w:val="single" w:sz="4" w:space="0" w:color="auto"/>
            </w:tcBorders>
            <w:vAlign w:val="center"/>
          </w:tcPr>
          <w:p w14:paraId="30C2D551"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E604A" w14:textId="6846E104" w:rsidR="0057696C" w:rsidRPr="002134A4" w:rsidRDefault="0057696C" w:rsidP="00A165F9">
            <w:pPr>
              <w:rPr>
                <w:rFonts w:ascii="Cambria" w:hAnsi="Cambria" w:cs="Calibri"/>
                <w:color w:val="000000"/>
                <w:sz w:val="18"/>
                <w:szCs w:val="18"/>
              </w:rPr>
            </w:pPr>
            <w:r w:rsidRPr="0057696C">
              <w:rPr>
                <w:rFonts w:ascii="Cambria" w:hAnsi="Cambria" w:cs="Calibri"/>
                <w:color w:val="000000"/>
                <w:sz w:val="18"/>
                <w:szCs w:val="18"/>
              </w:rPr>
              <w:t>Finálna akceptácia fázy</w:t>
            </w:r>
          </w:p>
        </w:tc>
        <w:tc>
          <w:tcPr>
            <w:tcW w:w="1406" w:type="dxa"/>
            <w:vMerge/>
            <w:tcBorders>
              <w:left w:val="single" w:sz="4" w:space="0" w:color="auto"/>
              <w:right w:val="single" w:sz="4" w:space="0" w:color="auto"/>
            </w:tcBorders>
            <w:shd w:val="clear" w:color="auto" w:fill="auto"/>
            <w:vAlign w:val="center"/>
          </w:tcPr>
          <w:p w14:paraId="3440C4E2" w14:textId="77777777"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33CDEF50" w14:textId="77777777" w:rsidR="0057696C" w:rsidRPr="00B73F77" w:rsidRDefault="0057696C" w:rsidP="00551CB1">
            <w:pPr>
              <w:jc w:val="center"/>
              <w:rPr>
                <w:rFonts w:ascii="Cambria" w:hAnsi="Cambria"/>
                <w:b/>
                <w:bCs/>
                <w:sz w:val="22"/>
                <w:szCs w:val="22"/>
                <w:lang w:eastAsia="sk-SK"/>
              </w:rPr>
            </w:pPr>
          </w:p>
        </w:tc>
      </w:tr>
      <w:tr w:rsidR="0057696C" w:rsidRPr="00E75798" w14:paraId="54164A36" w14:textId="77777777" w:rsidTr="00264D04">
        <w:trPr>
          <w:trHeight w:val="79"/>
          <w:jc w:val="center"/>
        </w:trPr>
        <w:tc>
          <w:tcPr>
            <w:tcW w:w="1515" w:type="dxa"/>
            <w:vMerge/>
            <w:tcBorders>
              <w:left w:val="single" w:sz="4" w:space="0" w:color="auto"/>
              <w:bottom w:val="single" w:sz="4" w:space="0" w:color="auto"/>
              <w:right w:val="single" w:sz="4" w:space="0" w:color="auto"/>
            </w:tcBorders>
            <w:vAlign w:val="center"/>
          </w:tcPr>
          <w:p w14:paraId="29E3572E" w14:textId="77777777" w:rsidR="0057696C" w:rsidRPr="00E75798" w:rsidRDefault="0057696C" w:rsidP="005E41C5">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43896" w14:textId="5390778B" w:rsidR="0057696C" w:rsidRPr="002134A4" w:rsidRDefault="0057696C" w:rsidP="00A165F9">
            <w:pPr>
              <w:rPr>
                <w:rFonts w:ascii="Cambria" w:hAnsi="Cambria" w:cs="Calibri"/>
                <w:color w:val="000000"/>
                <w:sz w:val="18"/>
                <w:szCs w:val="18"/>
              </w:rPr>
            </w:pPr>
            <w:r w:rsidRPr="0057696C">
              <w:rPr>
                <w:rFonts w:ascii="Cambria" w:hAnsi="Cambria" w:cs="Calibri"/>
                <w:color w:val="000000"/>
                <w:sz w:val="18"/>
                <w:szCs w:val="18"/>
              </w:rPr>
              <w:t>Skúšobná prevádzka</w:t>
            </w:r>
          </w:p>
        </w:tc>
        <w:tc>
          <w:tcPr>
            <w:tcW w:w="1406" w:type="dxa"/>
            <w:vMerge/>
            <w:tcBorders>
              <w:left w:val="single" w:sz="4" w:space="0" w:color="auto"/>
              <w:bottom w:val="single" w:sz="4" w:space="0" w:color="auto"/>
              <w:right w:val="single" w:sz="4" w:space="0" w:color="auto"/>
            </w:tcBorders>
            <w:shd w:val="clear" w:color="auto" w:fill="auto"/>
            <w:vAlign w:val="center"/>
          </w:tcPr>
          <w:p w14:paraId="7E4B80CB" w14:textId="77777777" w:rsidR="0057696C" w:rsidRPr="00BE23A6" w:rsidRDefault="0057696C" w:rsidP="00551CB1">
            <w:pPr>
              <w:jc w:val="center"/>
              <w:rPr>
                <w:rFonts w:ascii="Cambria" w:hAnsi="Cambria"/>
                <w:b/>
                <w:bCs/>
                <w:sz w:val="22"/>
                <w:szCs w:val="22"/>
                <w:lang w:eastAsia="sk-SK"/>
              </w:rPr>
            </w:pPr>
          </w:p>
        </w:tc>
        <w:tc>
          <w:tcPr>
            <w:tcW w:w="1400" w:type="dxa"/>
            <w:vMerge/>
            <w:tcBorders>
              <w:left w:val="single" w:sz="4" w:space="0" w:color="auto"/>
              <w:bottom w:val="single" w:sz="4" w:space="0" w:color="auto"/>
              <w:right w:val="single" w:sz="4" w:space="0" w:color="auto"/>
            </w:tcBorders>
            <w:vAlign w:val="center"/>
          </w:tcPr>
          <w:p w14:paraId="3198F5B1" w14:textId="77777777" w:rsidR="0057696C" w:rsidRPr="00B73F77" w:rsidRDefault="0057696C" w:rsidP="00551CB1">
            <w:pPr>
              <w:jc w:val="center"/>
              <w:rPr>
                <w:rFonts w:ascii="Cambria" w:hAnsi="Cambria"/>
                <w:b/>
                <w:bCs/>
                <w:sz w:val="22"/>
                <w:szCs w:val="22"/>
                <w:lang w:eastAsia="sk-SK"/>
              </w:rPr>
            </w:pPr>
          </w:p>
        </w:tc>
      </w:tr>
      <w:tr w:rsidR="005225AA" w:rsidRPr="00E75798" w14:paraId="27C884A4" w14:textId="615BF722" w:rsidTr="00264D04">
        <w:trPr>
          <w:trHeight w:val="82"/>
          <w:jc w:val="center"/>
        </w:trPr>
        <w:tc>
          <w:tcPr>
            <w:tcW w:w="1515" w:type="dxa"/>
            <w:vMerge w:val="restart"/>
            <w:tcBorders>
              <w:top w:val="single" w:sz="4" w:space="0" w:color="auto"/>
              <w:left w:val="single" w:sz="4" w:space="0" w:color="auto"/>
              <w:right w:val="single" w:sz="4" w:space="0" w:color="auto"/>
            </w:tcBorders>
            <w:shd w:val="clear" w:color="auto" w:fill="auto"/>
            <w:noWrap/>
            <w:vAlign w:val="center"/>
            <w:hideMark/>
          </w:tcPr>
          <w:p w14:paraId="0308723E" w14:textId="06D80F04" w:rsidR="005225AA" w:rsidRPr="00E75798" w:rsidRDefault="005225AA" w:rsidP="002134A4">
            <w:pPr>
              <w:jc w:val="center"/>
              <w:rPr>
                <w:rFonts w:ascii="Cambria" w:hAnsi="Cambria"/>
                <w:b/>
                <w:bCs/>
                <w:sz w:val="16"/>
                <w:szCs w:val="16"/>
                <w:lang w:eastAsia="sk-SK"/>
              </w:rPr>
            </w:pPr>
            <w:r w:rsidRPr="00E75798">
              <w:rPr>
                <w:rFonts w:ascii="Cambria" w:hAnsi="Cambria"/>
                <w:b/>
                <w:bCs/>
                <w:sz w:val="16"/>
                <w:szCs w:val="16"/>
                <w:lang w:eastAsia="sk-SK"/>
              </w:rPr>
              <w:t>4.</w:t>
            </w:r>
            <w:r w:rsidRPr="005E41C5">
              <w:rPr>
                <w:rFonts w:ascii="Cambria" w:hAnsi="Cambria"/>
                <w:b/>
                <w:bCs/>
                <w:sz w:val="16"/>
                <w:szCs w:val="16"/>
                <w:lang w:eastAsia="sk-SK"/>
              </w:rPr>
              <w:t xml:space="preserve"> </w:t>
            </w:r>
            <w:r w:rsidR="005E41C5" w:rsidRPr="005E41C5">
              <w:rPr>
                <w:rFonts w:ascii="Cambria" w:hAnsi="Cambria"/>
                <w:b/>
                <w:bCs/>
                <w:sz w:val="16"/>
                <w:szCs w:val="16"/>
                <w:lang w:eastAsia="sk-SK"/>
              </w:rPr>
              <w:t xml:space="preserve">Fáza </w:t>
            </w:r>
            <w:r w:rsidRPr="00E75798">
              <w:rPr>
                <w:rFonts w:ascii="Cambria" w:hAnsi="Cambria"/>
                <w:b/>
                <w:bCs/>
                <w:sz w:val="16"/>
                <w:szCs w:val="16"/>
                <w:lang w:eastAsia="sk-SK"/>
              </w:rPr>
              <w:t>Dokončenie datamartov a DataDiscovery</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36C91" w14:textId="0F481250"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Integrácia 3 zdrojových systémov + nezatriedené systemy</w:t>
            </w:r>
          </w:p>
        </w:tc>
        <w:tc>
          <w:tcPr>
            <w:tcW w:w="1406" w:type="dxa"/>
            <w:vMerge w:val="restart"/>
            <w:tcBorders>
              <w:top w:val="single" w:sz="4" w:space="0" w:color="auto"/>
              <w:left w:val="single" w:sz="4" w:space="0" w:color="auto"/>
              <w:right w:val="single" w:sz="4" w:space="0" w:color="auto"/>
            </w:tcBorders>
            <w:shd w:val="clear" w:color="auto" w:fill="auto"/>
            <w:noWrap/>
            <w:vAlign w:val="center"/>
          </w:tcPr>
          <w:p w14:paraId="526FD844" w14:textId="2B0BF024" w:rsidR="005225AA" w:rsidRPr="00BE23A6" w:rsidRDefault="005225AA" w:rsidP="002134A4">
            <w:pPr>
              <w:jc w:val="center"/>
              <w:rPr>
                <w:rFonts w:ascii="Cambria" w:hAnsi="Cambria"/>
                <w:b/>
                <w:bCs/>
                <w:sz w:val="22"/>
                <w:szCs w:val="22"/>
                <w:lang w:eastAsia="sk-SK"/>
              </w:rPr>
            </w:pPr>
            <w:r w:rsidRPr="00BE23A6">
              <w:rPr>
                <w:rFonts w:ascii="Cambria" w:hAnsi="Cambria"/>
                <w:b/>
                <w:bCs/>
                <w:sz w:val="22"/>
                <w:szCs w:val="22"/>
                <w:lang w:eastAsia="sk-SK"/>
              </w:rPr>
              <w:t>33</w:t>
            </w:r>
          </w:p>
        </w:tc>
        <w:tc>
          <w:tcPr>
            <w:tcW w:w="1400" w:type="dxa"/>
            <w:vMerge w:val="restart"/>
            <w:tcBorders>
              <w:top w:val="single" w:sz="4" w:space="0" w:color="auto"/>
              <w:left w:val="single" w:sz="4" w:space="0" w:color="auto"/>
              <w:right w:val="single" w:sz="4" w:space="0" w:color="auto"/>
            </w:tcBorders>
            <w:vAlign w:val="center"/>
          </w:tcPr>
          <w:p w14:paraId="2024B0B7" w14:textId="0210AFEC" w:rsidR="005225AA" w:rsidRPr="00B73F77" w:rsidRDefault="005225AA" w:rsidP="002134A4">
            <w:pPr>
              <w:jc w:val="center"/>
              <w:rPr>
                <w:rFonts w:ascii="Cambria" w:hAnsi="Cambria"/>
                <w:b/>
                <w:bCs/>
                <w:sz w:val="22"/>
                <w:szCs w:val="22"/>
                <w:lang w:eastAsia="sk-SK"/>
              </w:rPr>
            </w:pPr>
            <w:r w:rsidRPr="00B73F77">
              <w:rPr>
                <w:rFonts w:ascii="Cambria" w:hAnsi="Cambria"/>
                <w:b/>
                <w:bCs/>
                <w:sz w:val="22"/>
                <w:szCs w:val="22"/>
                <w:lang w:eastAsia="sk-SK"/>
              </w:rPr>
              <w:t>19 %</w:t>
            </w:r>
          </w:p>
        </w:tc>
      </w:tr>
      <w:tr w:rsidR="005225AA" w:rsidRPr="00E75798" w14:paraId="15DF4737" w14:textId="44989F16"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743F6718"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2E93F" w14:textId="3ED1E08C"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Vytvorenie DB časti (Transakčná časť)</w:t>
            </w:r>
          </w:p>
        </w:tc>
        <w:tc>
          <w:tcPr>
            <w:tcW w:w="1406" w:type="dxa"/>
            <w:vMerge/>
            <w:tcBorders>
              <w:left w:val="single" w:sz="4" w:space="0" w:color="auto"/>
              <w:right w:val="single" w:sz="4" w:space="0" w:color="auto"/>
            </w:tcBorders>
            <w:shd w:val="clear" w:color="auto" w:fill="auto"/>
            <w:noWrap/>
            <w:vAlign w:val="center"/>
          </w:tcPr>
          <w:p w14:paraId="11D790EB" w14:textId="136F2C87"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2E1BF50C" w14:textId="071314C6" w:rsidR="005225AA" w:rsidRPr="00B73F77" w:rsidRDefault="005225AA" w:rsidP="002134A4">
            <w:pPr>
              <w:jc w:val="center"/>
              <w:rPr>
                <w:rFonts w:ascii="Cambria" w:hAnsi="Cambria"/>
                <w:b/>
                <w:bCs/>
                <w:sz w:val="22"/>
                <w:szCs w:val="22"/>
                <w:lang w:eastAsia="sk-SK"/>
              </w:rPr>
            </w:pPr>
          </w:p>
        </w:tc>
      </w:tr>
      <w:tr w:rsidR="005225AA" w:rsidRPr="00E75798" w14:paraId="215C572A" w14:textId="07C540D1"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018CF0ED"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36C86" w14:textId="626B792E"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Vytvorenie DB časti (Datamarty 3. etapy - kap. 3.3.2)</w:t>
            </w:r>
          </w:p>
        </w:tc>
        <w:tc>
          <w:tcPr>
            <w:tcW w:w="1406" w:type="dxa"/>
            <w:vMerge/>
            <w:tcBorders>
              <w:left w:val="single" w:sz="4" w:space="0" w:color="auto"/>
              <w:right w:val="single" w:sz="4" w:space="0" w:color="auto"/>
            </w:tcBorders>
            <w:shd w:val="clear" w:color="auto" w:fill="auto"/>
            <w:noWrap/>
            <w:vAlign w:val="center"/>
          </w:tcPr>
          <w:p w14:paraId="0FB8031E" w14:textId="2750E79E"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35544434" w14:textId="78EDF254" w:rsidR="005225AA" w:rsidRPr="00B73F77" w:rsidRDefault="005225AA" w:rsidP="002134A4">
            <w:pPr>
              <w:jc w:val="center"/>
              <w:rPr>
                <w:rFonts w:ascii="Cambria" w:hAnsi="Cambria"/>
                <w:b/>
                <w:bCs/>
                <w:sz w:val="22"/>
                <w:szCs w:val="22"/>
                <w:lang w:eastAsia="sk-SK"/>
              </w:rPr>
            </w:pPr>
          </w:p>
        </w:tc>
      </w:tr>
      <w:tr w:rsidR="005225AA" w:rsidRPr="00E75798" w14:paraId="417BE2D6" w14:textId="0A2B0B72"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028A9F3F"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0BF381" w14:textId="45C8B36E"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Data Discovery vrstva DL</w:t>
            </w:r>
          </w:p>
        </w:tc>
        <w:tc>
          <w:tcPr>
            <w:tcW w:w="1406" w:type="dxa"/>
            <w:vMerge/>
            <w:tcBorders>
              <w:left w:val="single" w:sz="4" w:space="0" w:color="auto"/>
              <w:right w:val="single" w:sz="4" w:space="0" w:color="auto"/>
            </w:tcBorders>
            <w:shd w:val="clear" w:color="auto" w:fill="auto"/>
            <w:noWrap/>
            <w:vAlign w:val="center"/>
          </w:tcPr>
          <w:p w14:paraId="518DA190" w14:textId="6238C103"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3062D2C1" w14:textId="77777777" w:rsidR="005225AA" w:rsidRPr="00B73F77" w:rsidRDefault="005225AA" w:rsidP="002134A4">
            <w:pPr>
              <w:jc w:val="center"/>
              <w:rPr>
                <w:rFonts w:ascii="Cambria" w:hAnsi="Cambria"/>
                <w:b/>
                <w:bCs/>
                <w:sz w:val="22"/>
                <w:szCs w:val="22"/>
                <w:lang w:eastAsia="sk-SK"/>
              </w:rPr>
            </w:pPr>
          </w:p>
        </w:tc>
      </w:tr>
      <w:tr w:rsidR="005225AA" w:rsidRPr="00E75798" w14:paraId="313142C6" w14:textId="436AB074"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21405DE9"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F8624" w14:textId="50F98F7E"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UAT</w:t>
            </w:r>
          </w:p>
        </w:tc>
        <w:tc>
          <w:tcPr>
            <w:tcW w:w="1406" w:type="dxa"/>
            <w:vMerge/>
            <w:tcBorders>
              <w:left w:val="single" w:sz="4" w:space="0" w:color="auto"/>
              <w:right w:val="single" w:sz="4" w:space="0" w:color="auto"/>
            </w:tcBorders>
            <w:shd w:val="clear" w:color="auto" w:fill="auto"/>
            <w:noWrap/>
            <w:vAlign w:val="center"/>
          </w:tcPr>
          <w:p w14:paraId="59912B26" w14:textId="2E48AB78"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6F003857" w14:textId="77777777" w:rsidR="005225AA" w:rsidRPr="00B73F77" w:rsidRDefault="005225AA" w:rsidP="002134A4">
            <w:pPr>
              <w:jc w:val="center"/>
              <w:rPr>
                <w:rFonts w:ascii="Cambria" w:hAnsi="Cambria"/>
                <w:b/>
                <w:bCs/>
                <w:sz w:val="22"/>
                <w:szCs w:val="22"/>
                <w:lang w:eastAsia="sk-SK"/>
              </w:rPr>
            </w:pPr>
          </w:p>
        </w:tc>
      </w:tr>
      <w:tr w:rsidR="005225AA" w:rsidRPr="00E75798" w14:paraId="71E78BFE" w14:textId="479DC0E8"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61D0C04E"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E6274" w14:textId="2F30CBDD"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Inštalácia na PROD</w:t>
            </w:r>
          </w:p>
        </w:tc>
        <w:tc>
          <w:tcPr>
            <w:tcW w:w="1406" w:type="dxa"/>
            <w:vMerge/>
            <w:tcBorders>
              <w:left w:val="single" w:sz="4" w:space="0" w:color="auto"/>
              <w:right w:val="single" w:sz="4" w:space="0" w:color="auto"/>
            </w:tcBorders>
            <w:shd w:val="clear" w:color="auto" w:fill="auto"/>
            <w:noWrap/>
            <w:vAlign w:val="center"/>
          </w:tcPr>
          <w:p w14:paraId="0DF4582E" w14:textId="148ABA67"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09FE4D44" w14:textId="77777777" w:rsidR="005225AA" w:rsidRPr="00B73F77" w:rsidRDefault="005225AA" w:rsidP="002134A4">
            <w:pPr>
              <w:jc w:val="center"/>
              <w:rPr>
                <w:rFonts w:ascii="Cambria" w:hAnsi="Cambria"/>
                <w:b/>
                <w:bCs/>
                <w:sz w:val="22"/>
                <w:szCs w:val="22"/>
                <w:lang w:eastAsia="sk-SK"/>
              </w:rPr>
            </w:pPr>
          </w:p>
        </w:tc>
      </w:tr>
      <w:tr w:rsidR="005225AA" w:rsidRPr="00E75798" w14:paraId="50CC247E" w14:textId="77777777" w:rsidTr="00264D04">
        <w:trPr>
          <w:trHeight w:val="82"/>
          <w:jc w:val="center"/>
        </w:trPr>
        <w:tc>
          <w:tcPr>
            <w:tcW w:w="1515" w:type="dxa"/>
            <w:vMerge/>
            <w:tcBorders>
              <w:left w:val="single" w:sz="4" w:space="0" w:color="auto"/>
              <w:right w:val="single" w:sz="4" w:space="0" w:color="auto"/>
            </w:tcBorders>
            <w:shd w:val="clear" w:color="auto" w:fill="auto"/>
            <w:noWrap/>
            <w:vAlign w:val="center"/>
          </w:tcPr>
          <w:p w14:paraId="3445C0E9"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06799E" w14:textId="7E09A8BC" w:rsidR="005225AA" w:rsidRPr="002134A4" w:rsidRDefault="005225AA" w:rsidP="002134A4">
            <w:pPr>
              <w:rPr>
                <w:rFonts w:ascii="Cambria" w:hAnsi="Cambria" w:cs="Calibri"/>
                <w:color w:val="000000"/>
                <w:sz w:val="18"/>
                <w:szCs w:val="18"/>
              </w:rPr>
            </w:pPr>
            <w:r w:rsidRPr="0057696C">
              <w:rPr>
                <w:rFonts w:ascii="Cambria" w:hAnsi="Cambria" w:cs="Calibri"/>
                <w:color w:val="000000"/>
                <w:sz w:val="18"/>
                <w:szCs w:val="18"/>
              </w:rPr>
              <w:t>Finálna akceptácia fázy</w:t>
            </w:r>
          </w:p>
        </w:tc>
        <w:tc>
          <w:tcPr>
            <w:tcW w:w="1406" w:type="dxa"/>
            <w:vMerge/>
            <w:tcBorders>
              <w:left w:val="single" w:sz="4" w:space="0" w:color="auto"/>
              <w:right w:val="single" w:sz="4" w:space="0" w:color="auto"/>
            </w:tcBorders>
            <w:shd w:val="clear" w:color="auto" w:fill="auto"/>
            <w:noWrap/>
            <w:vAlign w:val="center"/>
          </w:tcPr>
          <w:p w14:paraId="5A748D78" w14:textId="77777777"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right w:val="single" w:sz="4" w:space="0" w:color="auto"/>
            </w:tcBorders>
            <w:vAlign w:val="center"/>
          </w:tcPr>
          <w:p w14:paraId="44642429" w14:textId="77777777" w:rsidR="005225AA" w:rsidRPr="00B73F77" w:rsidRDefault="005225AA" w:rsidP="002134A4">
            <w:pPr>
              <w:jc w:val="center"/>
              <w:rPr>
                <w:rFonts w:ascii="Cambria" w:hAnsi="Cambria"/>
                <w:b/>
                <w:bCs/>
                <w:sz w:val="22"/>
                <w:szCs w:val="22"/>
                <w:lang w:eastAsia="sk-SK"/>
              </w:rPr>
            </w:pPr>
          </w:p>
        </w:tc>
      </w:tr>
      <w:tr w:rsidR="005225AA" w:rsidRPr="00E75798" w14:paraId="36736725" w14:textId="77777777" w:rsidTr="00264D04">
        <w:trPr>
          <w:trHeight w:val="82"/>
          <w:jc w:val="center"/>
        </w:trPr>
        <w:tc>
          <w:tcPr>
            <w:tcW w:w="1515" w:type="dxa"/>
            <w:vMerge/>
            <w:tcBorders>
              <w:left w:val="single" w:sz="4" w:space="0" w:color="auto"/>
              <w:bottom w:val="single" w:sz="4" w:space="0" w:color="auto"/>
              <w:right w:val="single" w:sz="4" w:space="0" w:color="auto"/>
            </w:tcBorders>
            <w:shd w:val="clear" w:color="auto" w:fill="auto"/>
            <w:noWrap/>
            <w:vAlign w:val="center"/>
          </w:tcPr>
          <w:p w14:paraId="067F4DE2" w14:textId="77777777" w:rsidR="005225AA" w:rsidRPr="00E75798" w:rsidRDefault="005225AA" w:rsidP="002134A4">
            <w:pPr>
              <w:jc w:val="cente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B8136" w14:textId="539B3120" w:rsidR="005225AA" w:rsidRPr="002134A4" w:rsidRDefault="005225AA" w:rsidP="002134A4">
            <w:pPr>
              <w:rPr>
                <w:rFonts w:ascii="Cambria" w:hAnsi="Cambria" w:cs="Calibri"/>
                <w:color w:val="000000"/>
                <w:sz w:val="18"/>
                <w:szCs w:val="18"/>
              </w:rPr>
            </w:pPr>
            <w:r w:rsidRPr="002134A4">
              <w:rPr>
                <w:rFonts w:ascii="Cambria" w:hAnsi="Cambria" w:cs="Calibri"/>
                <w:color w:val="000000"/>
                <w:sz w:val="18"/>
                <w:szCs w:val="18"/>
              </w:rPr>
              <w:t>Skúšobná prevádzka</w:t>
            </w:r>
          </w:p>
        </w:tc>
        <w:tc>
          <w:tcPr>
            <w:tcW w:w="1406" w:type="dxa"/>
            <w:vMerge/>
            <w:tcBorders>
              <w:left w:val="single" w:sz="4" w:space="0" w:color="auto"/>
              <w:bottom w:val="single" w:sz="4" w:space="0" w:color="auto"/>
              <w:right w:val="single" w:sz="4" w:space="0" w:color="auto"/>
            </w:tcBorders>
            <w:shd w:val="clear" w:color="auto" w:fill="auto"/>
            <w:noWrap/>
            <w:vAlign w:val="center"/>
          </w:tcPr>
          <w:p w14:paraId="6BF8D19A" w14:textId="77777777" w:rsidR="005225AA" w:rsidRPr="00BE23A6" w:rsidRDefault="005225AA" w:rsidP="002134A4">
            <w:pPr>
              <w:jc w:val="center"/>
              <w:rPr>
                <w:rFonts w:ascii="Cambria" w:hAnsi="Cambria"/>
                <w:b/>
                <w:bCs/>
                <w:sz w:val="22"/>
                <w:szCs w:val="22"/>
                <w:lang w:eastAsia="sk-SK"/>
              </w:rPr>
            </w:pPr>
          </w:p>
        </w:tc>
        <w:tc>
          <w:tcPr>
            <w:tcW w:w="1400" w:type="dxa"/>
            <w:vMerge/>
            <w:tcBorders>
              <w:left w:val="single" w:sz="4" w:space="0" w:color="auto"/>
              <w:bottom w:val="single" w:sz="4" w:space="0" w:color="auto"/>
              <w:right w:val="single" w:sz="4" w:space="0" w:color="auto"/>
            </w:tcBorders>
            <w:vAlign w:val="center"/>
          </w:tcPr>
          <w:p w14:paraId="438DEABF" w14:textId="77777777" w:rsidR="005225AA" w:rsidRPr="00B73F77" w:rsidRDefault="005225AA" w:rsidP="002134A4">
            <w:pPr>
              <w:jc w:val="center"/>
              <w:rPr>
                <w:rFonts w:ascii="Cambria" w:hAnsi="Cambria"/>
                <w:b/>
                <w:bCs/>
                <w:sz w:val="22"/>
                <w:szCs w:val="22"/>
                <w:lang w:eastAsia="sk-SK"/>
              </w:rPr>
            </w:pPr>
          </w:p>
        </w:tc>
      </w:tr>
      <w:tr w:rsidR="00112AB9" w:rsidRPr="00E75798" w14:paraId="04F4BC26" w14:textId="6327CC95" w:rsidTr="00264D04">
        <w:trPr>
          <w:trHeight w:val="82"/>
          <w:jc w:val="center"/>
        </w:trPr>
        <w:tc>
          <w:tcPr>
            <w:tcW w:w="1515" w:type="dxa"/>
            <w:vMerge w:val="restart"/>
            <w:tcBorders>
              <w:top w:val="single" w:sz="4" w:space="0" w:color="auto"/>
              <w:left w:val="single" w:sz="4" w:space="0" w:color="auto"/>
              <w:right w:val="single" w:sz="4" w:space="0" w:color="auto"/>
            </w:tcBorders>
            <w:shd w:val="clear" w:color="auto" w:fill="auto"/>
            <w:noWrap/>
            <w:vAlign w:val="center"/>
            <w:hideMark/>
          </w:tcPr>
          <w:p w14:paraId="0F6830ED" w14:textId="37922E7B" w:rsidR="00112AB9" w:rsidRPr="005E41C5" w:rsidRDefault="00112AB9" w:rsidP="005E41C5">
            <w:pPr>
              <w:jc w:val="center"/>
              <w:rPr>
                <w:rFonts w:ascii="Cambria" w:hAnsi="Cambria"/>
                <w:b/>
                <w:bCs/>
                <w:sz w:val="16"/>
                <w:szCs w:val="16"/>
                <w:lang w:eastAsia="sk-SK"/>
              </w:rPr>
            </w:pPr>
            <w:r>
              <w:rPr>
                <w:rFonts w:ascii="Cambria" w:hAnsi="Cambria"/>
                <w:b/>
                <w:bCs/>
                <w:sz w:val="16"/>
                <w:szCs w:val="16"/>
                <w:lang w:eastAsia="sk-SK"/>
              </w:rPr>
              <w:t xml:space="preserve">5. </w:t>
            </w:r>
            <w:r w:rsidRPr="005E41C5">
              <w:rPr>
                <w:rFonts w:ascii="Cambria" w:hAnsi="Cambria"/>
                <w:b/>
                <w:bCs/>
                <w:sz w:val="16"/>
                <w:szCs w:val="16"/>
                <w:lang w:eastAsia="sk-SK"/>
              </w:rPr>
              <w:t>Fáza</w:t>
            </w:r>
          </w:p>
          <w:p w14:paraId="52955C8C" w14:textId="0C9A1D71" w:rsidR="00112AB9" w:rsidRPr="005E41C5" w:rsidRDefault="00112AB9" w:rsidP="005E41C5">
            <w:pPr>
              <w:jc w:val="center"/>
              <w:rPr>
                <w:rFonts w:ascii="Cambria" w:hAnsi="Cambria"/>
                <w:b/>
                <w:bCs/>
                <w:sz w:val="16"/>
                <w:szCs w:val="16"/>
                <w:lang w:eastAsia="sk-SK"/>
              </w:rPr>
            </w:pPr>
            <w:r w:rsidRPr="005E41C5">
              <w:rPr>
                <w:rFonts w:ascii="Cambria" w:hAnsi="Cambria"/>
                <w:b/>
                <w:bCs/>
                <w:sz w:val="16"/>
                <w:szCs w:val="16"/>
                <w:lang w:eastAsia="sk-SK"/>
              </w:rPr>
              <w:t xml:space="preserve"> Ostatné zdroje</w:t>
            </w: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C3FF3" w14:textId="47CF6BFA"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Integrácia zvyšných zdrojových systémov + nezatriedené systémy</w:t>
            </w:r>
          </w:p>
        </w:tc>
        <w:tc>
          <w:tcPr>
            <w:tcW w:w="1406" w:type="dxa"/>
            <w:vMerge w:val="restart"/>
            <w:tcBorders>
              <w:top w:val="single" w:sz="4" w:space="0" w:color="auto"/>
              <w:left w:val="single" w:sz="4" w:space="0" w:color="auto"/>
              <w:right w:val="single" w:sz="4" w:space="0" w:color="auto"/>
            </w:tcBorders>
            <w:shd w:val="clear" w:color="auto" w:fill="auto"/>
            <w:noWrap/>
            <w:vAlign w:val="center"/>
          </w:tcPr>
          <w:p w14:paraId="62843511" w14:textId="3C1660F6" w:rsidR="00112AB9" w:rsidRPr="00BE23A6" w:rsidRDefault="00112AB9" w:rsidP="00103A8D">
            <w:pPr>
              <w:jc w:val="center"/>
              <w:rPr>
                <w:rFonts w:ascii="Cambria" w:hAnsi="Cambria"/>
                <w:b/>
                <w:bCs/>
                <w:sz w:val="22"/>
                <w:szCs w:val="22"/>
                <w:lang w:eastAsia="sk-SK"/>
              </w:rPr>
            </w:pPr>
            <w:r w:rsidRPr="00BE23A6">
              <w:rPr>
                <w:rFonts w:ascii="Cambria" w:hAnsi="Cambria"/>
                <w:b/>
                <w:bCs/>
                <w:sz w:val="22"/>
                <w:szCs w:val="22"/>
                <w:lang w:eastAsia="sk-SK"/>
              </w:rPr>
              <w:t>36</w:t>
            </w:r>
          </w:p>
        </w:tc>
        <w:tc>
          <w:tcPr>
            <w:tcW w:w="1400" w:type="dxa"/>
            <w:vMerge w:val="restart"/>
            <w:tcBorders>
              <w:top w:val="single" w:sz="4" w:space="0" w:color="auto"/>
              <w:left w:val="single" w:sz="4" w:space="0" w:color="auto"/>
              <w:right w:val="single" w:sz="4" w:space="0" w:color="auto"/>
            </w:tcBorders>
            <w:vAlign w:val="center"/>
          </w:tcPr>
          <w:p w14:paraId="08E054FC" w14:textId="63EAC012" w:rsidR="00112AB9" w:rsidRPr="00B73F77" w:rsidRDefault="00112AB9" w:rsidP="00103A8D">
            <w:pPr>
              <w:jc w:val="center"/>
              <w:rPr>
                <w:rFonts w:ascii="Cambria" w:hAnsi="Cambria"/>
                <w:b/>
                <w:bCs/>
                <w:sz w:val="22"/>
                <w:szCs w:val="22"/>
                <w:lang w:eastAsia="sk-SK"/>
              </w:rPr>
            </w:pPr>
            <w:r w:rsidRPr="00B73F77">
              <w:rPr>
                <w:rFonts w:ascii="Cambria" w:hAnsi="Cambria"/>
                <w:b/>
                <w:bCs/>
                <w:sz w:val="22"/>
                <w:szCs w:val="22"/>
                <w:lang w:eastAsia="sk-SK"/>
              </w:rPr>
              <w:t>12 %</w:t>
            </w:r>
          </w:p>
        </w:tc>
      </w:tr>
      <w:tr w:rsidR="00112AB9" w:rsidRPr="00E75798" w14:paraId="7CCC5F83" w14:textId="38927B40" w:rsidTr="00264D04">
        <w:trPr>
          <w:trHeight w:val="82"/>
          <w:jc w:val="center"/>
        </w:trPr>
        <w:tc>
          <w:tcPr>
            <w:tcW w:w="1515" w:type="dxa"/>
            <w:vMerge/>
            <w:tcBorders>
              <w:left w:val="single" w:sz="4" w:space="0" w:color="auto"/>
              <w:right w:val="single" w:sz="4" w:space="0" w:color="auto"/>
            </w:tcBorders>
            <w:vAlign w:val="center"/>
            <w:hideMark/>
          </w:tcPr>
          <w:p w14:paraId="3BE2B1A8"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C6482F" w14:textId="4F82DCE8"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Vytvorenie DB časti (Transakčná časť)</w:t>
            </w:r>
          </w:p>
        </w:tc>
        <w:tc>
          <w:tcPr>
            <w:tcW w:w="1406" w:type="dxa"/>
            <w:vMerge/>
            <w:tcBorders>
              <w:left w:val="single" w:sz="4" w:space="0" w:color="auto"/>
              <w:right w:val="single" w:sz="4" w:space="0" w:color="auto"/>
            </w:tcBorders>
            <w:shd w:val="clear" w:color="auto" w:fill="auto"/>
            <w:vAlign w:val="center"/>
          </w:tcPr>
          <w:p w14:paraId="67DF4E51" w14:textId="37401C96"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right w:val="single" w:sz="4" w:space="0" w:color="auto"/>
            </w:tcBorders>
          </w:tcPr>
          <w:p w14:paraId="668F2568" w14:textId="77777777" w:rsidR="00112AB9" w:rsidRDefault="00112AB9" w:rsidP="00103A8D">
            <w:pPr>
              <w:jc w:val="center"/>
              <w:rPr>
                <w:rFonts w:ascii="Cambria" w:hAnsi="Cambria"/>
                <w:sz w:val="16"/>
                <w:szCs w:val="16"/>
                <w:lang w:eastAsia="sk-SK"/>
              </w:rPr>
            </w:pPr>
          </w:p>
        </w:tc>
      </w:tr>
      <w:tr w:rsidR="00112AB9" w:rsidRPr="00E75798" w14:paraId="11B64499" w14:textId="192A1273" w:rsidTr="00264D04">
        <w:trPr>
          <w:trHeight w:val="82"/>
          <w:jc w:val="center"/>
        </w:trPr>
        <w:tc>
          <w:tcPr>
            <w:tcW w:w="1515" w:type="dxa"/>
            <w:vMerge/>
            <w:tcBorders>
              <w:left w:val="single" w:sz="4" w:space="0" w:color="auto"/>
              <w:right w:val="single" w:sz="4" w:space="0" w:color="auto"/>
            </w:tcBorders>
            <w:vAlign w:val="center"/>
            <w:hideMark/>
          </w:tcPr>
          <w:p w14:paraId="47792444"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713254" w14:textId="3D74FC7B"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Vytvorenie DB časti (Datamarty 4. etapy - kap. 3.3.2)</w:t>
            </w:r>
          </w:p>
        </w:tc>
        <w:tc>
          <w:tcPr>
            <w:tcW w:w="1406" w:type="dxa"/>
            <w:vMerge/>
            <w:tcBorders>
              <w:left w:val="single" w:sz="4" w:space="0" w:color="auto"/>
              <w:right w:val="single" w:sz="4" w:space="0" w:color="auto"/>
            </w:tcBorders>
            <w:shd w:val="clear" w:color="auto" w:fill="auto"/>
            <w:vAlign w:val="center"/>
          </w:tcPr>
          <w:p w14:paraId="108321D9" w14:textId="5BDC4593"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right w:val="single" w:sz="4" w:space="0" w:color="auto"/>
            </w:tcBorders>
          </w:tcPr>
          <w:p w14:paraId="7E127DAC" w14:textId="77777777" w:rsidR="00112AB9" w:rsidRDefault="00112AB9" w:rsidP="00103A8D">
            <w:pPr>
              <w:jc w:val="center"/>
              <w:rPr>
                <w:rFonts w:ascii="Cambria" w:hAnsi="Cambria"/>
                <w:sz w:val="16"/>
                <w:szCs w:val="16"/>
                <w:lang w:eastAsia="sk-SK"/>
              </w:rPr>
            </w:pPr>
          </w:p>
        </w:tc>
      </w:tr>
      <w:tr w:rsidR="00112AB9" w:rsidRPr="00E75798" w14:paraId="5400882C" w14:textId="19AAABDC" w:rsidTr="00264D04">
        <w:trPr>
          <w:trHeight w:val="82"/>
          <w:jc w:val="center"/>
        </w:trPr>
        <w:tc>
          <w:tcPr>
            <w:tcW w:w="1515" w:type="dxa"/>
            <w:vMerge/>
            <w:tcBorders>
              <w:left w:val="single" w:sz="4" w:space="0" w:color="auto"/>
              <w:right w:val="single" w:sz="4" w:space="0" w:color="auto"/>
            </w:tcBorders>
            <w:vAlign w:val="center"/>
          </w:tcPr>
          <w:p w14:paraId="2F3C7A9D"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vAlign w:val="bottom"/>
          </w:tcPr>
          <w:p w14:paraId="3E38B69F" w14:textId="3F1F12D1"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UAT</w:t>
            </w:r>
          </w:p>
        </w:tc>
        <w:tc>
          <w:tcPr>
            <w:tcW w:w="1406" w:type="dxa"/>
            <w:vMerge/>
            <w:tcBorders>
              <w:left w:val="single" w:sz="4" w:space="0" w:color="auto"/>
              <w:right w:val="single" w:sz="4" w:space="0" w:color="auto"/>
            </w:tcBorders>
            <w:shd w:val="clear" w:color="auto" w:fill="auto"/>
            <w:vAlign w:val="center"/>
          </w:tcPr>
          <w:p w14:paraId="6C8F641C" w14:textId="5D97E014"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right w:val="single" w:sz="4" w:space="0" w:color="auto"/>
            </w:tcBorders>
          </w:tcPr>
          <w:p w14:paraId="438FCC7F" w14:textId="77777777" w:rsidR="00112AB9" w:rsidRDefault="00112AB9" w:rsidP="00103A8D">
            <w:pPr>
              <w:jc w:val="center"/>
              <w:rPr>
                <w:rFonts w:ascii="Cambria" w:hAnsi="Cambria"/>
                <w:sz w:val="16"/>
                <w:szCs w:val="16"/>
                <w:lang w:eastAsia="sk-SK"/>
              </w:rPr>
            </w:pPr>
          </w:p>
        </w:tc>
      </w:tr>
      <w:tr w:rsidR="00112AB9" w:rsidRPr="00E75798" w14:paraId="2C828C79" w14:textId="7486A558" w:rsidTr="00264D04">
        <w:trPr>
          <w:trHeight w:val="82"/>
          <w:jc w:val="center"/>
        </w:trPr>
        <w:tc>
          <w:tcPr>
            <w:tcW w:w="1515" w:type="dxa"/>
            <w:vMerge/>
            <w:tcBorders>
              <w:left w:val="single" w:sz="4" w:space="0" w:color="auto"/>
              <w:right w:val="single" w:sz="4" w:space="0" w:color="auto"/>
            </w:tcBorders>
            <w:vAlign w:val="center"/>
            <w:hideMark/>
          </w:tcPr>
          <w:p w14:paraId="18724EFE"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D1C98" w14:textId="730B171E"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Inštalácia na PROD</w:t>
            </w:r>
          </w:p>
        </w:tc>
        <w:tc>
          <w:tcPr>
            <w:tcW w:w="1406" w:type="dxa"/>
            <w:vMerge/>
            <w:tcBorders>
              <w:left w:val="single" w:sz="4" w:space="0" w:color="auto"/>
              <w:right w:val="single" w:sz="4" w:space="0" w:color="auto"/>
            </w:tcBorders>
            <w:shd w:val="clear" w:color="auto" w:fill="auto"/>
            <w:vAlign w:val="center"/>
            <w:hideMark/>
          </w:tcPr>
          <w:p w14:paraId="0E60A40F" w14:textId="2A5C5AC1"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right w:val="single" w:sz="4" w:space="0" w:color="auto"/>
            </w:tcBorders>
          </w:tcPr>
          <w:p w14:paraId="6C82042C" w14:textId="77777777" w:rsidR="00112AB9" w:rsidRDefault="00112AB9" w:rsidP="00103A8D">
            <w:pPr>
              <w:jc w:val="center"/>
              <w:rPr>
                <w:rFonts w:ascii="Cambria" w:hAnsi="Cambria"/>
                <w:sz w:val="16"/>
                <w:szCs w:val="16"/>
                <w:lang w:eastAsia="sk-SK"/>
              </w:rPr>
            </w:pPr>
          </w:p>
        </w:tc>
      </w:tr>
      <w:tr w:rsidR="00112AB9" w:rsidRPr="00E75798" w14:paraId="1EF51ABC" w14:textId="77777777" w:rsidTr="00264D04">
        <w:trPr>
          <w:trHeight w:val="82"/>
          <w:jc w:val="center"/>
        </w:trPr>
        <w:tc>
          <w:tcPr>
            <w:tcW w:w="1515" w:type="dxa"/>
            <w:vMerge/>
            <w:tcBorders>
              <w:left w:val="single" w:sz="4" w:space="0" w:color="auto"/>
              <w:right w:val="single" w:sz="4" w:space="0" w:color="auto"/>
            </w:tcBorders>
            <w:vAlign w:val="center"/>
          </w:tcPr>
          <w:p w14:paraId="4775F74F"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D61BA" w14:textId="0B82D742"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Finálna akceptácia  fázy</w:t>
            </w:r>
          </w:p>
        </w:tc>
        <w:tc>
          <w:tcPr>
            <w:tcW w:w="1406" w:type="dxa"/>
            <w:vMerge/>
            <w:tcBorders>
              <w:left w:val="single" w:sz="4" w:space="0" w:color="auto"/>
              <w:right w:val="single" w:sz="4" w:space="0" w:color="auto"/>
            </w:tcBorders>
            <w:shd w:val="clear" w:color="auto" w:fill="auto"/>
            <w:vAlign w:val="center"/>
          </w:tcPr>
          <w:p w14:paraId="17BACFC0" w14:textId="77777777"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right w:val="single" w:sz="4" w:space="0" w:color="auto"/>
            </w:tcBorders>
          </w:tcPr>
          <w:p w14:paraId="74C0AE8C" w14:textId="77777777" w:rsidR="00112AB9" w:rsidRDefault="00112AB9" w:rsidP="00103A8D">
            <w:pPr>
              <w:jc w:val="center"/>
              <w:rPr>
                <w:rFonts w:ascii="Cambria" w:hAnsi="Cambria"/>
                <w:sz w:val="16"/>
                <w:szCs w:val="16"/>
                <w:lang w:eastAsia="sk-SK"/>
              </w:rPr>
            </w:pPr>
          </w:p>
        </w:tc>
      </w:tr>
      <w:tr w:rsidR="00112AB9" w:rsidRPr="00E75798" w14:paraId="719AA60B" w14:textId="77777777" w:rsidTr="00264D04">
        <w:trPr>
          <w:trHeight w:val="82"/>
          <w:jc w:val="center"/>
        </w:trPr>
        <w:tc>
          <w:tcPr>
            <w:tcW w:w="1515" w:type="dxa"/>
            <w:vMerge/>
            <w:tcBorders>
              <w:left w:val="single" w:sz="4" w:space="0" w:color="auto"/>
              <w:bottom w:val="single" w:sz="4" w:space="0" w:color="auto"/>
              <w:right w:val="single" w:sz="4" w:space="0" w:color="auto"/>
            </w:tcBorders>
            <w:vAlign w:val="center"/>
          </w:tcPr>
          <w:p w14:paraId="3ED91611" w14:textId="77777777" w:rsidR="00112AB9" w:rsidRPr="00E75798" w:rsidRDefault="00112AB9" w:rsidP="00103A8D">
            <w:pPr>
              <w:rPr>
                <w:rFonts w:ascii="Cambria" w:hAnsi="Cambria"/>
                <w:b/>
                <w:bCs/>
                <w:sz w:val="16"/>
                <w:szCs w:val="16"/>
                <w:lang w:eastAsia="sk-SK"/>
              </w:rPr>
            </w:pPr>
          </w:p>
        </w:tc>
        <w:tc>
          <w:tcPr>
            <w:tcW w:w="50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067B1" w14:textId="3588AE1C" w:rsidR="00112AB9" w:rsidRPr="00103A8D" w:rsidRDefault="00112AB9" w:rsidP="00103A8D">
            <w:pPr>
              <w:rPr>
                <w:rFonts w:ascii="Cambria" w:hAnsi="Cambria" w:cs="Calibri"/>
                <w:color w:val="000000"/>
                <w:sz w:val="18"/>
                <w:szCs w:val="18"/>
              </w:rPr>
            </w:pPr>
            <w:r w:rsidRPr="00103A8D">
              <w:rPr>
                <w:rFonts w:ascii="Cambria" w:hAnsi="Cambria" w:cs="Calibri"/>
                <w:color w:val="000000"/>
                <w:sz w:val="18"/>
                <w:szCs w:val="18"/>
              </w:rPr>
              <w:t>Skúšobná prevádzka</w:t>
            </w:r>
          </w:p>
        </w:tc>
        <w:tc>
          <w:tcPr>
            <w:tcW w:w="1406" w:type="dxa"/>
            <w:vMerge/>
            <w:tcBorders>
              <w:left w:val="single" w:sz="4" w:space="0" w:color="auto"/>
              <w:bottom w:val="single" w:sz="4" w:space="0" w:color="auto"/>
              <w:right w:val="single" w:sz="4" w:space="0" w:color="auto"/>
            </w:tcBorders>
            <w:shd w:val="clear" w:color="auto" w:fill="auto"/>
            <w:vAlign w:val="center"/>
          </w:tcPr>
          <w:p w14:paraId="4106AFCB" w14:textId="77777777" w:rsidR="00112AB9" w:rsidRPr="00E75798" w:rsidRDefault="00112AB9" w:rsidP="00103A8D">
            <w:pPr>
              <w:jc w:val="center"/>
              <w:rPr>
                <w:rFonts w:ascii="Cambria" w:hAnsi="Cambria"/>
                <w:sz w:val="16"/>
                <w:szCs w:val="16"/>
                <w:lang w:eastAsia="sk-SK"/>
              </w:rPr>
            </w:pPr>
          </w:p>
        </w:tc>
        <w:tc>
          <w:tcPr>
            <w:tcW w:w="1400" w:type="dxa"/>
            <w:vMerge/>
            <w:tcBorders>
              <w:left w:val="single" w:sz="4" w:space="0" w:color="auto"/>
              <w:bottom w:val="single" w:sz="4" w:space="0" w:color="auto"/>
              <w:right w:val="single" w:sz="4" w:space="0" w:color="auto"/>
            </w:tcBorders>
          </w:tcPr>
          <w:p w14:paraId="3892C4F4" w14:textId="77777777" w:rsidR="00112AB9" w:rsidRDefault="00112AB9" w:rsidP="00103A8D">
            <w:pPr>
              <w:jc w:val="center"/>
              <w:rPr>
                <w:rFonts w:ascii="Cambria" w:hAnsi="Cambria"/>
                <w:sz w:val="16"/>
                <w:szCs w:val="16"/>
                <w:lang w:eastAsia="sk-SK"/>
              </w:rPr>
            </w:pPr>
          </w:p>
        </w:tc>
      </w:tr>
      <w:bookmarkEnd w:id="85"/>
      <w:bookmarkEnd w:id="205"/>
      <w:bookmarkEnd w:id="206"/>
    </w:tbl>
    <w:p w14:paraId="78E3D000" w14:textId="77777777" w:rsidR="009704BA" w:rsidRDefault="009704BA" w:rsidP="00BE0A69">
      <w:pPr>
        <w:pStyle w:val="Heading1"/>
        <w:keepNext w:val="0"/>
        <w:ind w:left="4810" w:firstLine="854"/>
        <w:jc w:val="both"/>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5203253D" w14:textId="56AF77D9" w:rsidR="009F2950" w:rsidRPr="00BE0A69" w:rsidRDefault="009F2950" w:rsidP="00BE0A69">
      <w:pPr>
        <w:pStyle w:val="Heading1"/>
        <w:keepNext w:val="0"/>
        <w:ind w:left="4810" w:firstLine="854"/>
        <w:jc w:val="both"/>
        <w:rPr>
          <w:rFonts w:ascii="Cambria" w:hAnsi="Cambria"/>
          <w:sz w:val="22"/>
          <w:szCs w:val="22"/>
        </w:rPr>
      </w:pPr>
      <w:r w:rsidRPr="00E75798">
        <w:rPr>
          <w:rFonts w:ascii="Cambria" w:hAnsi="Cambria"/>
          <w:sz w:val="22"/>
          <w:szCs w:val="22"/>
        </w:rPr>
        <w:lastRenderedPageBreak/>
        <w:t>Príloha č. 4</w:t>
      </w:r>
      <w:r w:rsidR="009520B8" w:rsidRPr="00E75798">
        <w:rPr>
          <w:rFonts w:ascii="Cambria" w:hAnsi="Cambria"/>
          <w:sz w:val="22"/>
          <w:szCs w:val="22"/>
        </w:rPr>
        <w:t>:</w:t>
      </w:r>
      <w:r w:rsidRPr="00E75798">
        <w:rPr>
          <w:rFonts w:ascii="Cambria" w:hAnsi="Cambria"/>
          <w:sz w:val="22"/>
          <w:szCs w:val="22"/>
        </w:rPr>
        <w:t xml:space="preserve"> Špecifikácia ceny</w:t>
      </w:r>
    </w:p>
    <w:p w14:paraId="63839043" w14:textId="77777777" w:rsidR="00B30410" w:rsidRPr="00E75798" w:rsidRDefault="00B30410">
      <w:pPr>
        <w:rPr>
          <w:rFonts w:ascii="Cambria" w:hAnsi="Cambria" w:cs="Arial"/>
          <w:sz w:val="22"/>
          <w:szCs w:val="22"/>
        </w:rPr>
      </w:pPr>
    </w:p>
    <w:p w14:paraId="49424CAE" w14:textId="77777777" w:rsidR="00B30410" w:rsidRPr="00E75798" w:rsidRDefault="00B30410" w:rsidP="005216F6">
      <w:pPr>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  návrh cien uvedený v tabuľkách, ktoré na základe požiadaviek uvedených v časti „Spôsob určenia ceny“ súťažných podkladov predložil v rámci svojej súťažnej ponuky</w:t>
      </w:r>
      <w:r w:rsidRPr="00E75798">
        <w:rPr>
          <w:rFonts w:ascii="Cambria" w:hAnsi="Cambria" w:cs="Arial"/>
          <w:i/>
          <w:sz w:val="22"/>
          <w:szCs w:val="22"/>
        </w:rPr>
        <w:t>&gt;</w:t>
      </w:r>
    </w:p>
    <w:p w14:paraId="0F849019" w14:textId="40F11FD9" w:rsidR="00B30410" w:rsidRPr="00E75798" w:rsidRDefault="00B30410">
      <w:pPr>
        <w:rPr>
          <w:rFonts w:ascii="Cambria" w:hAnsi="Cambria" w:cs="Arial"/>
          <w:i/>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207" w:name="_Hlk54805208"/>
    </w:p>
    <w:bookmarkEnd w:id="207"/>
    <w:p w14:paraId="01EF0D47" w14:textId="2B23F637" w:rsidR="00A961B2" w:rsidRPr="00E75798" w:rsidRDefault="00A961B2" w:rsidP="007733FE">
      <w:pPr>
        <w:tabs>
          <w:tab w:val="left" w:pos="709"/>
        </w:tabs>
        <w:spacing w:before="120" w:after="120"/>
        <w:ind w:left="1560" w:hanging="1560"/>
        <w:rPr>
          <w:rFonts w:ascii="Cambria" w:hAnsi="Cambria" w:cs="Arial"/>
          <w:b/>
          <w:bCs/>
          <w:sz w:val="22"/>
          <w:szCs w:val="22"/>
        </w:rPr>
      </w:pPr>
      <w:r w:rsidRPr="00E75798">
        <w:rPr>
          <w:rFonts w:ascii="Cambria" w:hAnsi="Cambria" w:cs="Arial"/>
          <w:b/>
          <w:sz w:val="22"/>
          <w:szCs w:val="22"/>
        </w:rPr>
        <w:t xml:space="preserve">TABUĽKA č. </w:t>
      </w:r>
      <w:r w:rsidR="00353678" w:rsidRPr="00E75798">
        <w:rPr>
          <w:rFonts w:ascii="Cambria" w:hAnsi="Cambria" w:cs="Arial"/>
          <w:b/>
          <w:sz w:val="22"/>
          <w:szCs w:val="22"/>
        </w:rPr>
        <w:t>1</w:t>
      </w:r>
      <w:r w:rsidRPr="00E75798">
        <w:rPr>
          <w:rFonts w:ascii="Cambria" w:hAnsi="Cambria" w:cs="Arial"/>
          <w:b/>
          <w:sz w:val="22"/>
          <w:szCs w:val="22"/>
        </w:rPr>
        <w:tab/>
        <w:t xml:space="preserve">Cena za </w:t>
      </w:r>
      <w:r w:rsidR="00702397">
        <w:rPr>
          <w:rFonts w:ascii="Cambria" w:hAnsi="Cambria" w:cs="Arial"/>
          <w:b/>
          <w:sz w:val="22"/>
          <w:szCs w:val="22"/>
        </w:rPr>
        <w:t xml:space="preserve">Dielo - </w:t>
      </w:r>
      <w:r w:rsidR="00853E30">
        <w:rPr>
          <w:rFonts w:ascii="Cambria" w:hAnsi="Cambria" w:cs="Arial"/>
          <w:b/>
          <w:sz w:val="22"/>
          <w:szCs w:val="22"/>
        </w:rPr>
        <w:t>dodaný</w:t>
      </w:r>
      <w:r w:rsidR="00023E5A" w:rsidRPr="00E75798">
        <w:rPr>
          <w:rFonts w:ascii="Cambria" w:hAnsi="Cambria" w:cs="Arial"/>
          <w:b/>
          <w:sz w:val="22"/>
          <w:szCs w:val="22"/>
        </w:rPr>
        <w:t xml:space="preserve"> </w:t>
      </w:r>
      <w:r w:rsidR="00702397">
        <w:rPr>
          <w:rFonts w:ascii="Cambria" w:hAnsi="Cambria" w:cs="Arial"/>
          <w:b/>
          <w:sz w:val="22"/>
          <w:szCs w:val="22"/>
        </w:rPr>
        <w:t xml:space="preserve">informačný </w:t>
      </w:r>
      <w:r w:rsidR="00023E5A" w:rsidRPr="00E75798">
        <w:rPr>
          <w:rFonts w:ascii="Cambria" w:hAnsi="Cambria" w:cs="Arial"/>
          <w:b/>
          <w:sz w:val="22"/>
          <w:szCs w:val="22"/>
        </w:rPr>
        <w:t>systém</w:t>
      </w:r>
      <w:r w:rsidR="008D542B">
        <w:rPr>
          <w:rFonts w:ascii="Cambria" w:hAnsi="Cambria" w:cs="Arial"/>
          <w:b/>
          <w:sz w:val="22"/>
          <w:szCs w:val="22"/>
        </w:rPr>
        <w:t>*</w:t>
      </w:r>
    </w:p>
    <w:tbl>
      <w:tblPr>
        <w:tblW w:w="5000" w:type="pct"/>
        <w:tblLook w:val="0000" w:firstRow="0" w:lastRow="0" w:firstColumn="0" w:lastColumn="0" w:noHBand="0" w:noVBand="0"/>
      </w:tblPr>
      <w:tblGrid>
        <w:gridCol w:w="452"/>
        <w:gridCol w:w="875"/>
        <w:gridCol w:w="4162"/>
        <w:gridCol w:w="1784"/>
        <w:gridCol w:w="1782"/>
      </w:tblGrid>
      <w:tr w:rsidR="00FF1DE2" w:rsidRPr="00E75798" w14:paraId="114FE9F9" w14:textId="77777777" w:rsidTr="00851122">
        <w:trPr>
          <w:trHeight w:val="363"/>
        </w:trPr>
        <w:tc>
          <w:tcPr>
            <w:tcW w:w="733"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4ADD1583" w14:textId="77777777" w:rsidR="00FF1DE2" w:rsidRPr="00E75798" w:rsidRDefault="00FF1DE2" w:rsidP="00B21372">
            <w:pPr>
              <w:jc w:val="center"/>
              <w:rPr>
                <w:rFonts w:ascii="Cambria" w:hAnsi="Cambria" w:cs="Arial"/>
                <w:b/>
                <w:bCs/>
                <w:color w:val="000000"/>
                <w:sz w:val="20"/>
              </w:rPr>
            </w:pPr>
            <w:r w:rsidRPr="00E75798">
              <w:rPr>
                <w:rFonts w:ascii="Cambria" w:hAnsi="Cambria" w:cs="Arial"/>
                <w:b/>
                <w:bCs/>
                <w:color w:val="000000"/>
                <w:sz w:val="20"/>
              </w:rPr>
              <w:t>Položka</w:t>
            </w:r>
          </w:p>
        </w:tc>
        <w:tc>
          <w:tcPr>
            <w:tcW w:w="2298" w:type="pct"/>
            <w:tcBorders>
              <w:top w:val="single" w:sz="4" w:space="0" w:color="auto"/>
              <w:left w:val="nil"/>
              <w:bottom w:val="single" w:sz="8" w:space="0" w:color="auto"/>
              <w:right w:val="single" w:sz="4" w:space="0" w:color="auto"/>
            </w:tcBorders>
            <w:shd w:val="clear" w:color="auto" w:fill="C0C0C0"/>
            <w:vAlign w:val="center"/>
          </w:tcPr>
          <w:p w14:paraId="1E8F2FB1" w14:textId="77777777" w:rsidR="00FF1DE2" w:rsidRPr="00E75798" w:rsidRDefault="00FF1DE2" w:rsidP="00B21372">
            <w:pPr>
              <w:jc w:val="center"/>
              <w:rPr>
                <w:rFonts w:ascii="Cambria" w:hAnsi="Cambria" w:cs="Arial"/>
                <w:b/>
                <w:bCs/>
                <w:color w:val="000000"/>
                <w:sz w:val="20"/>
              </w:rPr>
            </w:pPr>
            <w:r w:rsidRPr="00E75798">
              <w:rPr>
                <w:rFonts w:ascii="Cambria" w:hAnsi="Cambria" w:cs="Arial"/>
                <w:b/>
                <w:bCs/>
                <w:color w:val="000000"/>
                <w:sz w:val="20"/>
              </w:rPr>
              <w:t>Označenie s popisom</w:t>
            </w:r>
          </w:p>
        </w:tc>
        <w:tc>
          <w:tcPr>
            <w:tcW w:w="985" w:type="pct"/>
            <w:tcBorders>
              <w:top w:val="single" w:sz="8" w:space="0" w:color="auto"/>
              <w:left w:val="single" w:sz="4" w:space="0" w:color="auto"/>
              <w:bottom w:val="single" w:sz="8" w:space="0" w:color="auto"/>
              <w:right w:val="single" w:sz="4" w:space="0" w:color="auto"/>
            </w:tcBorders>
            <w:shd w:val="clear" w:color="auto" w:fill="C0C0C0"/>
          </w:tcPr>
          <w:p w14:paraId="742A85E3" w14:textId="6738E0DE" w:rsidR="00FF1DE2" w:rsidRPr="00E75798" w:rsidRDefault="00D958B7" w:rsidP="00B21372">
            <w:pPr>
              <w:jc w:val="center"/>
              <w:rPr>
                <w:rFonts w:ascii="Cambria" w:hAnsi="Cambria" w:cs="Arial"/>
                <w:b/>
                <w:bCs/>
                <w:color w:val="000000"/>
                <w:sz w:val="20"/>
              </w:rPr>
            </w:pPr>
            <w:r>
              <w:rPr>
                <w:rFonts w:ascii="Cambria" w:hAnsi="Cambria" w:cs="Arial"/>
                <w:b/>
                <w:bCs/>
                <w:color w:val="000000"/>
                <w:sz w:val="20"/>
              </w:rPr>
              <w:t xml:space="preserve">Podiel ceny za fázu Diela z celkovej ceny Diela – </w:t>
            </w:r>
            <w:r w:rsidR="00EB4D8F">
              <w:rPr>
                <w:rFonts w:ascii="Cambria" w:hAnsi="Cambria" w:cs="Arial"/>
                <w:b/>
                <w:bCs/>
                <w:color w:val="000000"/>
                <w:sz w:val="20"/>
              </w:rPr>
              <w:t>dodaný</w:t>
            </w:r>
            <w:r>
              <w:rPr>
                <w:rFonts w:ascii="Cambria" w:hAnsi="Cambria" w:cs="Arial"/>
                <w:b/>
                <w:bCs/>
                <w:color w:val="000000"/>
                <w:sz w:val="20"/>
              </w:rPr>
              <w:t xml:space="preserve"> informačný systém</w:t>
            </w:r>
          </w:p>
        </w:tc>
        <w:tc>
          <w:tcPr>
            <w:tcW w:w="985" w:type="pct"/>
            <w:tcBorders>
              <w:top w:val="single" w:sz="8" w:space="0" w:color="auto"/>
              <w:left w:val="single" w:sz="4" w:space="0" w:color="auto"/>
              <w:bottom w:val="single" w:sz="8" w:space="0" w:color="auto"/>
              <w:right w:val="single" w:sz="8" w:space="0" w:color="auto"/>
            </w:tcBorders>
            <w:shd w:val="clear" w:color="auto" w:fill="C0C0C0"/>
            <w:vAlign w:val="center"/>
          </w:tcPr>
          <w:p w14:paraId="76254F65" w14:textId="608F4A84" w:rsidR="00FF1DE2" w:rsidRPr="00E75798" w:rsidRDefault="00FF1DE2" w:rsidP="00B21372">
            <w:pPr>
              <w:jc w:val="center"/>
              <w:rPr>
                <w:rFonts w:ascii="Cambria" w:hAnsi="Cambria" w:cs="Arial"/>
                <w:b/>
                <w:bCs/>
                <w:color w:val="000000"/>
                <w:sz w:val="20"/>
              </w:rPr>
            </w:pPr>
            <w:r w:rsidRPr="00E75798">
              <w:rPr>
                <w:rFonts w:ascii="Cambria" w:hAnsi="Cambria" w:cs="Arial"/>
                <w:b/>
                <w:bCs/>
                <w:color w:val="000000"/>
                <w:sz w:val="20"/>
              </w:rPr>
              <w:t>Cena v EUR</w:t>
            </w:r>
          </w:p>
          <w:p w14:paraId="1063DB71" w14:textId="77777777" w:rsidR="00FF1DE2" w:rsidRPr="00E75798" w:rsidRDefault="00FF1DE2" w:rsidP="00B21372">
            <w:pPr>
              <w:jc w:val="center"/>
              <w:rPr>
                <w:rFonts w:ascii="Cambria" w:hAnsi="Cambria" w:cs="Arial"/>
                <w:b/>
                <w:bCs/>
                <w:color w:val="000000"/>
                <w:sz w:val="20"/>
              </w:rPr>
            </w:pPr>
            <w:r w:rsidRPr="00E75798">
              <w:rPr>
                <w:rFonts w:ascii="Cambria" w:hAnsi="Cambria" w:cs="Arial"/>
                <w:b/>
                <w:bCs/>
                <w:color w:val="000000"/>
                <w:sz w:val="20"/>
              </w:rPr>
              <w:t xml:space="preserve"> bez DPH</w:t>
            </w:r>
          </w:p>
        </w:tc>
      </w:tr>
      <w:tr w:rsidR="00FF1DE2" w:rsidRPr="00E75798" w14:paraId="055ABE79" w14:textId="77777777" w:rsidTr="00E6600E">
        <w:trPr>
          <w:cantSplit/>
          <w:trHeight w:val="619"/>
        </w:trPr>
        <w:tc>
          <w:tcPr>
            <w:tcW w:w="250"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CFA32A" w14:textId="20908822"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F1</w:t>
            </w:r>
          </w:p>
        </w:tc>
        <w:tc>
          <w:tcPr>
            <w:tcW w:w="483"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55B35474" w14:textId="77777777"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1</w:t>
            </w:r>
          </w:p>
        </w:tc>
        <w:tc>
          <w:tcPr>
            <w:tcW w:w="2298" w:type="pct"/>
            <w:tcBorders>
              <w:top w:val="single" w:sz="8" w:space="0" w:color="auto"/>
              <w:left w:val="nil"/>
              <w:bottom w:val="single" w:sz="8" w:space="0" w:color="auto"/>
              <w:right w:val="single" w:sz="4" w:space="0" w:color="auto"/>
            </w:tcBorders>
            <w:vAlign w:val="center"/>
          </w:tcPr>
          <w:p w14:paraId="5BBBC9F2" w14:textId="1B61027A" w:rsidR="00FF1DE2" w:rsidRPr="00E75798" w:rsidRDefault="00FF1DE2" w:rsidP="00B21372">
            <w:pPr>
              <w:pStyle w:val="xl27"/>
              <w:spacing w:before="60" w:beforeAutospacing="0" w:after="60" w:afterAutospacing="0"/>
              <w:jc w:val="both"/>
              <w:rPr>
                <w:rFonts w:ascii="Cambria" w:hAnsi="Cambria"/>
                <w:b w:val="0"/>
                <w:bCs w:val="0"/>
                <w:color w:val="000000"/>
                <w:sz w:val="20"/>
                <w:szCs w:val="20"/>
                <w:lang w:val="sk-SK"/>
              </w:rPr>
            </w:pPr>
            <w:r w:rsidRPr="00E75798">
              <w:rPr>
                <w:rFonts w:ascii="Cambria" w:hAnsi="Cambria"/>
                <w:b w:val="0"/>
                <w:bCs w:val="0"/>
                <w:color w:val="000000"/>
                <w:sz w:val="20"/>
                <w:szCs w:val="20"/>
                <w:lang w:val="sk-SK"/>
              </w:rPr>
              <w:t xml:space="preserve">Cena za </w:t>
            </w:r>
            <w:r w:rsidR="00594A6A">
              <w:rPr>
                <w:rFonts w:ascii="Cambria" w:hAnsi="Cambria"/>
                <w:b w:val="0"/>
                <w:bCs w:val="0"/>
                <w:color w:val="000000"/>
                <w:sz w:val="20"/>
                <w:szCs w:val="20"/>
                <w:lang w:val="sk-SK"/>
              </w:rPr>
              <w:t xml:space="preserve">1. </w:t>
            </w:r>
            <w:r w:rsidRPr="00E75798">
              <w:rPr>
                <w:rFonts w:ascii="Cambria" w:hAnsi="Cambria"/>
                <w:b w:val="0"/>
                <w:bCs w:val="0"/>
                <w:color w:val="000000"/>
                <w:sz w:val="20"/>
                <w:szCs w:val="20"/>
                <w:lang w:val="sk-SK"/>
              </w:rPr>
              <w:t xml:space="preserve">fázu </w:t>
            </w:r>
            <w:r>
              <w:rPr>
                <w:rFonts w:ascii="Cambria" w:hAnsi="Cambria"/>
                <w:b w:val="0"/>
                <w:bCs w:val="0"/>
                <w:color w:val="000000"/>
                <w:sz w:val="20"/>
                <w:szCs w:val="20"/>
                <w:lang w:val="sk-SK"/>
              </w:rPr>
              <w:t>Diela</w:t>
            </w:r>
            <w:r w:rsidRPr="00E75798">
              <w:rPr>
                <w:rFonts w:ascii="Cambria" w:hAnsi="Cambria"/>
                <w:b w:val="0"/>
                <w:bCs w:val="0"/>
                <w:color w:val="000000"/>
                <w:sz w:val="20"/>
                <w:szCs w:val="20"/>
                <w:lang w:val="sk-SK"/>
              </w:rPr>
              <w:t xml:space="preserve"> </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0F14F68B" w14:textId="0CA5FC83" w:rsidR="00FF1DE2" w:rsidRPr="0007270B" w:rsidRDefault="00401731" w:rsidP="00B21372">
            <w:pPr>
              <w:spacing w:before="60" w:after="60"/>
              <w:jc w:val="center"/>
              <w:rPr>
                <w:rFonts w:ascii="Cambria" w:hAnsi="Cambria" w:cs="Arial"/>
                <w:i/>
                <w:iCs/>
                <w:color w:val="000000"/>
                <w:sz w:val="20"/>
              </w:rPr>
            </w:pPr>
            <w:r w:rsidRPr="0007270B">
              <w:rPr>
                <w:rFonts w:ascii="Cambria" w:hAnsi="Cambria" w:cs="Arial"/>
                <w:i/>
                <w:iCs/>
                <w:color w:val="000000"/>
                <w:sz w:val="20"/>
              </w:rPr>
              <w:t>16 %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4E3F20A8" w14:textId="52A7EBFC" w:rsidR="00FF1DE2" w:rsidRPr="00E6600E" w:rsidRDefault="00FF1DE2" w:rsidP="00B21372">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r w:rsidR="00FF1DE2" w:rsidRPr="00E75798" w14:paraId="0F8F2940" w14:textId="77777777" w:rsidTr="00E6600E">
        <w:trPr>
          <w:cantSplit/>
          <w:trHeight w:val="619"/>
        </w:trPr>
        <w:tc>
          <w:tcPr>
            <w:tcW w:w="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49EBB2" w14:textId="52438237"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F2</w:t>
            </w:r>
          </w:p>
        </w:tc>
        <w:tc>
          <w:tcPr>
            <w:tcW w:w="483" w:type="pct"/>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7FE3C6EE" w14:textId="77777777"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2</w:t>
            </w:r>
          </w:p>
        </w:tc>
        <w:tc>
          <w:tcPr>
            <w:tcW w:w="2298" w:type="pct"/>
            <w:tcBorders>
              <w:top w:val="single" w:sz="8" w:space="0" w:color="auto"/>
              <w:left w:val="nil"/>
              <w:bottom w:val="single" w:sz="8" w:space="0" w:color="auto"/>
              <w:right w:val="single" w:sz="4" w:space="0" w:color="auto"/>
            </w:tcBorders>
            <w:vAlign w:val="center"/>
          </w:tcPr>
          <w:p w14:paraId="60538C4C" w14:textId="76EC0641" w:rsidR="00FF1DE2" w:rsidRPr="00E75798" w:rsidRDefault="00FF1DE2" w:rsidP="00B21372">
            <w:pPr>
              <w:pStyle w:val="xl27"/>
              <w:spacing w:before="60" w:beforeAutospacing="0" w:after="60" w:afterAutospacing="0"/>
              <w:jc w:val="both"/>
              <w:rPr>
                <w:rFonts w:ascii="Cambria" w:hAnsi="Cambria"/>
                <w:b w:val="0"/>
                <w:bCs w:val="0"/>
                <w:color w:val="000000"/>
                <w:sz w:val="20"/>
                <w:szCs w:val="20"/>
                <w:lang w:val="sk-SK"/>
              </w:rPr>
            </w:pPr>
            <w:r w:rsidRPr="00E75798">
              <w:rPr>
                <w:rFonts w:ascii="Cambria" w:hAnsi="Cambria"/>
                <w:b w:val="0"/>
                <w:bCs w:val="0"/>
                <w:color w:val="000000"/>
                <w:sz w:val="20"/>
                <w:szCs w:val="20"/>
                <w:lang w:val="sk-SK"/>
              </w:rPr>
              <w:t>Cena za 2</w:t>
            </w:r>
            <w:r w:rsidR="00D46953">
              <w:rPr>
                <w:rFonts w:ascii="Cambria" w:hAnsi="Cambria"/>
                <w:b w:val="0"/>
                <w:bCs w:val="0"/>
                <w:color w:val="000000"/>
                <w:sz w:val="20"/>
                <w:szCs w:val="20"/>
                <w:lang w:val="sk-SK"/>
              </w:rPr>
              <w:t>.</w:t>
            </w:r>
            <w:r w:rsidR="00594A6A">
              <w:rPr>
                <w:rFonts w:ascii="Cambria" w:hAnsi="Cambria"/>
                <w:b w:val="0"/>
                <w:bCs w:val="0"/>
                <w:color w:val="000000"/>
                <w:sz w:val="20"/>
                <w:szCs w:val="20"/>
                <w:lang w:val="sk-SK"/>
              </w:rPr>
              <w:t xml:space="preserve"> fázu</w:t>
            </w:r>
            <w:r>
              <w:rPr>
                <w:rFonts w:ascii="Cambria" w:hAnsi="Cambria"/>
                <w:b w:val="0"/>
                <w:bCs w:val="0"/>
                <w:color w:val="000000"/>
                <w:sz w:val="20"/>
                <w:szCs w:val="20"/>
                <w:lang w:val="sk-SK"/>
              </w:rPr>
              <w:t xml:space="preserve"> Diela </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62E091BD" w14:textId="491FCFC4" w:rsidR="00FF1DE2" w:rsidRPr="0007270B" w:rsidRDefault="00401731" w:rsidP="00B21372">
            <w:pPr>
              <w:spacing w:before="60" w:after="60"/>
              <w:jc w:val="center"/>
              <w:rPr>
                <w:rFonts w:ascii="Cambria" w:hAnsi="Cambria" w:cs="Arial"/>
                <w:i/>
                <w:iCs/>
                <w:color w:val="000000"/>
                <w:sz w:val="20"/>
              </w:rPr>
            </w:pPr>
            <w:r w:rsidRPr="0007270B">
              <w:rPr>
                <w:rFonts w:ascii="Cambria" w:hAnsi="Cambria" w:cs="Arial"/>
                <w:i/>
                <w:iCs/>
                <w:color w:val="000000"/>
                <w:sz w:val="20"/>
              </w:rPr>
              <w:t>24 %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003A38EC" w14:textId="2F1C11B8" w:rsidR="00FF1DE2" w:rsidRPr="00E6600E" w:rsidRDefault="00FF1DE2" w:rsidP="00B21372">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r w:rsidR="00FF1DE2" w:rsidRPr="00E75798" w14:paraId="6194FB4E" w14:textId="77777777" w:rsidTr="00E6600E">
        <w:trPr>
          <w:cantSplit/>
          <w:trHeight w:val="619"/>
        </w:trPr>
        <w:tc>
          <w:tcPr>
            <w:tcW w:w="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22E3666" w14:textId="7DC7E7A4"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F3</w:t>
            </w:r>
          </w:p>
        </w:tc>
        <w:tc>
          <w:tcPr>
            <w:tcW w:w="483" w:type="pct"/>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41E998BB" w14:textId="77777777"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3</w:t>
            </w:r>
          </w:p>
        </w:tc>
        <w:tc>
          <w:tcPr>
            <w:tcW w:w="2298" w:type="pct"/>
            <w:tcBorders>
              <w:top w:val="single" w:sz="8" w:space="0" w:color="auto"/>
              <w:left w:val="nil"/>
              <w:bottom w:val="single" w:sz="8" w:space="0" w:color="auto"/>
              <w:right w:val="single" w:sz="4" w:space="0" w:color="auto"/>
            </w:tcBorders>
            <w:vAlign w:val="center"/>
          </w:tcPr>
          <w:p w14:paraId="3995282F" w14:textId="5FA39ECA" w:rsidR="00FF1DE2" w:rsidRPr="00E75798" w:rsidRDefault="00FF1DE2" w:rsidP="00B21372">
            <w:pPr>
              <w:pStyle w:val="xl27"/>
              <w:spacing w:before="60" w:beforeAutospacing="0" w:after="60" w:afterAutospacing="0"/>
              <w:jc w:val="both"/>
              <w:rPr>
                <w:rFonts w:ascii="Cambria" w:hAnsi="Cambria"/>
                <w:b w:val="0"/>
                <w:bCs w:val="0"/>
                <w:color w:val="000000"/>
                <w:sz w:val="20"/>
                <w:szCs w:val="20"/>
                <w:lang w:val="sk-SK"/>
              </w:rPr>
            </w:pPr>
            <w:r w:rsidRPr="00E75798">
              <w:rPr>
                <w:rFonts w:ascii="Cambria" w:hAnsi="Cambria"/>
                <w:b w:val="0"/>
                <w:bCs w:val="0"/>
                <w:color w:val="000000"/>
                <w:sz w:val="20"/>
                <w:szCs w:val="20"/>
                <w:lang w:val="sk-SK"/>
              </w:rPr>
              <w:t>Cena za 3</w:t>
            </w:r>
            <w:r w:rsidR="00D46953">
              <w:rPr>
                <w:rFonts w:ascii="Cambria" w:hAnsi="Cambria"/>
                <w:b w:val="0"/>
                <w:bCs w:val="0"/>
                <w:color w:val="000000"/>
                <w:sz w:val="20"/>
                <w:szCs w:val="20"/>
                <w:lang w:val="sk-SK"/>
              </w:rPr>
              <w:t>.</w:t>
            </w:r>
            <w:r w:rsidR="00594A6A">
              <w:rPr>
                <w:rFonts w:ascii="Cambria" w:hAnsi="Cambria"/>
                <w:b w:val="0"/>
                <w:bCs w:val="0"/>
                <w:color w:val="000000"/>
                <w:sz w:val="20"/>
                <w:szCs w:val="20"/>
                <w:lang w:val="sk-SK"/>
              </w:rPr>
              <w:t xml:space="preserve"> fázu</w:t>
            </w:r>
            <w:r w:rsidRPr="00E75798">
              <w:rPr>
                <w:rFonts w:ascii="Cambria" w:hAnsi="Cambria"/>
                <w:b w:val="0"/>
                <w:bCs w:val="0"/>
                <w:color w:val="000000"/>
                <w:sz w:val="20"/>
                <w:szCs w:val="20"/>
                <w:lang w:val="sk-SK"/>
              </w:rPr>
              <w:t xml:space="preserve"> </w:t>
            </w:r>
            <w:r>
              <w:rPr>
                <w:rFonts w:ascii="Cambria" w:hAnsi="Cambria"/>
                <w:b w:val="0"/>
                <w:bCs w:val="0"/>
                <w:color w:val="000000"/>
                <w:sz w:val="20"/>
                <w:szCs w:val="20"/>
                <w:lang w:val="sk-SK"/>
              </w:rPr>
              <w:t xml:space="preserve">Diela </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6E4E0274" w14:textId="5C499E6D" w:rsidR="00FF1DE2" w:rsidRPr="0007270B" w:rsidRDefault="00243844" w:rsidP="00B21372">
            <w:pPr>
              <w:spacing w:before="60" w:after="60"/>
              <w:jc w:val="center"/>
              <w:rPr>
                <w:rFonts w:ascii="Cambria" w:hAnsi="Cambria" w:cs="Arial"/>
                <w:i/>
                <w:iCs/>
                <w:color w:val="000000"/>
                <w:sz w:val="20"/>
              </w:rPr>
            </w:pPr>
            <w:r w:rsidRPr="0007270B">
              <w:rPr>
                <w:rFonts w:ascii="Cambria" w:hAnsi="Cambria" w:cs="Arial"/>
                <w:i/>
                <w:iCs/>
                <w:color w:val="000000"/>
                <w:sz w:val="20"/>
              </w:rPr>
              <w:t>29 %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2A337349" w14:textId="3E44BE86" w:rsidR="00FF1DE2" w:rsidRPr="00E6600E" w:rsidRDefault="00FF1DE2" w:rsidP="00B21372">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r w:rsidR="00FF1DE2" w:rsidRPr="00E75798" w14:paraId="14C06A73" w14:textId="77777777" w:rsidTr="00E6600E">
        <w:trPr>
          <w:cantSplit/>
          <w:trHeight w:val="619"/>
        </w:trPr>
        <w:tc>
          <w:tcPr>
            <w:tcW w:w="250"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2B79CD68" w14:textId="3B3F91A0"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F3</w:t>
            </w:r>
          </w:p>
        </w:tc>
        <w:tc>
          <w:tcPr>
            <w:tcW w:w="483" w:type="pct"/>
            <w:tcBorders>
              <w:top w:val="single" w:sz="4" w:space="0" w:color="auto"/>
              <w:left w:val="single" w:sz="4" w:space="0" w:color="auto"/>
              <w:bottom w:val="single" w:sz="8" w:space="0" w:color="auto"/>
              <w:right w:val="single" w:sz="8" w:space="0" w:color="000000"/>
            </w:tcBorders>
            <w:shd w:val="clear" w:color="auto" w:fill="BFBFBF" w:themeFill="background1" w:themeFillShade="BF"/>
            <w:vAlign w:val="center"/>
          </w:tcPr>
          <w:p w14:paraId="7AC9E219" w14:textId="77777777"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4</w:t>
            </w:r>
          </w:p>
        </w:tc>
        <w:tc>
          <w:tcPr>
            <w:tcW w:w="2298" w:type="pct"/>
            <w:tcBorders>
              <w:top w:val="single" w:sz="8" w:space="0" w:color="auto"/>
              <w:left w:val="nil"/>
              <w:bottom w:val="single" w:sz="8" w:space="0" w:color="auto"/>
              <w:right w:val="single" w:sz="4" w:space="0" w:color="auto"/>
            </w:tcBorders>
            <w:vAlign w:val="center"/>
          </w:tcPr>
          <w:p w14:paraId="2DF3D8B0" w14:textId="0023DD3E" w:rsidR="00FF1DE2" w:rsidRPr="00E75798" w:rsidRDefault="00FF1DE2" w:rsidP="00B21372">
            <w:pPr>
              <w:pStyle w:val="xl27"/>
              <w:spacing w:before="60" w:beforeAutospacing="0" w:after="60" w:afterAutospacing="0"/>
              <w:jc w:val="both"/>
              <w:rPr>
                <w:rFonts w:ascii="Cambria" w:hAnsi="Cambria"/>
                <w:b w:val="0"/>
                <w:bCs w:val="0"/>
                <w:color w:val="000000"/>
                <w:sz w:val="20"/>
                <w:szCs w:val="20"/>
                <w:lang w:val="sk-SK"/>
              </w:rPr>
            </w:pPr>
            <w:r w:rsidRPr="00E75798">
              <w:rPr>
                <w:rFonts w:ascii="Cambria" w:hAnsi="Cambria"/>
                <w:b w:val="0"/>
                <w:bCs w:val="0"/>
                <w:color w:val="000000"/>
                <w:sz w:val="20"/>
                <w:szCs w:val="20"/>
                <w:lang w:val="sk-SK"/>
              </w:rPr>
              <w:t>Cena za 4</w:t>
            </w:r>
            <w:r w:rsidR="00D46953">
              <w:rPr>
                <w:rFonts w:ascii="Cambria" w:hAnsi="Cambria"/>
                <w:b w:val="0"/>
                <w:bCs w:val="0"/>
                <w:color w:val="000000"/>
                <w:sz w:val="20"/>
                <w:szCs w:val="20"/>
                <w:lang w:val="sk-SK"/>
              </w:rPr>
              <w:t>.</w:t>
            </w:r>
            <w:r w:rsidR="00594A6A">
              <w:rPr>
                <w:rFonts w:ascii="Cambria" w:hAnsi="Cambria"/>
                <w:b w:val="0"/>
                <w:bCs w:val="0"/>
                <w:color w:val="000000"/>
                <w:sz w:val="20"/>
                <w:szCs w:val="20"/>
                <w:lang w:val="sk-SK"/>
              </w:rPr>
              <w:t xml:space="preserve"> fázu</w:t>
            </w:r>
            <w:r w:rsidRPr="00E75798">
              <w:rPr>
                <w:rFonts w:ascii="Cambria" w:hAnsi="Cambria"/>
                <w:b w:val="0"/>
                <w:bCs w:val="0"/>
                <w:color w:val="000000"/>
                <w:sz w:val="20"/>
                <w:szCs w:val="20"/>
                <w:lang w:val="sk-SK"/>
              </w:rPr>
              <w:t xml:space="preserve"> </w:t>
            </w:r>
            <w:r>
              <w:rPr>
                <w:rFonts w:ascii="Cambria" w:hAnsi="Cambria"/>
                <w:b w:val="0"/>
                <w:bCs w:val="0"/>
                <w:color w:val="000000"/>
                <w:sz w:val="20"/>
                <w:szCs w:val="20"/>
                <w:lang w:val="sk-SK"/>
              </w:rPr>
              <w:t xml:space="preserve">Diela </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2756ECEA" w14:textId="45C4CE8C" w:rsidR="00FF1DE2" w:rsidRPr="0007270B" w:rsidRDefault="00243844" w:rsidP="00B21372">
            <w:pPr>
              <w:spacing w:before="60" w:after="60"/>
              <w:jc w:val="center"/>
              <w:rPr>
                <w:rFonts w:ascii="Cambria" w:hAnsi="Cambria" w:cs="Arial"/>
                <w:i/>
                <w:iCs/>
                <w:color w:val="000000"/>
                <w:sz w:val="20"/>
              </w:rPr>
            </w:pPr>
            <w:r w:rsidRPr="0007270B">
              <w:rPr>
                <w:rFonts w:ascii="Cambria" w:hAnsi="Cambria" w:cs="Arial"/>
                <w:i/>
                <w:iCs/>
                <w:color w:val="000000"/>
                <w:sz w:val="20"/>
              </w:rPr>
              <w:t>19 %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7ECC984C" w14:textId="0FCC2FEA" w:rsidR="00FF1DE2" w:rsidRPr="00E6600E" w:rsidRDefault="00FF1DE2" w:rsidP="00B21372">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r w:rsidR="00FF1DE2" w:rsidRPr="00E75798" w14:paraId="3839CE11" w14:textId="77777777" w:rsidTr="00E6600E">
        <w:trPr>
          <w:cantSplit/>
          <w:trHeight w:val="619"/>
        </w:trPr>
        <w:tc>
          <w:tcPr>
            <w:tcW w:w="250" w:type="pct"/>
            <w:tcBorders>
              <w:top w:val="single" w:sz="4" w:space="0" w:color="auto"/>
              <w:left w:val="single" w:sz="4" w:space="0" w:color="auto"/>
              <w:bottom w:val="single" w:sz="8" w:space="0" w:color="auto"/>
              <w:right w:val="single" w:sz="4" w:space="0" w:color="auto"/>
            </w:tcBorders>
            <w:shd w:val="clear" w:color="auto" w:fill="BFBFBF" w:themeFill="background1" w:themeFillShade="BF"/>
            <w:noWrap/>
            <w:vAlign w:val="center"/>
          </w:tcPr>
          <w:p w14:paraId="0746F3DF" w14:textId="3AE3B26A"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F5</w:t>
            </w:r>
          </w:p>
        </w:tc>
        <w:tc>
          <w:tcPr>
            <w:tcW w:w="483" w:type="pct"/>
            <w:tcBorders>
              <w:top w:val="single" w:sz="4" w:space="0" w:color="auto"/>
              <w:left w:val="single" w:sz="4" w:space="0" w:color="auto"/>
              <w:bottom w:val="single" w:sz="8" w:space="0" w:color="auto"/>
              <w:right w:val="single" w:sz="8" w:space="0" w:color="000000"/>
            </w:tcBorders>
            <w:shd w:val="clear" w:color="auto" w:fill="BFBFBF" w:themeFill="background1" w:themeFillShade="BF"/>
            <w:vAlign w:val="center"/>
          </w:tcPr>
          <w:p w14:paraId="480670F4" w14:textId="4C405916" w:rsidR="00FF1DE2" w:rsidRPr="00E75798" w:rsidRDefault="00FF1DE2" w:rsidP="00B21372">
            <w:pPr>
              <w:spacing w:before="60" w:after="60"/>
              <w:jc w:val="center"/>
              <w:rPr>
                <w:rFonts w:ascii="Cambria" w:hAnsi="Cambria" w:cs="Arial"/>
                <w:bCs/>
                <w:color w:val="000000"/>
                <w:sz w:val="20"/>
              </w:rPr>
            </w:pPr>
            <w:r w:rsidRPr="00E75798">
              <w:rPr>
                <w:rFonts w:ascii="Cambria" w:hAnsi="Cambria" w:cs="Arial"/>
                <w:bCs/>
                <w:color w:val="000000"/>
                <w:sz w:val="20"/>
              </w:rPr>
              <w:t>5</w:t>
            </w:r>
          </w:p>
        </w:tc>
        <w:tc>
          <w:tcPr>
            <w:tcW w:w="2298" w:type="pct"/>
            <w:tcBorders>
              <w:top w:val="single" w:sz="8" w:space="0" w:color="auto"/>
              <w:left w:val="nil"/>
              <w:bottom w:val="single" w:sz="8" w:space="0" w:color="auto"/>
              <w:right w:val="single" w:sz="4" w:space="0" w:color="auto"/>
            </w:tcBorders>
            <w:vAlign w:val="center"/>
          </w:tcPr>
          <w:p w14:paraId="3A280A4C" w14:textId="7C874B31" w:rsidR="00FF1DE2" w:rsidRPr="00E75798" w:rsidRDefault="00FF1DE2" w:rsidP="00B21372">
            <w:pPr>
              <w:pStyle w:val="xl27"/>
              <w:spacing w:before="60" w:beforeAutospacing="0" w:after="60" w:afterAutospacing="0"/>
              <w:jc w:val="both"/>
              <w:rPr>
                <w:rFonts w:ascii="Cambria" w:hAnsi="Cambria"/>
                <w:b w:val="0"/>
                <w:bCs w:val="0"/>
                <w:color w:val="000000"/>
                <w:sz w:val="20"/>
                <w:szCs w:val="20"/>
                <w:lang w:val="sk-SK"/>
              </w:rPr>
            </w:pPr>
            <w:r w:rsidRPr="00E75798">
              <w:rPr>
                <w:rFonts w:ascii="Cambria" w:hAnsi="Cambria"/>
                <w:b w:val="0"/>
                <w:bCs w:val="0"/>
                <w:color w:val="000000"/>
                <w:sz w:val="20"/>
                <w:szCs w:val="20"/>
                <w:lang w:val="sk-SK"/>
              </w:rPr>
              <w:t>Cena za 5</w:t>
            </w:r>
            <w:r w:rsidR="00D46953">
              <w:rPr>
                <w:rFonts w:ascii="Cambria" w:hAnsi="Cambria"/>
                <w:b w:val="0"/>
                <w:bCs w:val="0"/>
                <w:color w:val="000000"/>
                <w:sz w:val="20"/>
                <w:szCs w:val="20"/>
                <w:lang w:val="sk-SK"/>
              </w:rPr>
              <w:t>.</w:t>
            </w:r>
            <w:r w:rsidR="00594A6A">
              <w:rPr>
                <w:rFonts w:ascii="Cambria" w:hAnsi="Cambria"/>
                <w:b w:val="0"/>
                <w:bCs w:val="0"/>
                <w:color w:val="000000"/>
                <w:sz w:val="20"/>
                <w:szCs w:val="20"/>
                <w:lang w:val="sk-SK"/>
              </w:rPr>
              <w:t xml:space="preserve"> fázu</w:t>
            </w:r>
            <w:r w:rsidRPr="00E75798">
              <w:rPr>
                <w:rFonts w:ascii="Cambria" w:hAnsi="Cambria"/>
                <w:b w:val="0"/>
                <w:bCs w:val="0"/>
                <w:color w:val="000000"/>
                <w:sz w:val="20"/>
                <w:szCs w:val="20"/>
                <w:lang w:val="sk-SK"/>
              </w:rPr>
              <w:t xml:space="preserve"> </w:t>
            </w:r>
            <w:r>
              <w:rPr>
                <w:rFonts w:ascii="Cambria" w:hAnsi="Cambria"/>
                <w:b w:val="0"/>
                <w:bCs w:val="0"/>
                <w:color w:val="000000"/>
                <w:sz w:val="20"/>
                <w:szCs w:val="20"/>
                <w:lang w:val="sk-SK"/>
              </w:rPr>
              <w:t xml:space="preserve">Diela </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5C4BF8F6" w14:textId="77AA9730" w:rsidR="00FF1DE2" w:rsidRPr="0007270B" w:rsidRDefault="000D5FDD" w:rsidP="00B21372">
            <w:pPr>
              <w:spacing w:before="60" w:after="60"/>
              <w:jc w:val="center"/>
              <w:rPr>
                <w:rFonts w:ascii="Cambria" w:hAnsi="Cambria" w:cs="Arial"/>
                <w:i/>
                <w:iCs/>
                <w:color w:val="000000"/>
                <w:sz w:val="20"/>
              </w:rPr>
            </w:pPr>
            <w:r w:rsidRPr="0007270B">
              <w:rPr>
                <w:rFonts w:ascii="Cambria" w:hAnsi="Cambria" w:cs="Arial"/>
                <w:i/>
                <w:iCs/>
                <w:color w:val="000000"/>
                <w:sz w:val="20"/>
              </w:rPr>
              <w:t>12 %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2D1FCE4B" w14:textId="0FBCE28D" w:rsidR="00FF1DE2" w:rsidRPr="00E6600E" w:rsidRDefault="00FF1DE2" w:rsidP="00B21372">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r w:rsidR="00FF1DE2" w:rsidRPr="00E75798" w14:paraId="6BA0CABE" w14:textId="77777777" w:rsidTr="00E6600E">
        <w:trPr>
          <w:cantSplit/>
          <w:trHeight w:val="619"/>
        </w:trPr>
        <w:tc>
          <w:tcPr>
            <w:tcW w:w="733" w:type="pct"/>
            <w:gridSpan w:val="2"/>
            <w:tcBorders>
              <w:top w:val="single" w:sz="8" w:space="0" w:color="auto"/>
              <w:left w:val="single" w:sz="4" w:space="0" w:color="auto"/>
              <w:bottom w:val="single" w:sz="4" w:space="0" w:color="auto"/>
              <w:right w:val="single" w:sz="8" w:space="0" w:color="000000"/>
            </w:tcBorders>
            <w:noWrap/>
            <w:vAlign w:val="center"/>
          </w:tcPr>
          <w:p w14:paraId="2C629139" w14:textId="3F700F1F" w:rsidR="00FF1DE2" w:rsidRPr="00E75798" w:rsidRDefault="00FF1DE2" w:rsidP="00DA4B4A">
            <w:pPr>
              <w:spacing w:before="60" w:after="60"/>
              <w:jc w:val="center"/>
              <w:rPr>
                <w:rFonts w:ascii="Cambria" w:hAnsi="Cambria" w:cs="Arial"/>
                <w:b/>
                <w:color w:val="000000"/>
                <w:sz w:val="20"/>
              </w:rPr>
            </w:pPr>
            <w:r w:rsidRPr="00E75798">
              <w:rPr>
                <w:rFonts w:ascii="Cambria" w:hAnsi="Cambria" w:cs="Arial"/>
                <w:b/>
                <w:color w:val="000000"/>
                <w:sz w:val="20"/>
              </w:rPr>
              <w:t>CIR</w:t>
            </w:r>
          </w:p>
        </w:tc>
        <w:tc>
          <w:tcPr>
            <w:tcW w:w="2298" w:type="pct"/>
            <w:tcBorders>
              <w:top w:val="single" w:sz="8" w:space="0" w:color="auto"/>
              <w:left w:val="nil"/>
              <w:bottom w:val="single" w:sz="4" w:space="0" w:color="auto"/>
              <w:right w:val="single" w:sz="4" w:space="0" w:color="auto"/>
            </w:tcBorders>
            <w:vAlign w:val="center"/>
          </w:tcPr>
          <w:p w14:paraId="49F75269" w14:textId="5A1365AF" w:rsidR="00FF1DE2" w:rsidRPr="00E75798" w:rsidRDefault="00FF1DE2" w:rsidP="00DA4B4A">
            <w:pPr>
              <w:pStyle w:val="xl27"/>
              <w:spacing w:before="60" w:beforeAutospacing="0" w:after="60" w:afterAutospacing="0"/>
              <w:jc w:val="both"/>
              <w:rPr>
                <w:rFonts w:ascii="Cambria" w:hAnsi="Cambria"/>
                <w:bCs w:val="0"/>
                <w:color w:val="000000"/>
                <w:sz w:val="20"/>
                <w:szCs w:val="20"/>
                <w:lang w:val="sk-SK"/>
              </w:rPr>
            </w:pPr>
            <w:r w:rsidRPr="00E75798">
              <w:rPr>
                <w:rFonts w:ascii="Cambria" w:hAnsi="Cambria"/>
                <w:bCs w:val="0"/>
                <w:color w:val="000000"/>
                <w:sz w:val="20"/>
                <w:szCs w:val="20"/>
                <w:lang w:val="sk-SK"/>
              </w:rPr>
              <w:t xml:space="preserve">Celková cena za </w:t>
            </w:r>
            <w:r>
              <w:rPr>
                <w:rFonts w:ascii="Cambria" w:hAnsi="Cambria"/>
                <w:bCs w:val="0"/>
                <w:color w:val="000000"/>
                <w:sz w:val="20"/>
                <w:szCs w:val="20"/>
                <w:lang w:val="sk-SK"/>
              </w:rPr>
              <w:t>Diel</w:t>
            </w:r>
            <w:r w:rsidR="00625854">
              <w:rPr>
                <w:rFonts w:ascii="Cambria" w:hAnsi="Cambria"/>
                <w:bCs w:val="0"/>
                <w:color w:val="000000"/>
                <w:sz w:val="20"/>
                <w:szCs w:val="20"/>
                <w:lang w:val="sk-SK"/>
              </w:rPr>
              <w:t>o/dodaný</w:t>
            </w:r>
            <w:r w:rsidRPr="00E75798">
              <w:rPr>
                <w:rFonts w:ascii="Cambria" w:hAnsi="Cambria"/>
                <w:bCs w:val="0"/>
                <w:color w:val="000000"/>
                <w:sz w:val="20"/>
                <w:szCs w:val="20"/>
                <w:lang w:val="sk-SK"/>
              </w:rPr>
              <w:t xml:space="preserve"> </w:t>
            </w:r>
            <w:r>
              <w:rPr>
                <w:rFonts w:ascii="Cambria" w:hAnsi="Cambria"/>
                <w:bCs w:val="0"/>
                <w:color w:val="000000"/>
                <w:sz w:val="20"/>
                <w:szCs w:val="20"/>
                <w:lang w:val="sk-SK"/>
              </w:rPr>
              <w:t xml:space="preserve">informačný </w:t>
            </w:r>
            <w:r w:rsidRPr="00E75798">
              <w:rPr>
                <w:rFonts w:ascii="Cambria" w:hAnsi="Cambria"/>
                <w:bCs w:val="0"/>
                <w:color w:val="000000"/>
                <w:sz w:val="20"/>
                <w:szCs w:val="20"/>
                <w:lang w:val="sk-SK"/>
              </w:rPr>
              <w:t>systém</w:t>
            </w:r>
          </w:p>
          <w:p w14:paraId="5C69F6B8" w14:textId="4E2042D3" w:rsidR="00FF1DE2" w:rsidRPr="00E75798" w:rsidRDefault="00FF1DE2" w:rsidP="00DA4B4A">
            <w:pPr>
              <w:pStyle w:val="xl27"/>
              <w:spacing w:before="60" w:beforeAutospacing="0" w:after="60" w:afterAutospacing="0"/>
              <w:jc w:val="both"/>
              <w:rPr>
                <w:rFonts w:ascii="Cambria" w:hAnsi="Cambria"/>
                <w:bCs w:val="0"/>
                <w:color w:val="000000"/>
                <w:sz w:val="20"/>
                <w:szCs w:val="20"/>
                <w:lang w:val="sk-SK"/>
              </w:rPr>
            </w:pPr>
            <w:r w:rsidRPr="00E75798">
              <w:rPr>
                <w:rFonts w:ascii="Cambria" w:hAnsi="Cambria"/>
                <w:bCs w:val="0"/>
                <w:color w:val="000000"/>
                <w:sz w:val="20"/>
                <w:szCs w:val="20"/>
                <w:lang w:val="sk-SK"/>
              </w:rPr>
              <w:t>CIR = F1 + F2 + F3 + F4 + F5</w:t>
            </w:r>
          </w:p>
        </w:tc>
        <w:tc>
          <w:tcPr>
            <w:tcW w:w="985" w:type="pct"/>
            <w:tcBorders>
              <w:top w:val="single" w:sz="8" w:space="0" w:color="auto"/>
              <w:left w:val="single" w:sz="4" w:space="0" w:color="auto"/>
              <w:bottom w:val="single" w:sz="8" w:space="0" w:color="auto"/>
              <w:right w:val="single" w:sz="4" w:space="0" w:color="auto"/>
            </w:tcBorders>
            <w:shd w:val="clear" w:color="auto" w:fill="E7E6E6" w:themeFill="background2"/>
          </w:tcPr>
          <w:p w14:paraId="0B4F7577" w14:textId="7347F050" w:rsidR="00FF1DE2" w:rsidRPr="0007270B" w:rsidRDefault="000D5FDD" w:rsidP="00DA4B4A">
            <w:pPr>
              <w:spacing w:before="60" w:after="60"/>
              <w:jc w:val="center"/>
              <w:rPr>
                <w:rFonts w:ascii="Cambria" w:hAnsi="Cambria" w:cs="Arial"/>
                <w:i/>
                <w:iCs/>
                <w:color w:val="000000"/>
                <w:sz w:val="20"/>
              </w:rPr>
            </w:pPr>
            <w:r w:rsidRPr="0007270B">
              <w:rPr>
                <w:rFonts w:ascii="Cambria" w:hAnsi="Cambria" w:cs="Arial"/>
                <w:i/>
                <w:iCs/>
                <w:color w:val="000000"/>
                <w:sz w:val="20"/>
              </w:rPr>
              <w:t>100 %</w:t>
            </w:r>
          </w:p>
        </w:tc>
        <w:tc>
          <w:tcPr>
            <w:tcW w:w="985" w:type="pct"/>
            <w:tcBorders>
              <w:top w:val="single" w:sz="8" w:space="0" w:color="auto"/>
              <w:left w:val="single" w:sz="4" w:space="0" w:color="auto"/>
              <w:bottom w:val="single" w:sz="8" w:space="0" w:color="auto"/>
              <w:right w:val="single" w:sz="8" w:space="0" w:color="000000"/>
            </w:tcBorders>
            <w:shd w:val="clear" w:color="auto" w:fill="auto"/>
            <w:vAlign w:val="center"/>
          </w:tcPr>
          <w:p w14:paraId="682AE7D4" w14:textId="5B84A8E0" w:rsidR="00FF1DE2" w:rsidRPr="00E6600E" w:rsidRDefault="00FF1DE2" w:rsidP="00DA4B4A">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49AA80B1" w14:textId="6C3290F2" w:rsidR="0065390F" w:rsidRDefault="008D542B" w:rsidP="00BD07C2">
      <w:pPr>
        <w:tabs>
          <w:tab w:val="left" w:pos="709"/>
        </w:tabs>
        <w:spacing w:before="120" w:after="120"/>
        <w:jc w:val="both"/>
        <w:rPr>
          <w:rFonts w:ascii="Cambria" w:hAnsi="Cambria" w:cs="Arial"/>
          <w:sz w:val="22"/>
          <w:szCs w:val="22"/>
        </w:rPr>
      </w:pPr>
      <w:r w:rsidRPr="00BD07C2">
        <w:rPr>
          <w:rFonts w:ascii="Cambria" w:hAnsi="Cambria" w:cs="Arial"/>
          <w:sz w:val="22"/>
          <w:szCs w:val="22"/>
        </w:rPr>
        <w:t xml:space="preserve">* </w:t>
      </w:r>
      <w:r w:rsidR="00BF7B03">
        <w:rPr>
          <w:rFonts w:ascii="Cambria" w:hAnsi="Cambria" w:cs="Arial"/>
          <w:sz w:val="22"/>
          <w:szCs w:val="22"/>
        </w:rPr>
        <w:t xml:space="preserve">celková </w:t>
      </w:r>
      <w:r w:rsidRPr="00BD07C2">
        <w:rPr>
          <w:rFonts w:ascii="Cambria" w:hAnsi="Cambria" w:cs="Arial"/>
          <w:sz w:val="22"/>
          <w:szCs w:val="22"/>
        </w:rPr>
        <w:t>cena za Dielo – dodaný informačný systém</w:t>
      </w:r>
      <w:r w:rsidR="0086617B" w:rsidRPr="00BD07C2">
        <w:rPr>
          <w:rFonts w:ascii="Cambria" w:hAnsi="Cambria" w:cs="Arial"/>
          <w:sz w:val="22"/>
          <w:szCs w:val="22"/>
        </w:rPr>
        <w:t xml:space="preserve"> resp. čiastkového plnenia (</w:t>
      </w:r>
      <w:r w:rsidR="005D5C3C" w:rsidRPr="00BD07C2">
        <w:rPr>
          <w:rFonts w:ascii="Cambria" w:hAnsi="Cambria" w:cs="Arial"/>
          <w:sz w:val="22"/>
          <w:szCs w:val="22"/>
        </w:rPr>
        <w:t xml:space="preserve">jednotlivá </w:t>
      </w:r>
      <w:r w:rsidR="0086617B" w:rsidRPr="00BD07C2">
        <w:rPr>
          <w:rFonts w:ascii="Cambria" w:hAnsi="Cambria" w:cs="Arial"/>
          <w:sz w:val="22"/>
          <w:szCs w:val="22"/>
        </w:rPr>
        <w:t>fáza Diela)</w:t>
      </w:r>
      <w:r w:rsidR="0084741B" w:rsidRPr="00BD07C2">
        <w:rPr>
          <w:rFonts w:ascii="Cambria" w:hAnsi="Cambria" w:cs="Arial"/>
          <w:sz w:val="22"/>
          <w:szCs w:val="22"/>
        </w:rPr>
        <w:t xml:space="preserve"> zahŕňa </w:t>
      </w:r>
      <w:r w:rsidR="00275860" w:rsidRPr="00BD07C2">
        <w:rPr>
          <w:rFonts w:ascii="Cambria" w:hAnsi="Cambria" w:cs="Arial"/>
          <w:sz w:val="22"/>
          <w:szCs w:val="22"/>
        </w:rPr>
        <w:t>cenu Diela, resp. čiastkového plnenia, poskytovanie servisných služieb</w:t>
      </w:r>
      <w:r w:rsidR="00D5532A" w:rsidRPr="00BD07C2">
        <w:rPr>
          <w:rFonts w:ascii="Cambria" w:hAnsi="Cambria" w:cs="Arial"/>
          <w:sz w:val="22"/>
          <w:szCs w:val="22"/>
        </w:rPr>
        <w:t xml:space="preserve"> pre každé čiastkové plnenie</w:t>
      </w:r>
      <w:r w:rsidR="00275860" w:rsidRPr="00BD07C2">
        <w:rPr>
          <w:rFonts w:ascii="Cambria" w:hAnsi="Cambria" w:cs="Arial"/>
          <w:sz w:val="22"/>
          <w:szCs w:val="22"/>
        </w:rPr>
        <w:t xml:space="preserve"> do </w:t>
      </w:r>
      <w:r w:rsidR="00D5532A" w:rsidRPr="00BD07C2">
        <w:rPr>
          <w:rFonts w:ascii="Cambria" w:hAnsi="Cambria" w:cs="Arial"/>
          <w:sz w:val="22"/>
          <w:szCs w:val="22"/>
        </w:rPr>
        <w:t>riadneho dodania Diela, udelenie súhlasu na používanie autorských diel, resp. iných predmetov práv duševného vlastníctva a dodanie resp. zabezpečenie poskytnutia potrebných licencií k</w:t>
      </w:r>
      <w:r w:rsidR="00B01119">
        <w:rPr>
          <w:rFonts w:ascii="Cambria" w:hAnsi="Cambria" w:cs="Arial"/>
          <w:sz w:val="22"/>
          <w:szCs w:val="22"/>
        </w:rPr>
        <w:t> </w:t>
      </w:r>
      <w:r w:rsidR="00D5532A" w:rsidRPr="00BD07C2">
        <w:rPr>
          <w:rFonts w:ascii="Cambria" w:hAnsi="Cambria" w:cs="Arial"/>
          <w:sz w:val="22"/>
          <w:szCs w:val="22"/>
        </w:rPr>
        <w:t>SW produktom</w:t>
      </w:r>
      <w:r w:rsidR="00264D04">
        <w:rPr>
          <w:rFonts w:ascii="Cambria" w:hAnsi="Cambria" w:cs="Arial"/>
          <w:sz w:val="22"/>
          <w:szCs w:val="22"/>
        </w:rPr>
        <w:t xml:space="preserve"> zhotoviteľa a 3. strán</w:t>
      </w:r>
      <w:r w:rsidR="00D5532A" w:rsidRPr="00BD07C2">
        <w:rPr>
          <w:rFonts w:ascii="Cambria" w:hAnsi="Cambria" w:cs="Arial"/>
          <w:sz w:val="22"/>
          <w:szCs w:val="22"/>
        </w:rPr>
        <w:t>.</w:t>
      </w:r>
    </w:p>
    <w:p w14:paraId="16DA17AB" w14:textId="2D0C7D96" w:rsidR="004B78AC" w:rsidRPr="00324759" w:rsidRDefault="009651DE" w:rsidP="00BD07C2">
      <w:pPr>
        <w:tabs>
          <w:tab w:val="left" w:pos="709"/>
        </w:tabs>
        <w:spacing w:before="120" w:after="120"/>
        <w:jc w:val="both"/>
        <w:rPr>
          <w:rFonts w:ascii="Cambria" w:hAnsi="Cambria" w:cs="Arial"/>
          <w:b/>
          <w:bCs/>
          <w:sz w:val="22"/>
          <w:szCs w:val="22"/>
        </w:rPr>
      </w:pPr>
      <w:r w:rsidRPr="00324759">
        <w:rPr>
          <w:rFonts w:ascii="Cambria" w:hAnsi="Cambria" w:cs="Arial"/>
          <w:b/>
          <w:bCs/>
          <w:sz w:val="22"/>
          <w:szCs w:val="22"/>
        </w:rPr>
        <w:t>T</w:t>
      </w:r>
      <w:r w:rsidR="001E3E3C" w:rsidRPr="00324759">
        <w:rPr>
          <w:rFonts w:ascii="Cambria" w:hAnsi="Cambria" w:cs="Arial"/>
          <w:b/>
          <w:bCs/>
          <w:sz w:val="22"/>
          <w:szCs w:val="22"/>
        </w:rPr>
        <w:t xml:space="preserve">ABUĽKA č. 2 </w:t>
      </w:r>
      <w:r w:rsidRPr="00324759">
        <w:rPr>
          <w:rFonts w:ascii="Cambria" w:hAnsi="Cambria" w:cs="Arial"/>
          <w:b/>
          <w:bCs/>
          <w:sz w:val="22"/>
          <w:szCs w:val="22"/>
        </w:rPr>
        <w:t xml:space="preserve">Cena za </w:t>
      </w:r>
      <w:r w:rsidR="0025421C">
        <w:rPr>
          <w:rFonts w:ascii="Cambria" w:hAnsi="Cambria" w:cs="Arial"/>
          <w:b/>
          <w:bCs/>
          <w:sz w:val="22"/>
          <w:szCs w:val="22"/>
        </w:rPr>
        <w:t>produkt subscription</w:t>
      </w:r>
      <w:r w:rsidR="00212079">
        <w:rPr>
          <w:rFonts w:ascii="Cambria" w:hAnsi="Cambria" w:cs="Arial"/>
          <w:b/>
          <w:bCs/>
          <w:sz w:val="22"/>
          <w:szCs w:val="22"/>
        </w:rPr>
        <w:t xml:space="preserve"> (predplatné)</w:t>
      </w:r>
      <w:r w:rsidR="0025421C">
        <w:rPr>
          <w:rFonts w:ascii="Cambria" w:hAnsi="Cambria" w:cs="Arial"/>
          <w:b/>
          <w:bCs/>
          <w:sz w:val="22"/>
          <w:szCs w:val="22"/>
        </w:rPr>
        <w:t xml:space="preserve"> </w:t>
      </w:r>
      <w:r w:rsidRPr="00324759">
        <w:rPr>
          <w:rFonts w:ascii="Cambria" w:hAnsi="Cambria" w:cs="Arial"/>
          <w:b/>
          <w:bCs/>
          <w:sz w:val="22"/>
          <w:szCs w:val="22"/>
        </w:rPr>
        <w:t>na DataLake</w:t>
      </w:r>
    </w:p>
    <w:tbl>
      <w:tblPr>
        <w:tblW w:w="907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10"/>
        <w:gridCol w:w="5215"/>
        <w:gridCol w:w="1951"/>
      </w:tblGrid>
      <w:tr w:rsidR="00DC6E9D" w:rsidRPr="00092BD7" w14:paraId="5FF22DBF" w14:textId="77777777" w:rsidTr="008C1EB5">
        <w:trPr>
          <w:trHeight w:val="503"/>
          <w:jc w:val="center"/>
        </w:trPr>
        <w:tc>
          <w:tcPr>
            <w:tcW w:w="1910" w:type="dxa"/>
            <w:tcBorders>
              <w:top w:val="single" w:sz="12" w:space="0" w:color="000000"/>
              <w:bottom w:val="single" w:sz="6" w:space="0" w:color="000000"/>
            </w:tcBorders>
            <w:shd w:val="clear" w:color="auto" w:fill="D0CECE" w:themeFill="background2" w:themeFillShade="E6"/>
            <w:noWrap/>
            <w:vAlign w:val="center"/>
          </w:tcPr>
          <w:p w14:paraId="1587D0A2" w14:textId="77777777" w:rsidR="00DC6E9D" w:rsidRPr="00092BD7" w:rsidRDefault="00DC6E9D" w:rsidP="00505859">
            <w:pPr>
              <w:jc w:val="center"/>
              <w:rPr>
                <w:rFonts w:ascii="Cambria" w:hAnsi="Cambria" w:cs="Arial"/>
                <w:b/>
                <w:bCs/>
                <w:sz w:val="20"/>
              </w:rPr>
            </w:pPr>
            <w:bookmarkStart w:id="208" w:name="_Toc45812703"/>
            <w:r w:rsidRPr="00092BD7">
              <w:rPr>
                <w:rFonts w:ascii="Cambria" w:hAnsi="Cambria" w:cs="Arial"/>
                <w:b/>
                <w:bCs/>
                <w:sz w:val="20"/>
              </w:rPr>
              <w:t>Položka</w:t>
            </w:r>
          </w:p>
        </w:tc>
        <w:tc>
          <w:tcPr>
            <w:tcW w:w="5215" w:type="dxa"/>
            <w:tcBorders>
              <w:top w:val="single" w:sz="12" w:space="0" w:color="000000"/>
              <w:bottom w:val="single" w:sz="6" w:space="0" w:color="000000"/>
            </w:tcBorders>
            <w:shd w:val="clear" w:color="auto" w:fill="D0CECE" w:themeFill="background2" w:themeFillShade="E6"/>
            <w:vAlign w:val="center"/>
          </w:tcPr>
          <w:p w14:paraId="3062FDDF" w14:textId="799BB370" w:rsidR="00DC6E9D" w:rsidRPr="00092BD7" w:rsidRDefault="00DC6E9D" w:rsidP="00505859">
            <w:pPr>
              <w:jc w:val="center"/>
              <w:rPr>
                <w:rFonts w:ascii="Cambria" w:hAnsi="Cambria" w:cs="Arial"/>
                <w:b/>
                <w:bCs/>
                <w:sz w:val="20"/>
              </w:rPr>
            </w:pPr>
          </w:p>
          <w:p w14:paraId="50553002" w14:textId="1585282D" w:rsidR="00DC6E9D" w:rsidRPr="00092BD7" w:rsidRDefault="00DC6E9D" w:rsidP="00505859">
            <w:pPr>
              <w:jc w:val="center"/>
              <w:rPr>
                <w:rFonts w:ascii="Cambria" w:hAnsi="Cambria" w:cs="Arial"/>
                <w:b/>
                <w:bCs/>
                <w:sz w:val="20"/>
              </w:rPr>
            </w:pPr>
            <w:r w:rsidRPr="00092BD7">
              <w:rPr>
                <w:rFonts w:ascii="Cambria" w:hAnsi="Cambria" w:cs="Arial"/>
                <w:b/>
                <w:bCs/>
                <w:sz w:val="20"/>
              </w:rPr>
              <w:t xml:space="preserve">Názov </w:t>
            </w:r>
            <w:r>
              <w:rPr>
                <w:rFonts w:ascii="Cambria" w:hAnsi="Cambria" w:cs="Arial"/>
                <w:b/>
                <w:bCs/>
                <w:sz w:val="20"/>
              </w:rPr>
              <w:t>produktu</w:t>
            </w:r>
            <w:r w:rsidRPr="00092BD7">
              <w:rPr>
                <w:rFonts w:ascii="Cambria" w:hAnsi="Cambria" w:cs="Arial"/>
                <w:b/>
                <w:bCs/>
                <w:sz w:val="20"/>
              </w:rPr>
              <w:t xml:space="preserve"> s popisom</w:t>
            </w:r>
          </w:p>
        </w:tc>
        <w:tc>
          <w:tcPr>
            <w:tcW w:w="1951" w:type="dxa"/>
            <w:tcBorders>
              <w:top w:val="single" w:sz="12" w:space="0" w:color="000000"/>
              <w:bottom w:val="single" w:sz="6" w:space="0" w:color="000000"/>
            </w:tcBorders>
            <w:shd w:val="clear" w:color="auto" w:fill="D0CECE" w:themeFill="background2" w:themeFillShade="E6"/>
            <w:vAlign w:val="center"/>
          </w:tcPr>
          <w:p w14:paraId="6F1F8FBF" w14:textId="3B368BD5" w:rsidR="00DC6E9D" w:rsidRPr="00092BD7" w:rsidRDefault="00DC6E9D" w:rsidP="00505859">
            <w:pPr>
              <w:jc w:val="center"/>
              <w:rPr>
                <w:rFonts w:ascii="Cambria" w:hAnsi="Cambria" w:cs="Arial"/>
                <w:b/>
                <w:bCs/>
                <w:sz w:val="20"/>
              </w:rPr>
            </w:pPr>
            <w:r w:rsidRPr="00092BD7">
              <w:rPr>
                <w:rFonts w:ascii="Cambria" w:hAnsi="Cambria" w:cs="Arial"/>
                <w:b/>
                <w:bCs/>
                <w:sz w:val="20"/>
              </w:rPr>
              <w:t xml:space="preserve">Cena v EUR bez DPH </w:t>
            </w:r>
            <w:r w:rsidR="0013624D">
              <w:rPr>
                <w:rFonts w:ascii="Cambria" w:hAnsi="Cambria" w:cs="Arial"/>
                <w:b/>
                <w:bCs/>
                <w:sz w:val="20"/>
              </w:rPr>
              <w:t>produktu</w:t>
            </w:r>
          </w:p>
          <w:p w14:paraId="28DA761E" w14:textId="32281804" w:rsidR="00DC6E9D" w:rsidRPr="00092BD7" w:rsidRDefault="00DC6E9D" w:rsidP="00505859">
            <w:pPr>
              <w:jc w:val="center"/>
              <w:rPr>
                <w:rFonts w:ascii="Cambria" w:hAnsi="Cambria" w:cs="Arial"/>
                <w:b/>
                <w:bCs/>
                <w:sz w:val="20"/>
              </w:rPr>
            </w:pPr>
            <w:r w:rsidRPr="00092BD7">
              <w:rPr>
                <w:rFonts w:ascii="Cambria" w:hAnsi="Cambria" w:cs="Arial"/>
                <w:b/>
                <w:bCs/>
                <w:sz w:val="20"/>
              </w:rPr>
              <w:t xml:space="preserve"> </w:t>
            </w:r>
          </w:p>
        </w:tc>
      </w:tr>
      <w:tr w:rsidR="002941F6" w:rsidRPr="00092BD7" w14:paraId="316ADE2B" w14:textId="77777777" w:rsidTr="00A80E98">
        <w:trPr>
          <w:trHeight w:val="196"/>
          <w:jc w:val="center"/>
        </w:trPr>
        <w:tc>
          <w:tcPr>
            <w:tcW w:w="1910" w:type="dxa"/>
            <w:tcBorders>
              <w:top w:val="single" w:sz="6" w:space="0" w:color="000000"/>
              <w:bottom w:val="single" w:sz="6" w:space="0" w:color="000000"/>
            </w:tcBorders>
            <w:shd w:val="clear" w:color="auto" w:fill="auto"/>
            <w:noWrap/>
            <w:vAlign w:val="center"/>
          </w:tcPr>
          <w:p w14:paraId="546C6D63" w14:textId="441A98F4" w:rsidR="002941F6" w:rsidRPr="00092BD7" w:rsidRDefault="00172F8E" w:rsidP="00505859">
            <w:pPr>
              <w:ind w:left="57"/>
              <w:jc w:val="center"/>
              <w:rPr>
                <w:rFonts w:ascii="Cambria" w:hAnsi="Cambria" w:cs="Arial"/>
                <w:sz w:val="20"/>
              </w:rPr>
            </w:pPr>
            <w:r>
              <w:rPr>
                <w:rFonts w:ascii="Cambria" w:eastAsia="Calibri" w:hAnsi="Cambria" w:cs="Calibri"/>
                <w:color w:val="000000" w:themeColor="text1"/>
                <w:sz w:val="20"/>
              </w:rPr>
              <w:t xml:space="preserve">Produkt – subscription (predplatné)  </w:t>
            </w:r>
            <w:r w:rsidR="00D973D2">
              <w:rPr>
                <w:rFonts w:ascii="Cambria" w:eastAsia="Calibri" w:hAnsi="Cambria" w:cs="Calibri"/>
                <w:color w:val="000000" w:themeColor="text1"/>
                <w:sz w:val="20"/>
              </w:rPr>
              <w:t xml:space="preserve">na DataLake </w:t>
            </w:r>
            <w:r>
              <w:rPr>
                <w:rFonts w:ascii="Cambria" w:eastAsia="Calibri" w:hAnsi="Cambria" w:cs="Calibri"/>
                <w:color w:val="000000" w:themeColor="text1"/>
                <w:sz w:val="20"/>
              </w:rPr>
              <w:t>na 2,5 roka (30 mesiacov) podľa konfigurácie opísanej v opise predmetu zákazky kapitola 3.2.4 Fyzická architektúra (92CPU, 736 RAM)</w:t>
            </w:r>
          </w:p>
        </w:tc>
        <w:tc>
          <w:tcPr>
            <w:tcW w:w="5215" w:type="dxa"/>
            <w:tcBorders>
              <w:top w:val="single" w:sz="6" w:space="0" w:color="000000"/>
              <w:bottom w:val="single" w:sz="6" w:space="0" w:color="000000"/>
            </w:tcBorders>
            <w:shd w:val="clear" w:color="auto" w:fill="auto"/>
            <w:noWrap/>
            <w:vAlign w:val="center"/>
          </w:tcPr>
          <w:p w14:paraId="3BD415B8" w14:textId="4C6B355B" w:rsidR="002941F6" w:rsidRPr="00D408A2" w:rsidRDefault="002941F6" w:rsidP="00505859">
            <w:pPr>
              <w:pStyle w:val="xl32"/>
              <w:spacing w:before="60" w:beforeAutospacing="0" w:after="60" w:afterAutospacing="0"/>
              <w:rPr>
                <w:rFonts w:ascii="Cambria" w:hAnsi="Cambria"/>
                <w:i/>
                <w:iCs/>
                <w:sz w:val="20"/>
                <w:szCs w:val="20"/>
                <w:lang w:val="sk-SK"/>
              </w:rPr>
            </w:pPr>
            <w:r w:rsidRPr="00105AE2">
              <w:rPr>
                <w:rFonts w:ascii="Cambria" w:hAnsi="Cambria"/>
                <w:i/>
                <w:iCs/>
                <w:sz w:val="20"/>
                <w:szCs w:val="20"/>
                <w:lang w:val="sk-SK"/>
              </w:rPr>
              <w:t>&lt;</w:t>
            </w:r>
            <w:r w:rsidRPr="00D408A2">
              <w:rPr>
                <w:rFonts w:ascii="Cambria" w:hAnsi="Cambria"/>
                <w:i/>
                <w:iCs/>
                <w:color w:val="00B0F0"/>
                <w:sz w:val="20"/>
                <w:szCs w:val="20"/>
                <w:lang w:val="sk-SK"/>
              </w:rPr>
              <w:t>názov produktu a </w:t>
            </w:r>
            <w:r w:rsidR="005D5B99" w:rsidRPr="00D408A2">
              <w:rPr>
                <w:rFonts w:ascii="Cambria" w:hAnsi="Cambria"/>
                <w:i/>
                <w:iCs/>
                <w:color w:val="00B0F0"/>
                <w:sz w:val="20"/>
                <w:szCs w:val="20"/>
                <w:lang w:val="sk-SK"/>
              </w:rPr>
              <w:t>jeho</w:t>
            </w:r>
            <w:r w:rsidRPr="00D408A2">
              <w:rPr>
                <w:rFonts w:ascii="Cambria" w:hAnsi="Cambria"/>
                <w:i/>
                <w:iCs/>
                <w:color w:val="00B0F0"/>
                <w:sz w:val="20"/>
                <w:szCs w:val="20"/>
                <w:lang w:val="sk-SK"/>
              </w:rPr>
              <w:t xml:space="preserve"> popis vyplní uchádzač</w:t>
            </w:r>
            <w:r w:rsidRPr="00105AE2">
              <w:rPr>
                <w:rFonts w:ascii="Cambria" w:hAnsi="Cambria"/>
                <w:i/>
                <w:iCs/>
                <w:sz w:val="20"/>
                <w:szCs w:val="20"/>
                <w:lang w:val="sk-SK"/>
              </w:rPr>
              <w:t xml:space="preserve">&gt; </w:t>
            </w:r>
          </w:p>
        </w:tc>
        <w:tc>
          <w:tcPr>
            <w:tcW w:w="1951" w:type="dxa"/>
            <w:tcBorders>
              <w:top w:val="single" w:sz="6" w:space="0" w:color="000000"/>
              <w:bottom w:val="single" w:sz="6" w:space="0" w:color="000000"/>
            </w:tcBorders>
            <w:shd w:val="clear" w:color="auto" w:fill="auto"/>
            <w:vAlign w:val="center"/>
          </w:tcPr>
          <w:p w14:paraId="52521134" w14:textId="77777777" w:rsidR="002941F6" w:rsidRPr="00D408A2" w:rsidRDefault="002941F6" w:rsidP="00871EAC">
            <w:pPr>
              <w:spacing w:before="60" w:after="60"/>
              <w:jc w:val="center"/>
              <w:rPr>
                <w:rFonts w:ascii="Cambria" w:hAnsi="Cambria" w:cs="Arial"/>
                <w:i/>
                <w:iCs/>
                <w:color w:val="00B0F0"/>
                <w:sz w:val="20"/>
              </w:rPr>
            </w:pPr>
            <w:r w:rsidRPr="00105AE2">
              <w:rPr>
                <w:rFonts w:ascii="Cambria" w:hAnsi="Cambria" w:cs="Arial"/>
                <w:i/>
                <w:iCs/>
                <w:sz w:val="20"/>
              </w:rPr>
              <w:t>&lt;</w:t>
            </w:r>
            <w:r w:rsidRPr="00D408A2">
              <w:rPr>
                <w:rFonts w:ascii="Cambria" w:hAnsi="Cambria" w:cs="Arial"/>
                <w:i/>
                <w:iCs/>
                <w:color w:val="00B0F0"/>
                <w:sz w:val="20"/>
              </w:rPr>
              <w:t>vyplní uchádzač</w:t>
            </w:r>
            <w:r w:rsidRPr="00105AE2">
              <w:rPr>
                <w:rFonts w:ascii="Cambria" w:hAnsi="Cambria" w:cs="Arial"/>
                <w:i/>
                <w:iCs/>
                <w:sz w:val="20"/>
              </w:rPr>
              <w:t>&gt;</w:t>
            </w:r>
          </w:p>
        </w:tc>
      </w:tr>
      <w:tr w:rsidR="00361283" w:rsidRPr="00092BD7" w14:paraId="27B20F04" w14:textId="77777777" w:rsidTr="00DC6E9D">
        <w:trPr>
          <w:trHeight w:val="332"/>
          <w:jc w:val="center"/>
        </w:trPr>
        <w:tc>
          <w:tcPr>
            <w:tcW w:w="1910" w:type="dxa"/>
            <w:tcBorders>
              <w:top w:val="single" w:sz="6" w:space="0" w:color="000000"/>
            </w:tcBorders>
            <w:shd w:val="clear" w:color="auto" w:fill="auto"/>
            <w:noWrap/>
          </w:tcPr>
          <w:p w14:paraId="35022B22" w14:textId="43C5B742" w:rsidR="00361283" w:rsidRPr="00092BD7" w:rsidRDefault="00B10202" w:rsidP="00505859">
            <w:pPr>
              <w:jc w:val="both"/>
              <w:rPr>
                <w:rFonts w:ascii="Cambria" w:hAnsi="Cambria" w:cs="Arial"/>
                <w:b/>
                <w:bCs/>
                <w:sz w:val="20"/>
              </w:rPr>
            </w:pPr>
            <w:r>
              <w:rPr>
                <w:rFonts w:ascii="Cambria" w:hAnsi="Cambria" w:cs="Arial"/>
                <w:b/>
                <w:bCs/>
                <w:sz w:val="20"/>
              </w:rPr>
              <w:t>CCLDL</w:t>
            </w:r>
          </w:p>
        </w:tc>
        <w:tc>
          <w:tcPr>
            <w:tcW w:w="5215" w:type="dxa"/>
            <w:tcBorders>
              <w:top w:val="single" w:sz="6" w:space="0" w:color="000000"/>
            </w:tcBorders>
            <w:shd w:val="clear" w:color="auto" w:fill="auto"/>
          </w:tcPr>
          <w:p w14:paraId="67625D32" w14:textId="4EA99012" w:rsidR="00361283" w:rsidRPr="00092BD7" w:rsidRDefault="00361283" w:rsidP="003D31AF">
            <w:pPr>
              <w:pStyle w:val="xl27"/>
              <w:spacing w:before="0" w:beforeAutospacing="0" w:after="0" w:afterAutospacing="0"/>
              <w:jc w:val="both"/>
              <w:rPr>
                <w:rFonts w:ascii="Cambria" w:hAnsi="Cambria"/>
                <w:i/>
                <w:iCs/>
                <w:sz w:val="20"/>
                <w:szCs w:val="20"/>
                <w:lang w:val="sk-SK"/>
              </w:rPr>
            </w:pPr>
            <w:r w:rsidRPr="00092BD7">
              <w:rPr>
                <w:rFonts w:ascii="Cambria" w:hAnsi="Cambria"/>
                <w:bCs w:val="0"/>
                <w:sz w:val="20"/>
                <w:szCs w:val="20"/>
                <w:lang w:val="sk-SK"/>
              </w:rPr>
              <w:t>Celková cena</w:t>
            </w:r>
            <w:r w:rsidR="004524F4">
              <w:rPr>
                <w:rFonts w:ascii="Cambria" w:hAnsi="Cambria"/>
                <w:bCs w:val="0"/>
                <w:sz w:val="20"/>
                <w:szCs w:val="20"/>
                <w:lang w:val="sk-SK"/>
              </w:rPr>
              <w:t xml:space="preserve"> za</w:t>
            </w:r>
            <w:r w:rsidR="00770556">
              <w:rPr>
                <w:rFonts w:ascii="Cambria" w:hAnsi="Cambria"/>
                <w:bCs w:val="0"/>
                <w:sz w:val="20"/>
                <w:szCs w:val="20"/>
                <w:lang w:val="sk-SK"/>
              </w:rPr>
              <w:t xml:space="preserve"> </w:t>
            </w:r>
            <w:r w:rsidR="004524F4">
              <w:rPr>
                <w:rFonts w:ascii="Cambria" w:hAnsi="Cambria"/>
                <w:bCs w:val="0"/>
                <w:sz w:val="20"/>
                <w:szCs w:val="20"/>
                <w:lang w:val="sk-SK"/>
              </w:rPr>
              <w:t>p</w:t>
            </w:r>
            <w:r w:rsidR="00E36F36">
              <w:rPr>
                <w:rFonts w:ascii="Cambria" w:hAnsi="Cambria"/>
                <w:bCs w:val="0"/>
                <w:sz w:val="20"/>
                <w:szCs w:val="20"/>
                <w:lang w:val="sk-SK"/>
              </w:rPr>
              <w:t>rodukt</w:t>
            </w:r>
            <w:r w:rsidR="00235617">
              <w:rPr>
                <w:rFonts w:ascii="Cambria" w:hAnsi="Cambria"/>
                <w:bCs w:val="0"/>
                <w:sz w:val="20"/>
                <w:szCs w:val="20"/>
                <w:lang w:val="sk-SK"/>
              </w:rPr>
              <w:t>y</w:t>
            </w:r>
            <w:r w:rsidR="00E36F36">
              <w:rPr>
                <w:rFonts w:ascii="Cambria" w:hAnsi="Cambria"/>
                <w:bCs w:val="0"/>
                <w:sz w:val="20"/>
                <w:szCs w:val="20"/>
                <w:lang w:val="sk-SK"/>
              </w:rPr>
              <w:t xml:space="preserve"> –</w:t>
            </w:r>
            <w:r w:rsidR="001A792B">
              <w:rPr>
                <w:rFonts w:ascii="Cambria" w:hAnsi="Cambria"/>
                <w:bCs w:val="0"/>
                <w:sz w:val="20"/>
                <w:szCs w:val="20"/>
                <w:lang w:val="sk-SK"/>
              </w:rPr>
              <w:t xml:space="preserve"> </w:t>
            </w:r>
            <w:r w:rsidR="00235617">
              <w:rPr>
                <w:rFonts w:ascii="Cambria" w:hAnsi="Cambria"/>
                <w:bCs w:val="0"/>
                <w:sz w:val="20"/>
                <w:szCs w:val="20"/>
                <w:lang w:val="sk-SK"/>
              </w:rPr>
              <w:t>subscription (</w:t>
            </w:r>
            <w:r w:rsidR="00E36F36">
              <w:rPr>
                <w:rFonts w:ascii="Cambria" w:hAnsi="Cambria"/>
                <w:bCs w:val="0"/>
                <w:sz w:val="20"/>
                <w:szCs w:val="20"/>
                <w:lang w:val="sk-SK"/>
              </w:rPr>
              <w:t>predplatné</w:t>
            </w:r>
            <w:r w:rsidR="00235617">
              <w:rPr>
                <w:rFonts w:ascii="Cambria" w:hAnsi="Cambria"/>
                <w:bCs w:val="0"/>
                <w:sz w:val="20"/>
                <w:szCs w:val="20"/>
                <w:lang w:val="sk-SK"/>
              </w:rPr>
              <w:t>)</w:t>
            </w:r>
            <w:r w:rsidR="00E36F36">
              <w:rPr>
                <w:rFonts w:ascii="Cambria" w:hAnsi="Cambria"/>
                <w:bCs w:val="0"/>
                <w:sz w:val="20"/>
                <w:szCs w:val="20"/>
                <w:lang w:val="sk-SK"/>
              </w:rPr>
              <w:t xml:space="preserve"> </w:t>
            </w:r>
            <w:r w:rsidR="00DE17A5">
              <w:rPr>
                <w:rFonts w:ascii="Cambria" w:hAnsi="Cambria"/>
                <w:bCs w:val="0"/>
                <w:sz w:val="20"/>
                <w:szCs w:val="20"/>
                <w:lang w:val="sk-SK"/>
              </w:rPr>
              <w:t>n</w:t>
            </w:r>
            <w:r w:rsidR="007C5922">
              <w:rPr>
                <w:rFonts w:ascii="Cambria" w:hAnsi="Cambria"/>
                <w:bCs w:val="0"/>
                <w:sz w:val="20"/>
                <w:szCs w:val="20"/>
                <w:lang w:val="sk-SK"/>
              </w:rPr>
              <w:t xml:space="preserve">a DataLake </w:t>
            </w:r>
            <w:r w:rsidRPr="00092BD7">
              <w:rPr>
                <w:rFonts w:ascii="Cambria" w:hAnsi="Cambria"/>
                <w:bCs w:val="0"/>
                <w:sz w:val="20"/>
                <w:szCs w:val="20"/>
                <w:lang w:val="sk-SK"/>
              </w:rPr>
              <w:t xml:space="preserve"> </w:t>
            </w:r>
          </w:p>
        </w:tc>
        <w:tc>
          <w:tcPr>
            <w:tcW w:w="1951" w:type="dxa"/>
            <w:tcBorders>
              <w:top w:val="single" w:sz="6" w:space="0" w:color="000000"/>
              <w:bottom w:val="single" w:sz="12" w:space="0" w:color="000000"/>
            </w:tcBorders>
            <w:shd w:val="clear" w:color="auto" w:fill="auto"/>
          </w:tcPr>
          <w:p w14:paraId="439E3708" w14:textId="77777777" w:rsidR="00361283" w:rsidRPr="00092BD7" w:rsidRDefault="00361283" w:rsidP="00D13BD1">
            <w:pPr>
              <w:jc w:val="center"/>
              <w:rPr>
                <w:rFonts w:ascii="Cambria" w:hAnsi="Cambria" w:cs="Arial"/>
                <w:b/>
                <w:i/>
                <w:iCs/>
                <w:sz w:val="20"/>
              </w:rPr>
            </w:pPr>
            <w:r w:rsidRPr="00092BD7">
              <w:rPr>
                <w:rFonts w:ascii="Cambria" w:hAnsi="Cambria" w:cs="Arial"/>
                <w:b/>
                <w:i/>
                <w:iCs/>
                <w:sz w:val="20"/>
              </w:rPr>
              <w:t>&lt;</w:t>
            </w:r>
            <w:r w:rsidRPr="0062512F">
              <w:rPr>
                <w:rFonts w:ascii="Cambria" w:hAnsi="Cambria" w:cs="Arial"/>
                <w:b/>
                <w:i/>
                <w:iCs/>
                <w:color w:val="00B0F0"/>
                <w:sz w:val="20"/>
              </w:rPr>
              <w:t>vyplní uchádzač</w:t>
            </w:r>
            <w:r w:rsidRPr="00092BD7">
              <w:rPr>
                <w:rFonts w:ascii="Cambria" w:hAnsi="Cambria" w:cs="Arial"/>
                <w:b/>
                <w:i/>
                <w:iCs/>
                <w:sz w:val="20"/>
              </w:rPr>
              <w:t>&gt;</w:t>
            </w:r>
          </w:p>
        </w:tc>
      </w:tr>
    </w:tbl>
    <w:p w14:paraId="2616E8C7" w14:textId="06D4E5E4" w:rsidR="001C20FD" w:rsidRPr="00324759" w:rsidRDefault="00BD07C2" w:rsidP="006C144D">
      <w:pPr>
        <w:rPr>
          <w:rFonts w:ascii="Cambria" w:hAnsi="Cambria" w:cs="Arial"/>
          <w:b/>
          <w:bCs/>
          <w:sz w:val="22"/>
          <w:szCs w:val="22"/>
        </w:rPr>
      </w:pPr>
      <w:r>
        <w:rPr>
          <w:rFonts w:ascii="Cambria" w:hAnsi="Cambria" w:cs="Arial"/>
          <w:i/>
          <w:sz w:val="22"/>
          <w:szCs w:val="22"/>
        </w:rPr>
        <w:br w:type="page"/>
      </w:r>
      <w:r w:rsidR="001C20FD" w:rsidRPr="00324759">
        <w:rPr>
          <w:rFonts w:ascii="Cambria" w:hAnsi="Cambria" w:cs="Arial"/>
          <w:b/>
          <w:bCs/>
          <w:sz w:val="22"/>
          <w:szCs w:val="22"/>
        </w:rPr>
        <w:lastRenderedPageBreak/>
        <w:t xml:space="preserve">TABUĽKA č. </w:t>
      </w:r>
      <w:r w:rsidR="001C20FD">
        <w:rPr>
          <w:rFonts w:ascii="Cambria" w:hAnsi="Cambria" w:cs="Arial"/>
          <w:b/>
          <w:bCs/>
          <w:sz w:val="22"/>
          <w:szCs w:val="22"/>
        </w:rPr>
        <w:t>3</w:t>
      </w:r>
      <w:r w:rsidR="001C20FD" w:rsidRPr="00324759">
        <w:rPr>
          <w:rFonts w:ascii="Cambria" w:hAnsi="Cambria" w:cs="Arial"/>
          <w:b/>
          <w:bCs/>
          <w:sz w:val="22"/>
          <w:szCs w:val="22"/>
        </w:rPr>
        <w:t xml:space="preserve"> Cena za </w:t>
      </w:r>
      <w:r w:rsidR="00E95A89">
        <w:rPr>
          <w:rFonts w:ascii="Cambria" w:hAnsi="Cambria" w:cs="Arial"/>
          <w:b/>
          <w:bCs/>
          <w:sz w:val="22"/>
          <w:szCs w:val="22"/>
        </w:rPr>
        <w:t>ďalšie</w:t>
      </w:r>
      <w:r w:rsidR="00FA042C">
        <w:rPr>
          <w:rFonts w:ascii="Cambria" w:hAnsi="Cambria" w:cs="Arial"/>
          <w:b/>
          <w:bCs/>
          <w:sz w:val="22"/>
          <w:szCs w:val="22"/>
        </w:rPr>
        <w:t xml:space="preserve"> licencie pre</w:t>
      </w:r>
      <w:r w:rsidR="00EC3E37">
        <w:rPr>
          <w:rFonts w:ascii="Cambria" w:hAnsi="Cambria" w:cs="Arial"/>
          <w:b/>
          <w:bCs/>
          <w:sz w:val="22"/>
          <w:szCs w:val="22"/>
        </w:rPr>
        <w:t> </w:t>
      </w:r>
      <w:r w:rsidR="00FA042C">
        <w:rPr>
          <w:rFonts w:ascii="Cambria" w:hAnsi="Cambria" w:cs="Arial"/>
          <w:b/>
          <w:bCs/>
          <w:sz w:val="22"/>
          <w:szCs w:val="22"/>
        </w:rPr>
        <w:t>SW</w:t>
      </w:r>
      <w:r w:rsidR="00EC3E37">
        <w:rPr>
          <w:rFonts w:ascii="Cambria" w:hAnsi="Cambria" w:cs="Arial"/>
          <w:b/>
          <w:bCs/>
          <w:sz w:val="22"/>
          <w:szCs w:val="22"/>
        </w:rPr>
        <w:t xml:space="preserve"> </w:t>
      </w:r>
    </w:p>
    <w:tbl>
      <w:tblPr>
        <w:tblW w:w="907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10"/>
        <w:gridCol w:w="2232"/>
        <w:gridCol w:w="2983"/>
        <w:gridCol w:w="1951"/>
      </w:tblGrid>
      <w:tr w:rsidR="00201D0B" w:rsidRPr="00092BD7" w14:paraId="0EE8F2AF" w14:textId="77777777" w:rsidTr="00505859">
        <w:trPr>
          <w:trHeight w:val="503"/>
          <w:jc w:val="center"/>
        </w:trPr>
        <w:tc>
          <w:tcPr>
            <w:tcW w:w="1910" w:type="dxa"/>
            <w:tcBorders>
              <w:top w:val="single" w:sz="12" w:space="0" w:color="000000"/>
              <w:bottom w:val="single" w:sz="6" w:space="0" w:color="000000"/>
            </w:tcBorders>
            <w:shd w:val="clear" w:color="auto" w:fill="D0CECE" w:themeFill="background2" w:themeFillShade="E6"/>
            <w:noWrap/>
            <w:vAlign w:val="center"/>
          </w:tcPr>
          <w:p w14:paraId="3BF947AF" w14:textId="77777777" w:rsidR="00201D0B" w:rsidRPr="00092BD7" w:rsidRDefault="00201D0B" w:rsidP="00505859">
            <w:pPr>
              <w:jc w:val="center"/>
              <w:rPr>
                <w:rFonts w:ascii="Cambria" w:hAnsi="Cambria" w:cs="Arial"/>
                <w:b/>
                <w:bCs/>
                <w:sz w:val="20"/>
              </w:rPr>
            </w:pPr>
            <w:r w:rsidRPr="00092BD7">
              <w:rPr>
                <w:rFonts w:ascii="Cambria" w:hAnsi="Cambria" w:cs="Arial"/>
                <w:b/>
                <w:bCs/>
                <w:sz w:val="20"/>
              </w:rPr>
              <w:t>Položka</w:t>
            </w:r>
          </w:p>
        </w:tc>
        <w:tc>
          <w:tcPr>
            <w:tcW w:w="2232" w:type="dxa"/>
            <w:tcBorders>
              <w:top w:val="single" w:sz="12" w:space="0" w:color="000000"/>
              <w:bottom w:val="single" w:sz="6" w:space="0" w:color="000000"/>
            </w:tcBorders>
            <w:shd w:val="clear" w:color="auto" w:fill="D0CECE" w:themeFill="background2" w:themeFillShade="E6"/>
            <w:vAlign w:val="center"/>
          </w:tcPr>
          <w:p w14:paraId="653FDA71" w14:textId="66F16B98" w:rsidR="00201D0B" w:rsidRPr="00092BD7" w:rsidRDefault="000E0B6E" w:rsidP="00505859">
            <w:pPr>
              <w:jc w:val="center"/>
              <w:rPr>
                <w:rFonts w:ascii="Cambria" w:hAnsi="Cambria" w:cs="Arial"/>
                <w:b/>
                <w:bCs/>
                <w:sz w:val="20"/>
              </w:rPr>
            </w:pPr>
            <w:r w:rsidRPr="00092BD7">
              <w:rPr>
                <w:rFonts w:ascii="Cambria" w:hAnsi="Cambria" w:cs="Arial"/>
                <w:b/>
                <w:bCs/>
                <w:sz w:val="20"/>
              </w:rPr>
              <w:t>Názov licencie s popisom</w:t>
            </w:r>
            <w:r>
              <w:rPr>
                <w:rFonts w:ascii="Cambria" w:hAnsi="Cambria" w:cs="Arial"/>
                <w:b/>
                <w:bCs/>
                <w:sz w:val="20"/>
              </w:rPr>
              <w:t xml:space="preserve"> </w:t>
            </w:r>
          </w:p>
        </w:tc>
        <w:tc>
          <w:tcPr>
            <w:tcW w:w="2983" w:type="dxa"/>
            <w:tcBorders>
              <w:top w:val="single" w:sz="12" w:space="0" w:color="000000"/>
              <w:bottom w:val="single" w:sz="6" w:space="0" w:color="000000"/>
            </w:tcBorders>
            <w:shd w:val="clear" w:color="auto" w:fill="D0CECE" w:themeFill="background2" w:themeFillShade="E6"/>
            <w:vAlign w:val="center"/>
          </w:tcPr>
          <w:p w14:paraId="5DAC0108" w14:textId="2877CE56" w:rsidR="00201D0B" w:rsidRPr="00092BD7" w:rsidRDefault="000E0B6E" w:rsidP="00505859">
            <w:pPr>
              <w:jc w:val="center"/>
              <w:rPr>
                <w:rFonts w:ascii="Cambria" w:hAnsi="Cambria" w:cs="Arial"/>
                <w:b/>
                <w:bCs/>
                <w:sz w:val="20"/>
              </w:rPr>
            </w:pPr>
            <w:r>
              <w:rPr>
                <w:rFonts w:ascii="Cambria" w:hAnsi="Cambria" w:cs="Arial"/>
                <w:b/>
                <w:bCs/>
                <w:sz w:val="20"/>
              </w:rPr>
              <w:t>Počet licencií</w:t>
            </w:r>
          </w:p>
        </w:tc>
        <w:tc>
          <w:tcPr>
            <w:tcW w:w="1951" w:type="dxa"/>
            <w:tcBorders>
              <w:top w:val="single" w:sz="12" w:space="0" w:color="000000"/>
              <w:bottom w:val="single" w:sz="6" w:space="0" w:color="000000"/>
            </w:tcBorders>
            <w:shd w:val="clear" w:color="auto" w:fill="D0CECE" w:themeFill="background2" w:themeFillShade="E6"/>
            <w:vAlign w:val="center"/>
          </w:tcPr>
          <w:p w14:paraId="2AB083E6" w14:textId="77777777" w:rsidR="00201D0B" w:rsidRPr="00092BD7" w:rsidRDefault="00201D0B" w:rsidP="00505859">
            <w:pPr>
              <w:jc w:val="center"/>
              <w:rPr>
                <w:rFonts w:ascii="Cambria" w:hAnsi="Cambria" w:cs="Arial"/>
                <w:b/>
                <w:bCs/>
                <w:sz w:val="20"/>
              </w:rPr>
            </w:pPr>
            <w:r w:rsidRPr="00092BD7">
              <w:rPr>
                <w:rFonts w:ascii="Cambria" w:hAnsi="Cambria" w:cs="Arial"/>
                <w:b/>
                <w:bCs/>
                <w:sz w:val="20"/>
              </w:rPr>
              <w:t>Cena v EUR bez DPH jedného  kusu licencie</w:t>
            </w:r>
          </w:p>
          <w:p w14:paraId="50C0C8EC" w14:textId="507F627C" w:rsidR="00201D0B" w:rsidRPr="00092BD7" w:rsidRDefault="00201D0B" w:rsidP="00505859">
            <w:pPr>
              <w:jc w:val="center"/>
              <w:rPr>
                <w:rFonts w:ascii="Cambria" w:hAnsi="Cambria" w:cs="Arial"/>
                <w:b/>
                <w:bCs/>
                <w:sz w:val="20"/>
              </w:rPr>
            </w:pPr>
            <w:r w:rsidRPr="00092BD7">
              <w:rPr>
                <w:rFonts w:ascii="Cambria" w:hAnsi="Cambria" w:cs="Arial"/>
                <w:b/>
                <w:bCs/>
                <w:sz w:val="20"/>
              </w:rPr>
              <w:t xml:space="preserve"> </w:t>
            </w:r>
          </w:p>
        </w:tc>
      </w:tr>
      <w:tr w:rsidR="00A1443A" w:rsidRPr="00092BD7" w14:paraId="298935E2" w14:textId="77777777" w:rsidTr="00680508">
        <w:trPr>
          <w:trHeight w:val="196"/>
          <w:jc w:val="center"/>
        </w:trPr>
        <w:tc>
          <w:tcPr>
            <w:tcW w:w="1910" w:type="dxa"/>
            <w:vMerge w:val="restart"/>
            <w:tcBorders>
              <w:top w:val="single" w:sz="6" w:space="0" w:color="000000"/>
            </w:tcBorders>
            <w:shd w:val="clear" w:color="auto" w:fill="auto"/>
            <w:noWrap/>
            <w:vAlign w:val="center"/>
          </w:tcPr>
          <w:p w14:paraId="7D8C1868" w14:textId="47E04703" w:rsidR="00A1443A" w:rsidRPr="00092BD7" w:rsidRDefault="00A1443A" w:rsidP="00505859">
            <w:pPr>
              <w:ind w:left="57"/>
              <w:jc w:val="center"/>
              <w:rPr>
                <w:rFonts w:ascii="Cambria" w:hAnsi="Cambria" w:cs="Arial"/>
                <w:sz w:val="20"/>
              </w:rPr>
            </w:pPr>
            <w:r>
              <w:rPr>
                <w:rFonts w:ascii="Cambria" w:hAnsi="Cambria" w:cs="Arial"/>
                <w:bCs/>
                <w:sz w:val="20"/>
              </w:rPr>
              <w:t>Ďalšie licencie pre SW (DL) s podporou výrobcu na 3 roky</w:t>
            </w:r>
          </w:p>
        </w:tc>
        <w:tc>
          <w:tcPr>
            <w:tcW w:w="2232" w:type="dxa"/>
            <w:tcBorders>
              <w:top w:val="single" w:sz="6" w:space="0" w:color="000000"/>
              <w:bottom w:val="single" w:sz="6" w:space="0" w:color="000000"/>
            </w:tcBorders>
            <w:shd w:val="clear" w:color="auto" w:fill="auto"/>
            <w:noWrap/>
            <w:vAlign w:val="center"/>
          </w:tcPr>
          <w:p w14:paraId="0291552E" w14:textId="03A7E3D3" w:rsidR="00A1443A" w:rsidRPr="00092BD7" w:rsidRDefault="000E0B6E" w:rsidP="00505859">
            <w:pPr>
              <w:pStyle w:val="Textbubliny1"/>
              <w:jc w:val="center"/>
              <w:rPr>
                <w:rFonts w:ascii="Cambria" w:hAnsi="Cambria" w:cs="Arial"/>
                <w:sz w:val="20"/>
                <w:szCs w:val="20"/>
              </w:rPr>
            </w:pPr>
            <w:r w:rsidRPr="00092BD7">
              <w:rPr>
                <w:rFonts w:ascii="Cambria" w:hAnsi="Cambria"/>
                <w:sz w:val="20"/>
                <w:szCs w:val="20"/>
              </w:rPr>
              <w:t>&lt;</w:t>
            </w:r>
            <w:r w:rsidRPr="00105AE2">
              <w:rPr>
                <w:rFonts w:ascii="Cambria" w:hAnsi="Cambria"/>
                <w:color w:val="00B0F0"/>
                <w:sz w:val="20"/>
                <w:szCs w:val="20"/>
              </w:rPr>
              <w:t>názov licencie a jej popis vyplní uchádzač</w:t>
            </w:r>
            <w:r w:rsidRPr="00092BD7">
              <w:rPr>
                <w:rFonts w:ascii="Cambria" w:hAnsi="Cambria"/>
                <w:sz w:val="20"/>
                <w:szCs w:val="20"/>
              </w:rPr>
              <w:t xml:space="preserve">&gt; </w:t>
            </w:r>
          </w:p>
        </w:tc>
        <w:tc>
          <w:tcPr>
            <w:tcW w:w="2983" w:type="dxa"/>
            <w:tcBorders>
              <w:top w:val="single" w:sz="6" w:space="0" w:color="000000"/>
              <w:bottom w:val="single" w:sz="6" w:space="0" w:color="000000"/>
            </w:tcBorders>
            <w:shd w:val="clear" w:color="auto" w:fill="auto"/>
            <w:vAlign w:val="center"/>
          </w:tcPr>
          <w:p w14:paraId="1C7D81E1" w14:textId="3EE1F017" w:rsidR="00A1443A" w:rsidRPr="00CC36C9" w:rsidRDefault="000E0B6E" w:rsidP="00505859">
            <w:pPr>
              <w:pStyle w:val="xl32"/>
              <w:spacing w:before="60" w:beforeAutospacing="0" w:after="60" w:afterAutospacing="0"/>
              <w:rPr>
                <w:rFonts w:ascii="Cambria" w:hAnsi="Cambria"/>
                <w:sz w:val="20"/>
                <w:szCs w:val="20"/>
                <w:lang w:val="sk-SK"/>
              </w:rPr>
            </w:pPr>
            <w:r w:rsidRPr="00CC36C9">
              <w:rPr>
                <w:rFonts w:ascii="Cambria" w:hAnsi="Cambria"/>
                <w:i/>
                <w:iCs/>
                <w:color w:val="000000"/>
                <w:sz w:val="20"/>
                <w:lang w:val="sk-SK"/>
              </w:rPr>
              <w:t>&lt;</w:t>
            </w:r>
            <w:r w:rsidRPr="00CC36C9">
              <w:rPr>
                <w:rFonts w:ascii="Cambria" w:hAnsi="Cambria"/>
                <w:i/>
                <w:iCs/>
                <w:color w:val="00B0F0"/>
                <w:sz w:val="20"/>
                <w:lang w:val="sk-SK"/>
              </w:rPr>
              <w:t>vyplní uchádzač</w:t>
            </w:r>
            <w:r w:rsidRPr="00CC36C9">
              <w:rPr>
                <w:rFonts w:ascii="Cambria" w:hAnsi="Cambria"/>
                <w:i/>
                <w:iCs/>
                <w:color w:val="000000"/>
                <w:sz w:val="20"/>
                <w:lang w:val="sk-SK"/>
              </w:rPr>
              <w:t>&gt;</w:t>
            </w:r>
          </w:p>
        </w:tc>
        <w:tc>
          <w:tcPr>
            <w:tcW w:w="1951" w:type="dxa"/>
            <w:tcBorders>
              <w:top w:val="single" w:sz="6" w:space="0" w:color="000000"/>
              <w:bottom w:val="single" w:sz="6" w:space="0" w:color="000000"/>
            </w:tcBorders>
            <w:shd w:val="clear" w:color="auto" w:fill="auto"/>
            <w:vAlign w:val="center"/>
          </w:tcPr>
          <w:p w14:paraId="15EC691D" w14:textId="77777777" w:rsidR="00A1443A" w:rsidRPr="00871EAC" w:rsidRDefault="00A1443A" w:rsidP="00505859">
            <w:pPr>
              <w:spacing w:before="60" w:after="60"/>
              <w:jc w:val="center"/>
              <w:rPr>
                <w:rFonts w:ascii="Cambria" w:hAnsi="Cambria" w:cs="Arial"/>
                <w:i/>
                <w:iCs/>
                <w:color w:val="000000"/>
                <w:sz w:val="20"/>
              </w:rPr>
            </w:pPr>
            <w:r w:rsidRPr="00871EAC">
              <w:rPr>
                <w:rFonts w:ascii="Cambria" w:hAnsi="Cambria" w:cs="Arial"/>
                <w:i/>
                <w:iCs/>
                <w:color w:val="000000"/>
                <w:sz w:val="20"/>
              </w:rPr>
              <w:t>&lt;</w:t>
            </w:r>
            <w:r w:rsidRPr="00105AE2">
              <w:rPr>
                <w:rFonts w:ascii="Cambria" w:hAnsi="Cambria" w:cs="Arial"/>
                <w:i/>
                <w:iCs/>
                <w:color w:val="00B0F0"/>
                <w:sz w:val="20"/>
              </w:rPr>
              <w:t>vyplní uchádzač</w:t>
            </w:r>
            <w:r w:rsidRPr="00871EAC">
              <w:rPr>
                <w:rFonts w:ascii="Cambria" w:hAnsi="Cambria" w:cs="Arial"/>
                <w:i/>
                <w:iCs/>
                <w:color w:val="000000"/>
                <w:sz w:val="20"/>
              </w:rPr>
              <w:t>&gt;</w:t>
            </w:r>
          </w:p>
        </w:tc>
      </w:tr>
      <w:tr w:rsidR="00A1443A" w:rsidRPr="00092BD7" w14:paraId="1B8DA5DD" w14:textId="77777777" w:rsidTr="00680508">
        <w:trPr>
          <w:trHeight w:val="196"/>
          <w:jc w:val="center"/>
        </w:trPr>
        <w:tc>
          <w:tcPr>
            <w:tcW w:w="1910" w:type="dxa"/>
            <w:vMerge/>
            <w:tcBorders>
              <w:bottom w:val="single" w:sz="6" w:space="0" w:color="000000"/>
            </w:tcBorders>
            <w:shd w:val="clear" w:color="auto" w:fill="auto"/>
            <w:noWrap/>
            <w:vAlign w:val="center"/>
          </w:tcPr>
          <w:p w14:paraId="794B19D8" w14:textId="77777777" w:rsidR="00A1443A" w:rsidRDefault="00A1443A" w:rsidP="00505859">
            <w:pPr>
              <w:ind w:left="57"/>
              <w:jc w:val="center"/>
              <w:rPr>
                <w:rFonts w:ascii="Cambria" w:hAnsi="Cambria" w:cs="Arial"/>
                <w:bCs/>
                <w:sz w:val="20"/>
              </w:rPr>
            </w:pPr>
          </w:p>
        </w:tc>
        <w:tc>
          <w:tcPr>
            <w:tcW w:w="2232" w:type="dxa"/>
            <w:tcBorders>
              <w:top w:val="single" w:sz="6" w:space="0" w:color="000000"/>
              <w:bottom w:val="single" w:sz="6" w:space="0" w:color="000000"/>
            </w:tcBorders>
            <w:shd w:val="clear" w:color="auto" w:fill="auto"/>
            <w:noWrap/>
            <w:vAlign w:val="center"/>
          </w:tcPr>
          <w:p w14:paraId="512B7EC2" w14:textId="7FCE6DCE" w:rsidR="00A1443A" w:rsidRPr="00487F74" w:rsidRDefault="00A1443A" w:rsidP="00505859">
            <w:pPr>
              <w:pStyle w:val="Textbubliny1"/>
              <w:jc w:val="center"/>
              <w:rPr>
                <w:rFonts w:ascii="Cambria" w:hAnsi="Cambria" w:cs="Arial"/>
                <w:i/>
                <w:iCs/>
                <w:color w:val="00B0F0"/>
                <w:sz w:val="20"/>
              </w:rPr>
            </w:pPr>
            <w:r w:rsidRPr="00487F74">
              <w:rPr>
                <w:rFonts w:ascii="Cambria" w:hAnsi="Cambria" w:cs="Arial"/>
                <w:i/>
                <w:iCs/>
                <w:color w:val="00B0F0"/>
                <w:sz w:val="20"/>
              </w:rPr>
              <w:t>...</w:t>
            </w:r>
          </w:p>
        </w:tc>
        <w:tc>
          <w:tcPr>
            <w:tcW w:w="2983" w:type="dxa"/>
            <w:tcBorders>
              <w:top w:val="single" w:sz="6" w:space="0" w:color="000000"/>
              <w:bottom w:val="single" w:sz="6" w:space="0" w:color="000000"/>
            </w:tcBorders>
            <w:shd w:val="clear" w:color="auto" w:fill="auto"/>
            <w:vAlign w:val="center"/>
          </w:tcPr>
          <w:p w14:paraId="0CAACC18" w14:textId="75D9EBB0" w:rsidR="00A1443A" w:rsidRPr="00487F74" w:rsidRDefault="00A1443A" w:rsidP="00505859">
            <w:pPr>
              <w:pStyle w:val="xl32"/>
              <w:spacing w:before="60" w:beforeAutospacing="0" w:after="60" w:afterAutospacing="0"/>
              <w:rPr>
                <w:rFonts w:ascii="Cambria" w:hAnsi="Cambria"/>
                <w:color w:val="00B0F0"/>
                <w:sz w:val="20"/>
                <w:szCs w:val="20"/>
                <w:lang w:val="sk-SK"/>
              </w:rPr>
            </w:pPr>
            <w:r w:rsidRPr="00487F74">
              <w:rPr>
                <w:rFonts w:ascii="Cambria" w:hAnsi="Cambria"/>
                <w:color w:val="00B0F0"/>
                <w:sz w:val="20"/>
                <w:szCs w:val="20"/>
                <w:lang w:val="sk-SK"/>
              </w:rPr>
              <w:t>...</w:t>
            </w:r>
          </w:p>
        </w:tc>
        <w:tc>
          <w:tcPr>
            <w:tcW w:w="1951" w:type="dxa"/>
            <w:tcBorders>
              <w:top w:val="single" w:sz="6" w:space="0" w:color="000000"/>
              <w:bottom w:val="single" w:sz="6" w:space="0" w:color="000000"/>
            </w:tcBorders>
            <w:shd w:val="clear" w:color="auto" w:fill="auto"/>
            <w:vAlign w:val="center"/>
          </w:tcPr>
          <w:p w14:paraId="0F64729D" w14:textId="66EE8870" w:rsidR="00A1443A" w:rsidRPr="00487F74" w:rsidRDefault="00A1443A" w:rsidP="00505859">
            <w:pPr>
              <w:spacing w:before="60" w:after="60"/>
              <w:jc w:val="center"/>
              <w:rPr>
                <w:rFonts w:ascii="Cambria" w:hAnsi="Cambria" w:cs="Arial"/>
                <w:i/>
                <w:iCs/>
                <w:color w:val="00B0F0"/>
                <w:sz w:val="20"/>
              </w:rPr>
            </w:pPr>
            <w:r w:rsidRPr="00487F74">
              <w:rPr>
                <w:rFonts w:ascii="Cambria" w:hAnsi="Cambria" w:cs="Arial"/>
                <w:i/>
                <w:iCs/>
                <w:color w:val="00B0F0"/>
                <w:sz w:val="20"/>
              </w:rPr>
              <w:t>...</w:t>
            </w:r>
          </w:p>
        </w:tc>
      </w:tr>
      <w:tr w:rsidR="00201D0B" w:rsidRPr="00092BD7" w14:paraId="7639D767" w14:textId="77777777" w:rsidTr="00505859">
        <w:trPr>
          <w:trHeight w:val="476"/>
          <w:jc w:val="center"/>
        </w:trPr>
        <w:tc>
          <w:tcPr>
            <w:tcW w:w="1910" w:type="dxa"/>
            <w:tcBorders>
              <w:top w:val="single" w:sz="6" w:space="0" w:color="000000"/>
            </w:tcBorders>
            <w:shd w:val="clear" w:color="auto" w:fill="auto"/>
            <w:noWrap/>
          </w:tcPr>
          <w:p w14:paraId="23CC07A8" w14:textId="47FE0545" w:rsidR="00201D0B" w:rsidRPr="00092BD7" w:rsidRDefault="00435890" w:rsidP="00505859">
            <w:pPr>
              <w:jc w:val="both"/>
              <w:rPr>
                <w:rFonts w:ascii="Cambria" w:hAnsi="Cambria" w:cs="Arial"/>
                <w:b/>
                <w:bCs/>
                <w:sz w:val="20"/>
              </w:rPr>
            </w:pPr>
            <w:r>
              <w:rPr>
                <w:rFonts w:ascii="Cambria" w:hAnsi="Cambria" w:cs="Arial"/>
                <w:b/>
                <w:bCs/>
                <w:sz w:val="20"/>
              </w:rPr>
              <w:t>CCDL</w:t>
            </w:r>
          </w:p>
        </w:tc>
        <w:tc>
          <w:tcPr>
            <w:tcW w:w="5215" w:type="dxa"/>
            <w:gridSpan w:val="2"/>
            <w:tcBorders>
              <w:top w:val="single" w:sz="6" w:space="0" w:color="000000"/>
            </w:tcBorders>
            <w:shd w:val="clear" w:color="auto" w:fill="auto"/>
          </w:tcPr>
          <w:p w14:paraId="654E782B" w14:textId="4A956F44" w:rsidR="00201D0B" w:rsidRPr="00092BD7" w:rsidRDefault="00201D0B" w:rsidP="00505859">
            <w:pPr>
              <w:pStyle w:val="xl27"/>
              <w:spacing w:before="0" w:beforeAutospacing="0" w:after="0" w:afterAutospacing="0"/>
              <w:jc w:val="both"/>
              <w:rPr>
                <w:rFonts w:ascii="Cambria" w:hAnsi="Cambria"/>
                <w:bCs w:val="0"/>
                <w:sz w:val="20"/>
                <w:szCs w:val="20"/>
                <w:lang w:val="sk-SK"/>
              </w:rPr>
            </w:pPr>
            <w:r w:rsidRPr="00092BD7">
              <w:rPr>
                <w:rFonts w:ascii="Cambria" w:hAnsi="Cambria"/>
                <w:bCs w:val="0"/>
                <w:sz w:val="20"/>
                <w:szCs w:val="20"/>
                <w:lang w:val="sk-SK"/>
              </w:rPr>
              <w:t xml:space="preserve">Celková cena </w:t>
            </w:r>
            <w:r w:rsidR="005024D2">
              <w:rPr>
                <w:rFonts w:ascii="Cambria" w:hAnsi="Cambria"/>
                <w:bCs w:val="0"/>
                <w:sz w:val="20"/>
                <w:szCs w:val="20"/>
                <w:lang w:val="sk-SK"/>
              </w:rPr>
              <w:t>za ďalšie</w:t>
            </w:r>
            <w:r w:rsidR="00D146E9">
              <w:rPr>
                <w:rFonts w:ascii="Cambria" w:hAnsi="Cambria"/>
                <w:bCs w:val="0"/>
                <w:sz w:val="20"/>
                <w:szCs w:val="20"/>
                <w:lang w:val="sk-SK"/>
              </w:rPr>
              <w:t xml:space="preserve"> </w:t>
            </w:r>
            <w:r w:rsidR="00227136">
              <w:rPr>
                <w:rFonts w:ascii="Cambria" w:hAnsi="Cambria"/>
                <w:bCs w:val="0"/>
                <w:sz w:val="20"/>
                <w:szCs w:val="20"/>
                <w:lang w:val="sk-SK"/>
              </w:rPr>
              <w:t xml:space="preserve">licencie pre </w:t>
            </w:r>
            <w:r w:rsidR="005E2592">
              <w:rPr>
                <w:rFonts w:ascii="Cambria" w:hAnsi="Cambria"/>
                <w:bCs w:val="0"/>
                <w:sz w:val="20"/>
                <w:szCs w:val="20"/>
                <w:lang w:val="sk-SK"/>
              </w:rPr>
              <w:t> </w:t>
            </w:r>
            <w:r w:rsidR="00227136">
              <w:rPr>
                <w:rFonts w:ascii="Cambria" w:hAnsi="Cambria"/>
                <w:bCs w:val="0"/>
                <w:sz w:val="20"/>
                <w:szCs w:val="20"/>
                <w:lang w:val="sk-SK"/>
              </w:rPr>
              <w:t>SW</w:t>
            </w:r>
            <w:r w:rsidR="005E2592">
              <w:rPr>
                <w:rFonts w:ascii="Cambria" w:hAnsi="Cambria"/>
                <w:bCs w:val="0"/>
                <w:sz w:val="20"/>
                <w:szCs w:val="20"/>
                <w:lang w:val="sk-SK"/>
              </w:rPr>
              <w:t xml:space="preserve"> s podporou výrobcu</w:t>
            </w:r>
            <w:r>
              <w:rPr>
                <w:rFonts w:ascii="Cambria" w:hAnsi="Cambria"/>
                <w:bCs w:val="0"/>
                <w:sz w:val="20"/>
                <w:szCs w:val="20"/>
                <w:lang w:val="sk-SK"/>
              </w:rPr>
              <w:t xml:space="preserve"> vypo</w:t>
            </w:r>
            <w:r w:rsidRPr="00092BD7">
              <w:rPr>
                <w:rFonts w:ascii="Cambria" w:hAnsi="Cambria"/>
                <w:bCs w:val="0"/>
                <w:sz w:val="20"/>
                <w:szCs w:val="20"/>
                <w:lang w:val="sk-SK"/>
              </w:rPr>
              <w:t>čítaná ako:</w:t>
            </w:r>
          </w:p>
          <w:p w14:paraId="0E64F60C" w14:textId="6EB64858" w:rsidR="00201D0B" w:rsidRPr="00092BD7" w:rsidRDefault="00FD2157" w:rsidP="00505859">
            <w:pPr>
              <w:pStyle w:val="xl27"/>
              <w:spacing w:before="0" w:beforeAutospacing="0" w:after="0" w:afterAutospacing="0"/>
              <w:jc w:val="both"/>
              <w:rPr>
                <w:rFonts w:ascii="Cambria" w:hAnsi="Cambria"/>
                <w:i/>
                <w:iCs/>
                <w:sz w:val="20"/>
                <w:szCs w:val="20"/>
                <w:lang w:val="sk-SK"/>
              </w:rPr>
            </w:pPr>
            <w:r>
              <w:rPr>
                <w:rFonts w:ascii="Cambria" w:hAnsi="Cambria"/>
                <w:bCs w:val="0"/>
                <w:sz w:val="20"/>
                <w:szCs w:val="20"/>
                <w:lang w:val="sk-SK"/>
              </w:rPr>
              <w:t>CCDL</w:t>
            </w:r>
            <w:r w:rsidR="00201D0B" w:rsidRPr="00092BD7">
              <w:rPr>
                <w:rFonts w:ascii="Cambria" w:hAnsi="Cambria"/>
                <w:bCs w:val="0"/>
                <w:sz w:val="20"/>
                <w:szCs w:val="20"/>
                <w:lang w:val="sk-SK"/>
              </w:rPr>
              <w:t xml:space="preserve"> = počet kusov </w:t>
            </w:r>
            <w:r w:rsidR="00B7484E">
              <w:rPr>
                <w:rFonts w:ascii="Cambria" w:hAnsi="Cambria"/>
                <w:bCs w:val="0"/>
                <w:sz w:val="20"/>
                <w:szCs w:val="20"/>
                <w:lang w:val="sk-SK"/>
              </w:rPr>
              <w:t xml:space="preserve">ďalších </w:t>
            </w:r>
            <w:r w:rsidR="00D146E9">
              <w:rPr>
                <w:rFonts w:ascii="Cambria" w:hAnsi="Cambria"/>
                <w:bCs w:val="0"/>
                <w:sz w:val="20"/>
                <w:szCs w:val="20"/>
                <w:lang w:val="sk-SK"/>
              </w:rPr>
              <w:t>licencií</w:t>
            </w:r>
            <w:r w:rsidR="00AE698C">
              <w:rPr>
                <w:rFonts w:ascii="Cambria" w:hAnsi="Cambria"/>
                <w:bCs w:val="0"/>
                <w:sz w:val="20"/>
                <w:szCs w:val="20"/>
                <w:lang w:val="sk-SK"/>
              </w:rPr>
              <w:t xml:space="preserve"> pre SW</w:t>
            </w:r>
            <w:r w:rsidR="00201D0B" w:rsidRPr="00092BD7">
              <w:rPr>
                <w:rFonts w:ascii="Cambria" w:hAnsi="Cambria"/>
                <w:bCs w:val="0"/>
                <w:sz w:val="20"/>
                <w:szCs w:val="20"/>
                <w:lang w:val="sk-SK"/>
              </w:rPr>
              <w:t xml:space="preserve"> x cena za jeden kus </w:t>
            </w:r>
            <w:r w:rsidR="006E6478">
              <w:rPr>
                <w:rFonts w:ascii="Cambria" w:hAnsi="Cambria"/>
                <w:bCs w:val="0"/>
                <w:sz w:val="20"/>
                <w:szCs w:val="20"/>
                <w:lang w:val="sk-SK"/>
              </w:rPr>
              <w:t>ďalšej licencie</w:t>
            </w:r>
            <w:r w:rsidR="00201D0B" w:rsidRPr="00092BD7">
              <w:rPr>
                <w:rFonts w:ascii="Cambria" w:hAnsi="Cambria"/>
                <w:bCs w:val="0"/>
                <w:sz w:val="20"/>
                <w:szCs w:val="20"/>
                <w:lang w:val="sk-SK"/>
              </w:rPr>
              <w:t xml:space="preserve"> </w:t>
            </w:r>
            <w:r w:rsidR="00AE698C">
              <w:rPr>
                <w:rFonts w:ascii="Cambria" w:hAnsi="Cambria"/>
                <w:bCs w:val="0"/>
                <w:sz w:val="20"/>
                <w:szCs w:val="20"/>
                <w:lang w:val="sk-SK"/>
              </w:rPr>
              <w:t>pre SW</w:t>
            </w:r>
          </w:p>
        </w:tc>
        <w:tc>
          <w:tcPr>
            <w:tcW w:w="1951" w:type="dxa"/>
            <w:tcBorders>
              <w:top w:val="single" w:sz="6" w:space="0" w:color="000000"/>
              <w:bottom w:val="single" w:sz="12" w:space="0" w:color="000000"/>
            </w:tcBorders>
            <w:shd w:val="clear" w:color="auto" w:fill="auto"/>
          </w:tcPr>
          <w:p w14:paraId="523FD777" w14:textId="77777777" w:rsidR="00201D0B" w:rsidRPr="00092BD7" w:rsidRDefault="00201D0B" w:rsidP="00505859">
            <w:pPr>
              <w:jc w:val="center"/>
              <w:rPr>
                <w:rFonts w:ascii="Cambria" w:hAnsi="Cambria" w:cs="Arial"/>
                <w:b/>
                <w:i/>
                <w:iCs/>
                <w:sz w:val="20"/>
              </w:rPr>
            </w:pPr>
            <w:r w:rsidRPr="00092BD7">
              <w:rPr>
                <w:rFonts w:ascii="Cambria" w:hAnsi="Cambria" w:cs="Arial"/>
                <w:b/>
                <w:i/>
                <w:iCs/>
                <w:sz w:val="20"/>
              </w:rPr>
              <w:t>&lt;</w:t>
            </w:r>
            <w:r w:rsidRPr="00105AE2">
              <w:rPr>
                <w:rFonts w:ascii="Cambria" w:hAnsi="Cambria" w:cs="Arial"/>
                <w:b/>
                <w:i/>
                <w:iCs/>
                <w:color w:val="00B0F0"/>
                <w:sz w:val="20"/>
              </w:rPr>
              <w:t>vyplní uchádzač</w:t>
            </w:r>
            <w:r w:rsidRPr="00092BD7">
              <w:rPr>
                <w:rFonts w:ascii="Cambria" w:hAnsi="Cambria" w:cs="Arial"/>
                <w:b/>
                <w:i/>
                <w:iCs/>
                <w:sz w:val="20"/>
              </w:rPr>
              <w:t>&gt;</w:t>
            </w:r>
          </w:p>
        </w:tc>
      </w:tr>
    </w:tbl>
    <w:p w14:paraId="611D4BFE" w14:textId="77777777" w:rsidR="00201D0B" w:rsidRDefault="00201D0B">
      <w:pPr>
        <w:rPr>
          <w:rFonts w:ascii="Cambria" w:hAnsi="Cambria" w:cs="Arial"/>
          <w:b/>
          <w:i/>
          <w:position w:val="4"/>
          <w:sz w:val="22"/>
          <w:szCs w:val="22"/>
        </w:rPr>
      </w:pPr>
    </w:p>
    <w:p w14:paraId="0008702E" w14:textId="07C1EA25" w:rsidR="00A8587E" w:rsidRPr="00324759" w:rsidRDefault="00A8587E" w:rsidP="00A8587E">
      <w:pPr>
        <w:tabs>
          <w:tab w:val="left" w:pos="709"/>
        </w:tabs>
        <w:spacing w:before="120" w:after="120"/>
        <w:jc w:val="both"/>
        <w:rPr>
          <w:rFonts w:ascii="Cambria" w:hAnsi="Cambria" w:cs="Arial"/>
          <w:b/>
          <w:bCs/>
          <w:sz w:val="22"/>
          <w:szCs w:val="22"/>
        </w:rPr>
      </w:pPr>
      <w:r w:rsidRPr="00324759">
        <w:rPr>
          <w:rFonts w:ascii="Cambria" w:hAnsi="Cambria" w:cs="Arial"/>
          <w:b/>
          <w:bCs/>
          <w:sz w:val="22"/>
          <w:szCs w:val="22"/>
        </w:rPr>
        <w:t xml:space="preserve">TABUĽKA č. </w:t>
      </w:r>
      <w:r>
        <w:rPr>
          <w:rFonts w:ascii="Cambria" w:hAnsi="Cambria" w:cs="Arial"/>
          <w:b/>
          <w:bCs/>
          <w:sz w:val="22"/>
          <w:szCs w:val="22"/>
        </w:rPr>
        <w:t>4</w:t>
      </w:r>
      <w:r w:rsidRPr="00324759">
        <w:rPr>
          <w:rFonts w:ascii="Cambria" w:hAnsi="Cambria" w:cs="Arial"/>
          <w:b/>
          <w:bCs/>
          <w:sz w:val="22"/>
          <w:szCs w:val="22"/>
        </w:rPr>
        <w:t xml:space="preserve"> </w:t>
      </w:r>
      <w:r>
        <w:rPr>
          <w:rFonts w:ascii="Cambria" w:hAnsi="Cambria" w:cs="Arial"/>
          <w:b/>
          <w:bCs/>
          <w:sz w:val="22"/>
          <w:szCs w:val="22"/>
        </w:rPr>
        <w:t>Celková cena za predmet zmluvy</w:t>
      </w:r>
      <w:r w:rsidRPr="00324759">
        <w:rPr>
          <w:rFonts w:ascii="Cambria" w:hAnsi="Cambria" w:cs="Arial"/>
          <w:b/>
          <w:bCs/>
          <w:sz w:val="22"/>
          <w:szCs w:val="22"/>
        </w:rPr>
        <w:t xml:space="preserve"> </w:t>
      </w:r>
    </w:p>
    <w:tbl>
      <w:tblPr>
        <w:tblW w:w="5000" w:type="pct"/>
        <w:tblLook w:val="0000" w:firstRow="0" w:lastRow="0" w:firstColumn="0" w:lastColumn="0" w:noHBand="0" w:noVBand="0"/>
      </w:tblPr>
      <w:tblGrid>
        <w:gridCol w:w="1654"/>
        <w:gridCol w:w="5183"/>
        <w:gridCol w:w="2218"/>
      </w:tblGrid>
      <w:tr w:rsidR="003E6194" w:rsidRPr="00E75798" w14:paraId="57ACE392" w14:textId="77777777" w:rsidTr="003E6194">
        <w:trPr>
          <w:trHeight w:val="363"/>
        </w:trPr>
        <w:tc>
          <w:tcPr>
            <w:tcW w:w="913" w:type="pct"/>
            <w:tcBorders>
              <w:top w:val="single" w:sz="4" w:space="0" w:color="auto"/>
              <w:left w:val="single" w:sz="4" w:space="0" w:color="auto"/>
              <w:bottom w:val="single" w:sz="8" w:space="0" w:color="auto"/>
              <w:right w:val="single" w:sz="8" w:space="0" w:color="000000"/>
            </w:tcBorders>
            <w:shd w:val="clear" w:color="auto" w:fill="C0C0C0"/>
            <w:noWrap/>
            <w:vAlign w:val="center"/>
          </w:tcPr>
          <w:p w14:paraId="2F75277C" w14:textId="77777777" w:rsidR="003E6194" w:rsidRPr="00E75798" w:rsidRDefault="003E6194" w:rsidP="00505859">
            <w:pPr>
              <w:jc w:val="center"/>
              <w:rPr>
                <w:rFonts w:ascii="Cambria" w:hAnsi="Cambria" w:cs="Arial"/>
                <w:b/>
                <w:bCs/>
                <w:color w:val="000000"/>
                <w:sz w:val="20"/>
              </w:rPr>
            </w:pPr>
            <w:r w:rsidRPr="00E75798">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3C788821" w14:textId="77777777" w:rsidR="003E6194" w:rsidRPr="00E75798" w:rsidRDefault="003E6194" w:rsidP="00505859">
            <w:pPr>
              <w:jc w:val="center"/>
              <w:rPr>
                <w:rFonts w:ascii="Cambria" w:hAnsi="Cambria" w:cs="Arial"/>
                <w:b/>
                <w:bCs/>
                <w:color w:val="000000"/>
                <w:sz w:val="20"/>
              </w:rPr>
            </w:pPr>
            <w:r w:rsidRPr="00E75798">
              <w:rPr>
                <w:rFonts w:ascii="Cambria" w:hAnsi="Cambria" w:cs="Arial"/>
                <w:b/>
                <w:bCs/>
                <w:color w:val="000000"/>
                <w:sz w:val="20"/>
              </w:rPr>
              <w:t>Označenie s popisom</w:t>
            </w:r>
          </w:p>
        </w:tc>
        <w:tc>
          <w:tcPr>
            <w:tcW w:w="1225" w:type="pct"/>
            <w:tcBorders>
              <w:top w:val="single" w:sz="8" w:space="0" w:color="auto"/>
              <w:left w:val="single" w:sz="4" w:space="0" w:color="auto"/>
              <w:bottom w:val="single" w:sz="8" w:space="0" w:color="auto"/>
              <w:right w:val="single" w:sz="8" w:space="0" w:color="auto"/>
            </w:tcBorders>
            <w:shd w:val="clear" w:color="auto" w:fill="C0C0C0"/>
            <w:vAlign w:val="center"/>
          </w:tcPr>
          <w:p w14:paraId="024EEF05" w14:textId="77777777" w:rsidR="003E6194" w:rsidRPr="00E75798" w:rsidRDefault="003E6194" w:rsidP="00505859">
            <w:pPr>
              <w:jc w:val="center"/>
              <w:rPr>
                <w:rFonts w:ascii="Cambria" w:hAnsi="Cambria" w:cs="Arial"/>
                <w:b/>
                <w:bCs/>
                <w:color w:val="000000"/>
                <w:sz w:val="20"/>
              </w:rPr>
            </w:pPr>
            <w:r w:rsidRPr="00E75798">
              <w:rPr>
                <w:rFonts w:ascii="Cambria" w:hAnsi="Cambria" w:cs="Arial"/>
                <w:b/>
                <w:bCs/>
                <w:color w:val="000000"/>
                <w:sz w:val="20"/>
              </w:rPr>
              <w:t>Cena v EUR</w:t>
            </w:r>
          </w:p>
          <w:p w14:paraId="293454FB" w14:textId="77777777" w:rsidR="003E6194" w:rsidRPr="00E75798" w:rsidRDefault="003E6194" w:rsidP="00505859">
            <w:pPr>
              <w:jc w:val="center"/>
              <w:rPr>
                <w:rFonts w:ascii="Cambria" w:hAnsi="Cambria" w:cs="Arial"/>
                <w:b/>
                <w:bCs/>
                <w:color w:val="000000"/>
                <w:sz w:val="20"/>
              </w:rPr>
            </w:pPr>
            <w:r w:rsidRPr="00E75798">
              <w:rPr>
                <w:rFonts w:ascii="Cambria" w:hAnsi="Cambria" w:cs="Arial"/>
                <w:b/>
                <w:bCs/>
                <w:color w:val="000000"/>
                <w:sz w:val="20"/>
              </w:rPr>
              <w:t xml:space="preserve"> bez DPH</w:t>
            </w:r>
          </w:p>
        </w:tc>
      </w:tr>
      <w:tr w:rsidR="003E6194" w:rsidRPr="00E75798" w14:paraId="2C9A8B8C" w14:textId="77777777" w:rsidTr="00593343">
        <w:trPr>
          <w:cantSplit/>
          <w:trHeight w:val="619"/>
        </w:trPr>
        <w:tc>
          <w:tcPr>
            <w:tcW w:w="913"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78CE131A" w14:textId="16078FD7" w:rsidR="003E6194" w:rsidRPr="00E75798" w:rsidRDefault="003E6194" w:rsidP="00505859">
            <w:pPr>
              <w:spacing w:before="60" w:after="60"/>
              <w:jc w:val="center"/>
              <w:rPr>
                <w:rFonts w:ascii="Cambria" w:hAnsi="Cambria" w:cs="Arial"/>
                <w:bCs/>
                <w:color w:val="000000"/>
                <w:sz w:val="20"/>
              </w:rPr>
            </w:pPr>
            <w:r>
              <w:rPr>
                <w:rFonts w:ascii="Cambria" w:hAnsi="Cambria" w:cs="Arial"/>
                <w:bCs/>
                <w:color w:val="000000"/>
                <w:sz w:val="20"/>
              </w:rPr>
              <w:t>CIR</w:t>
            </w:r>
          </w:p>
        </w:tc>
        <w:tc>
          <w:tcPr>
            <w:tcW w:w="2862" w:type="pct"/>
            <w:tcBorders>
              <w:top w:val="single" w:sz="8" w:space="0" w:color="auto"/>
              <w:left w:val="nil"/>
              <w:bottom w:val="single" w:sz="8" w:space="0" w:color="auto"/>
              <w:right w:val="single" w:sz="4" w:space="0" w:color="auto"/>
            </w:tcBorders>
            <w:vAlign w:val="center"/>
          </w:tcPr>
          <w:p w14:paraId="14BFBFB0" w14:textId="196670B1" w:rsidR="003E6194" w:rsidRPr="003758EE" w:rsidRDefault="003E6194" w:rsidP="003758EE">
            <w:pPr>
              <w:spacing w:before="60" w:after="60"/>
              <w:rPr>
                <w:rFonts w:ascii="Cambria" w:hAnsi="Cambria" w:cs="Arial"/>
                <w:b/>
                <w:color w:val="000000"/>
                <w:sz w:val="20"/>
              </w:rPr>
            </w:pPr>
            <w:r w:rsidRPr="003758EE">
              <w:rPr>
                <w:rFonts w:ascii="Cambria" w:hAnsi="Cambria" w:cs="Arial"/>
                <w:b/>
                <w:color w:val="000000"/>
                <w:sz w:val="20"/>
              </w:rPr>
              <w:t>Celková cena za Dielo</w:t>
            </w:r>
          </w:p>
        </w:tc>
        <w:tc>
          <w:tcPr>
            <w:tcW w:w="1225" w:type="pct"/>
            <w:tcBorders>
              <w:top w:val="single" w:sz="8" w:space="0" w:color="auto"/>
              <w:left w:val="single" w:sz="4" w:space="0" w:color="auto"/>
              <w:bottom w:val="single" w:sz="8" w:space="0" w:color="auto"/>
              <w:right w:val="single" w:sz="8" w:space="0" w:color="000000"/>
            </w:tcBorders>
            <w:shd w:val="clear" w:color="auto" w:fill="auto"/>
            <w:vAlign w:val="center"/>
          </w:tcPr>
          <w:p w14:paraId="22CCF9DE" w14:textId="77777777" w:rsidR="003E6194" w:rsidRPr="00593343" w:rsidRDefault="003E6194" w:rsidP="00505859">
            <w:pPr>
              <w:spacing w:before="60" w:after="60"/>
              <w:jc w:val="center"/>
              <w:rPr>
                <w:rFonts w:ascii="Cambria" w:hAnsi="Cambria" w:cs="Arial"/>
                <w:i/>
                <w:iCs/>
                <w:color w:val="00B0F0"/>
                <w:sz w:val="20"/>
              </w:rPr>
            </w:pPr>
            <w:r w:rsidRPr="00593343">
              <w:rPr>
                <w:rFonts w:ascii="Cambria" w:hAnsi="Cambria" w:cs="Arial"/>
                <w:i/>
                <w:iCs/>
                <w:color w:val="00B0F0"/>
                <w:sz w:val="20"/>
              </w:rPr>
              <w:t>&lt;vyplní uchádzač&gt;</w:t>
            </w:r>
          </w:p>
        </w:tc>
      </w:tr>
      <w:tr w:rsidR="003E6194" w:rsidRPr="00E75798" w14:paraId="641A6F14" w14:textId="77777777" w:rsidTr="00593343">
        <w:trPr>
          <w:cantSplit/>
          <w:trHeight w:val="619"/>
        </w:trPr>
        <w:tc>
          <w:tcPr>
            <w:tcW w:w="913" w:type="pct"/>
            <w:tcBorders>
              <w:top w:val="single" w:sz="4"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4C30CA9C" w14:textId="62F463D8" w:rsidR="003E6194" w:rsidRPr="00E75798" w:rsidRDefault="003E6194" w:rsidP="00505859">
            <w:pPr>
              <w:spacing w:before="60" w:after="60"/>
              <w:jc w:val="center"/>
              <w:rPr>
                <w:rFonts w:ascii="Cambria" w:hAnsi="Cambria" w:cs="Arial"/>
                <w:bCs/>
                <w:color w:val="000000"/>
                <w:sz w:val="20"/>
              </w:rPr>
            </w:pPr>
            <w:r>
              <w:rPr>
                <w:rFonts w:ascii="Cambria" w:hAnsi="Cambria" w:cs="Arial"/>
                <w:bCs/>
                <w:color w:val="000000"/>
                <w:sz w:val="20"/>
              </w:rPr>
              <w:t>CCLDL</w:t>
            </w:r>
          </w:p>
        </w:tc>
        <w:tc>
          <w:tcPr>
            <w:tcW w:w="2862" w:type="pct"/>
            <w:tcBorders>
              <w:top w:val="single" w:sz="8" w:space="0" w:color="auto"/>
              <w:left w:val="nil"/>
              <w:bottom w:val="single" w:sz="8" w:space="0" w:color="auto"/>
              <w:right w:val="single" w:sz="4" w:space="0" w:color="auto"/>
            </w:tcBorders>
            <w:vAlign w:val="center"/>
          </w:tcPr>
          <w:p w14:paraId="06D98F8D" w14:textId="3274BC7E" w:rsidR="003E6194" w:rsidRPr="003758EE" w:rsidRDefault="002F01A4" w:rsidP="009F6199">
            <w:pPr>
              <w:spacing w:before="60" w:after="60"/>
              <w:rPr>
                <w:rFonts w:ascii="Cambria" w:hAnsi="Cambria" w:cs="Arial"/>
                <w:b/>
                <w:color w:val="000000"/>
                <w:sz w:val="20"/>
              </w:rPr>
            </w:pPr>
            <w:r>
              <w:rPr>
                <w:rFonts w:ascii="Cambria" w:hAnsi="Cambria" w:cs="Arial"/>
                <w:b/>
                <w:color w:val="000000"/>
                <w:sz w:val="20"/>
              </w:rPr>
              <w:t>Celková c</w:t>
            </w:r>
            <w:r w:rsidR="003758EE" w:rsidRPr="003758EE">
              <w:rPr>
                <w:rFonts w:ascii="Cambria" w:hAnsi="Cambria" w:cs="Arial"/>
                <w:b/>
                <w:color w:val="000000"/>
                <w:sz w:val="20"/>
              </w:rPr>
              <w:t>ena za produkt subscription (predplatné) na DataLake</w:t>
            </w:r>
          </w:p>
        </w:tc>
        <w:tc>
          <w:tcPr>
            <w:tcW w:w="1225" w:type="pct"/>
            <w:tcBorders>
              <w:top w:val="single" w:sz="8" w:space="0" w:color="auto"/>
              <w:left w:val="single" w:sz="4" w:space="0" w:color="auto"/>
              <w:bottom w:val="single" w:sz="8" w:space="0" w:color="auto"/>
              <w:right w:val="single" w:sz="8" w:space="0" w:color="000000"/>
            </w:tcBorders>
            <w:shd w:val="clear" w:color="auto" w:fill="auto"/>
            <w:vAlign w:val="center"/>
          </w:tcPr>
          <w:p w14:paraId="2E6497A5" w14:textId="77777777" w:rsidR="003E6194" w:rsidRPr="00593343" w:rsidRDefault="003E6194" w:rsidP="00505859">
            <w:pPr>
              <w:spacing w:before="60" w:after="60"/>
              <w:jc w:val="center"/>
              <w:rPr>
                <w:rFonts w:ascii="Cambria" w:hAnsi="Cambria" w:cs="Arial"/>
                <w:i/>
                <w:iCs/>
                <w:color w:val="00B0F0"/>
                <w:sz w:val="20"/>
              </w:rPr>
            </w:pPr>
            <w:r w:rsidRPr="00593343">
              <w:rPr>
                <w:rFonts w:ascii="Cambria" w:hAnsi="Cambria" w:cs="Arial"/>
                <w:i/>
                <w:iCs/>
                <w:color w:val="00B0F0"/>
                <w:sz w:val="20"/>
              </w:rPr>
              <w:t>&lt;vyplní uchádzač&gt;</w:t>
            </w:r>
          </w:p>
        </w:tc>
      </w:tr>
      <w:tr w:rsidR="003E6194" w:rsidRPr="00E75798" w14:paraId="46A55A65" w14:textId="77777777" w:rsidTr="00593343">
        <w:trPr>
          <w:cantSplit/>
          <w:trHeight w:val="619"/>
        </w:trPr>
        <w:tc>
          <w:tcPr>
            <w:tcW w:w="913" w:type="pct"/>
            <w:tcBorders>
              <w:top w:val="single" w:sz="4"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3AB0D778" w14:textId="612DB0F1" w:rsidR="003E6194" w:rsidRPr="00E75798" w:rsidRDefault="003E6194" w:rsidP="00505859">
            <w:pPr>
              <w:spacing w:before="60" w:after="60"/>
              <w:jc w:val="center"/>
              <w:rPr>
                <w:rFonts w:ascii="Cambria" w:hAnsi="Cambria" w:cs="Arial"/>
                <w:bCs/>
                <w:color w:val="000000"/>
                <w:sz w:val="20"/>
              </w:rPr>
            </w:pPr>
            <w:r>
              <w:rPr>
                <w:rFonts w:ascii="Cambria" w:hAnsi="Cambria" w:cs="Arial"/>
                <w:bCs/>
                <w:color w:val="000000"/>
                <w:sz w:val="20"/>
              </w:rPr>
              <w:t>CCDL</w:t>
            </w:r>
          </w:p>
        </w:tc>
        <w:tc>
          <w:tcPr>
            <w:tcW w:w="2862" w:type="pct"/>
            <w:tcBorders>
              <w:top w:val="single" w:sz="8" w:space="0" w:color="auto"/>
              <w:left w:val="nil"/>
              <w:bottom w:val="single" w:sz="8" w:space="0" w:color="auto"/>
              <w:right w:val="single" w:sz="4" w:space="0" w:color="auto"/>
            </w:tcBorders>
            <w:vAlign w:val="center"/>
          </w:tcPr>
          <w:p w14:paraId="2D46E652" w14:textId="4CF0CA16" w:rsidR="003E6194" w:rsidRPr="003758EE" w:rsidRDefault="00C652DC" w:rsidP="009F6199">
            <w:pPr>
              <w:spacing w:before="60" w:after="60"/>
              <w:rPr>
                <w:rFonts w:ascii="Cambria" w:hAnsi="Cambria" w:cs="Arial"/>
                <w:b/>
                <w:color w:val="000000"/>
                <w:sz w:val="20"/>
              </w:rPr>
            </w:pPr>
            <w:r>
              <w:rPr>
                <w:rFonts w:ascii="Cambria" w:hAnsi="Cambria" w:cs="Arial"/>
                <w:b/>
                <w:color w:val="000000"/>
                <w:sz w:val="20"/>
              </w:rPr>
              <w:t>Celková c</w:t>
            </w:r>
            <w:r w:rsidR="003758EE" w:rsidRPr="003758EE">
              <w:rPr>
                <w:rFonts w:ascii="Cambria" w:hAnsi="Cambria" w:cs="Arial"/>
                <w:b/>
                <w:color w:val="000000"/>
                <w:sz w:val="20"/>
              </w:rPr>
              <w:t xml:space="preserve">ena za ďalšie licencie pre SW </w:t>
            </w:r>
          </w:p>
        </w:tc>
        <w:tc>
          <w:tcPr>
            <w:tcW w:w="1225" w:type="pct"/>
            <w:tcBorders>
              <w:top w:val="single" w:sz="8" w:space="0" w:color="auto"/>
              <w:left w:val="single" w:sz="4" w:space="0" w:color="auto"/>
              <w:bottom w:val="single" w:sz="8" w:space="0" w:color="auto"/>
              <w:right w:val="single" w:sz="8" w:space="0" w:color="000000"/>
            </w:tcBorders>
            <w:shd w:val="clear" w:color="auto" w:fill="auto"/>
            <w:vAlign w:val="center"/>
          </w:tcPr>
          <w:p w14:paraId="28B86FCA" w14:textId="77777777" w:rsidR="003E6194" w:rsidRPr="00593343" w:rsidRDefault="003E6194" w:rsidP="00505859">
            <w:pPr>
              <w:spacing w:before="60" w:after="60"/>
              <w:jc w:val="center"/>
              <w:rPr>
                <w:rFonts w:ascii="Cambria" w:hAnsi="Cambria" w:cs="Arial"/>
                <w:i/>
                <w:iCs/>
                <w:color w:val="00B0F0"/>
                <w:sz w:val="20"/>
              </w:rPr>
            </w:pPr>
            <w:r w:rsidRPr="00593343">
              <w:rPr>
                <w:rFonts w:ascii="Cambria" w:hAnsi="Cambria" w:cs="Arial"/>
                <w:i/>
                <w:iCs/>
                <w:color w:val="00B0F0"/>
                <w:sz w:val="20"/>
              </w:rPr>
              <w:t>&lt;vyplní uchádzač&gt;</w:t>
            </w:r>
          </w:p>
        </w:tc>
      </w:tr>
      <w:tr w:rsidR="003E6194" w:rsidRPr="00E75798" w14:paraId="4721A206" w14:textId="77777777" w:rsidTr="00593343">
        <w:trPr>
          <w:cantSplit/>
          <w:trHeight w:val="619"/>
        </w:trPr>
        <w:tc>
          <w:tcPr>
            <w:tcW w:w="913" w:type="pct"/>
            <w:tcBorders>
              <w:top w:val="single" w:sz="8" w:space="0" w:color="auto"/>
              <w:left w:val="single" w:sz="4" w:space="0" w:color="auto"/>
              <w:bottom w:val="single" w:sz="4" w:space="0" w:color="auto"/>
              <w:right w:val="single" w:sz="8" w:space="0" w:color="000000"/>
            </w:tcBorders>
            <w:noWrap/>
            <w:vAlign w:val="center"/>
          </w:tcPr>
          <w:p w14:paraId="7535D2C8" w14:textId="05A3EC2B" w:rsidR="003E6194" w:rsidRPr="00E75798" w:rsidRDefault="003E6194" w:rsidP="00505859">
            <w:pPr>
              <w:spacing w:before="60" w:after="60"/>
              <w:jc w:val="center"/>
              <w:rPr>
                <w:rFonts w:ascii="Cambria" w:hAnsi="Cambria" w:cs="Arial"/>
                <w:b/>
                <w:color w:val="000000"/>
                <w:sz w:val="20"/>
              </w:rPr>
            </w:pPr>
            <w:r>
              <w:rPr>
                <w:rFonts w:ascii="Cambria" w:hAnsi="Cambria" w:cs="Arial"/>
                <w:b/>
                <w:color w:val="000000"/>
                <w:sz w:val="20"/>
              </w:rPr>
              <w:t>C</w:t>
            </w:r>
            <w:r w:rsidRPr="00E75798">
              <w:rPr>
                <w:rFonts w:ascii="Cambria" w:hAnsi="Cambria" w:cs="Arial"/>
                <w:b/>
                <w:color w:val="000000"/>
                <w:sz w:val="20"/>
              </w:rPr>
              <w:t>C</w:t>
            </w:r>
            <w:r>
              <w:rPr>
                <w:rFonts w:ascii="Cambria" w:hAnsi="Cambria" w:cs="Arial"/>
                <w:b/>
                <w:color w:val="000000"/>
                <w:sz w:val="20"/>
              </w:rPr>
              <w:t>PZ</w:t>
            </w:r>
          </w:p>
        </w:tc>
        <w:tc>
          <w:tcPr>
            <w:tcW w:w="2862" w:type="pct"/>
            <w:tcBorders>
              <w:top w:val="single" w:sz="8" w:space="0" w:color="auto"/>
              <w:left w:val="nil"/>
              <w:bottom w:val="single" w:sz="4" w:space="0" w:color="auto"/>
              <w:right w:val="single" w:sz="4" w:space="0" w:color="auto"/>
            </w:tcBorders>
            <w:vAlign w:val="center"/>
          </w:tcPr>
          <w:p w14:paraId="2CE42DCE" w14:textId="521BE894" w:rsidR="003E6194" w:rsidRPr="00E75798" w:rsidRDefault="003E6194" w:rsidP="00505859">
            <w:pPr>
              <w:pStyle w:val="xl27"/>
              <w:spacing w:before="60" w:beforeAutospacing="0" w:after="60" w:afterAutospacing="0"/>
              <w:jc w:val="both"/>
              <w:rPr>
                <w:rFonts w:ascii="Cambria" w:hAnsi="Cambria"/>
                <w:bCs w:val="0"/>
                <w:color w:val="000000"/>
                <w:sz w:val="20"/>
                <w:szCs w:val="20"/>
                <w:lang w:val="sk-SK"/>
              </w:rPr>
            </w:pPr>
            <w:r w:rsidRPr="00E75798">
              <w:rPr>
                <w:rFonts w:ascii="Cambria" w:hAnsi="Cambria"/>
                <w:bCs w:val="0"/>
                <w:color w:val="000000"/>
                <w:sz w:val="20"/>
                <w:szCs w:val="20"/>
                <w:lang w:val="sk-SK"/>
              </w:rPr>
              <w:t xml:space="preserve">Celková cena </w:t>
            </w:r>
            <w:r>
              <w:rPr>
                <w:rFonts w:ascii="Cambria" w:hAnsi="Cambria"/>
                <w:bCs w:val="0"/>
                <w:color w:val="000000"/>
                <w:sz w:val="20"/>
                <w:szCs w:val="20"/>
                <w:lang w:val="sk-SK"/>
              </w:rPr>
              <w:t>predmetu zmluvy</w:t>
            </w:r>
          </w:p>
          <w:p w14:paraId="48BE0815" w14:textId="3A9CBE10" w:rsidR="003E6194" w:rsidRPr="00E75798" w:rsidRDefault="003E6194" w:rsidP="00505859">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CCPZ</w:t>
            </w:r>
            <w:r w:rsidRPr="00E75798">
              <w:rPr>
                <w:rFonts w:ascii="Cambria" w:hAnsi="Cambria"/>
                <w:bCs w:val="0"/>
                <w:color w:val="000000"/>
                <w:sz w:val="20"/>
                <w:szCs w:val="20"/>
                <w:lang w:val="sk-SK"/>
              </w:rPr>
              <w:t xml:space="preserve"> = </w:t>
            </w:r>
            <w:r>
              <w:rPr>
                <w:rFonts w:ascii="Cambria" w:hAnsi="Cambria"/>
                <w:bCs w:val="0"/>
                <w:color w:val="000000"/>
                <w:sz w:val="20"/>
                <w:szCs w:val="20"/>
                <w:lang w:val="sk-SK"/>
              </w:rPr>
              <w:t xml:space="preserve">CIR + CCLDL + CCDL </w:t>
            </w:r>
          </w:p>
        </w:tc>
        <w:tc>
          <w:tcPr>
            <w:tcW w:w="1225" w:type="pct"/>
            <w:tcBorders>
              <w:top w:val="single" w:sz="8" w:space="0" w:color="auto"/>
              <w:left w:val="single" w:sz="4" w:space="0" w:color="auto"/>
              <w:bottom w:val="single" w:sz="8" w:space="0" w:color="auto"/>
              <w:right w:val="single" w:sz="8" w:space="0" w:color="000000"/>
            </w:tcBorders>
            <w:shd w:val="clear" w:color="auto" w:fill="auto"/>
            <w:vAlign w:val="center"/>
          </w:tcPr>
          <w:p w14:paraId="33FB34B4" w14:textId="77777777" w:rsidR="003E6194" w:rsidRPr="00593343" w:rsidRDefault="003E6194" w:rsidP="00505859">
            <w:pPr>
              <w:spacing w:before="60" w:after="60"/>
              <w:jc w:val="center"/>
              <w:rPr>
                <w:rFonts w:ascii="Cambria" w:hAnsi="Cambria" w:cs="Arial"/>
                <w:i/>
                <w:iCs/>
                <w:color w:val="00B0F0"/>
                <w:sz w:val="20"/>
              </w:rPr>
            </w:pPr>
            <w:r w:rsidRPr="00593343">
              <w:rPr>
                <w:rFonts w:ascii="Cambria" w:hAnsi="Cambria" w:cs="Arial"/>
                <w:i/>
                <w:iCs/>
                <w:color w:val="00B0F0"/>
                <w:sz w:val="20"/>
              </w:rPr>
              <w:t>&lt;vyplní uchádzač&gt;</w:t>
            </w:r>
          </w:p>
        </w:tc>
      </w:tr>
    </w:tbl>
    <w:p w14:paraId="71E85F0E" w14:textId="77777777" w:rsidR="00164CA0" w:rsidRDefault="00164CA0">
      <w:pPr>
        <w:rPr>
          <w:rFonts w:ascii="Cambria" w:hAnsi="Cambria" w:cs="Arial"/>
          <w:b/>
          <w:iCs/>
          <w:position w:val="4"/>
          <w:sz w:val="22"/>
          <w:szCs w:val="22"/>
        </w:rPr>
      </w:pPr>
      <w:r>
        <w:rPr>
          <w:rFonts w:ascii="Cambria" w:hAnsi="Cambria" w:cs="Arial"/>
          <w:iCs/>
          <w:sz w:val="22"/>
          <w:szCs w:val="22"/>
        </w:rPr>
        <w:br w:type="page"/>
      </w:r>
    </w:p>
    <w:p w14:paraId="079BB1B4" w14:textId="6095E7BE" w:rsidR="00990BE3" w:rsidRPr="00221837" w:rsidRDefault="00CE4D2B" w:rsidP="00990BE3">
      <w:pPr>
        <w:pStyle w:val="Heading1"/>
        <w:ind w:left="7080" w:firstLine="708"/>
        <w:jc w:val="both"/>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3F5997" w:rsidRPr="00221837">
        <w:rPr>
          <w:rFonts w:ascii="Cambria" w:hAnsi="Cambria" w:cs="Arial"/>
          <w:iCs/>
          <w:sz w:val="22"/>
          <w:szCs w:val="22"/>
        </w:rPr>
        <w:t xml:space="preserve">: </w:t>
      </w:r>
    </w:p>
    <w:p w14:paraId="6BEE9BCC" w14:textId="4141053A" w:rsidR="00CE4D2B" w:rsidRPr="006419AF" w:rsidRDefault="00244387" w:rsidP="00CE4D2B">
      <w:pPr>
        <w:pStyle w:val="Heading1"/>
        <w:jc w:val="center"/>
        <w:rPr>
          <w:rFonts w:ascii="Cambria" w:hAnsi="Cambria" w:cs="Arial"/>
          <w:iCs/>
          <w:szCs w:val="28"/>
        </w:rPr>
      </w:pPr>
      <w:bookmarkStart w:id="209" w:name="_Toc287880553"/>
      <w:bookmarkStart w:id="210" w:name="_Toc45812705"/>
      <w:bookmarkEnd w:id="208"/>
      <w:r w:rsidRPr="006419AF">
        <w:rPr>
          <w:rFonts w:ascii="Cambria" w:hAnsi="Cambria" w:cs="Arial"/>
          <w:iCs/>
          <w:szCs w:val="28"/>
        </w:rPr>
        <w:t>Zoznam osôb zhotoviteľa určených na plnenie zmluvy</w:t>
      </w:r>
      <w:bookmarkEnd w:id="209"/>
      <w:bookmarkEnd w:id="210"/>
    </w:p>
    <w:p w14:paraId="3BDBCBCF" w14:textId="77777777" w:rsidR="00CE4D2B" w:rsidRPr="006419AF" w:rsidRDefault="00CE4D2B" w:rsidP="00CE4D2B">
      <w:pPr>
        <w:rPr>
          <w:rFonts w:ascii="Cambria" w:hAnsi="Cambria" w:cs="Arial"/>
          <w:sz w:val="22"/>
          <w:szCs w:val="22"/>
        </w:rPr>
      </w:pPr>
    </w:p>
    <w:p w14:paraId="7A2690D9" w14:textId="0A1F301F"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gridCol w:w="1462"/>
      </w:tblGrid>
      <w:tr w:rsidR="002F0BDF" w:rsidRPr="006419AF" w14:paraId="1FE89CDE" w14:textId="28082ECE" w:rsidTr="00C50805">
        <w:tc>
          <w:tcPr>
            <w:tcW w:w="2224" w:type="dxa"/>
            <w:vAlign w:val="center"/>
          </w:tcPr>
          <w:p w14:paraId="1C2B2072" w14:textId="4AA8C623" w:rsidR="002F0BDF" w:rsidRPr="006419AF" w:rsidRDefault="002F0BDF"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2F0BDF" w:rsidRPr="006419AF" w:rsidRDefault="002F0BDF" w:rsidP="002F0BDF">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1801" w:type="dxa"/>
            <w:vAlign w:val="center"/>
          </w:tcPr>
          <w:p w14:paraId="314D4650" w14:textId="64FFACAF" w:rsidR="002F0BDF" w:rsidRPr="006419AF" w:rsidRDefault="00EE1D39"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2F0BDF" w:rsidRPr="006419AF" w:rsidRDefault="002F0BDF" w:rsidP="002F0BDF">
            <w:pPr>
              <w:jc w:val="center"/>
              <w:rPr>
                <w:rFonts w:ascii="Cambria" w:hAnsi="Cambria" w:cs="Arial"/>
                <w:b/>
                <w:sz w:val="22"/>
                <w:szCs w:val="22"/>
              </w:rPr>
            </w:pPr>
            <w:r w:rsidRPr="006419AF">
              <w:rPr>
                <w:rFonts w:ascii="Cambria" w:hAnsi="Cambria" w:cs="Arial"/>
                <w:b/>
                <w:sz w:val="22"/>
                <w:szCs w:val="22"/>
              </w:rPr>
              <w:t>E-mailová adresa</w:t>
            </w:r>
          </w:p>
        </w:tc>
        <w:tc>
          <w:tcPr>
            <w:tcW w:w="1462" w:type="dxa"/>
          </w:tcPr>
          <w:p w14:paraId="5CF85EB7" w14:textId="0739B0C7" w:rsidR="002F0BDF" w:rsidRPr="006419AF" w:rsidRDefault="00255134" w:rsidP="002F0BDF">
            <w:pPr>
              <w:jc w:val="center"/>
              <w:rPr>
                <w:rFonts w:ascii="Cambria" w:hAnsi="Cambria" w:cs="Arial"/>
                <w:b/>
                <w:sz w:val="22"/>
                <w:szCs w:val="22"/>
              </w:rPr>
            </w:pPr>
            <w:r w:rsidRPr="006419AF">
              <w:rPr>
                <w:rFonts w:ascii="Cambria" w:hAnsi="Cambria" w:cs="Arial"/>
                <w:b/>
                <w:sz w:val="22"/>
                <w:szCs w:val="22"/>
              </w:rPr>
              <w:t>P</w:t>
            </w:r>
            <w:r w:rsidR="002F0BDF" w:rsidRPr="006419AF">
              <w:rPr>
                <w:rFonts w:ascii="Cambria" w:hAnsi="Cambria" w:cs="Arial"/>
                <w:b/>
                <w:sz w:val="22"/>
                <w:szCs w:val="22"/>
              </w:rPr>
              <w:t xml:space="preserve">očet </w:t>
            </w:r>
            <w:r w:rsidR="009D4056" w:rsidRPr="006419AF">
              <w:rPr>
                <w:rFonts w:ascii="Cambria" w:hAnsi="Cambria" w:cs="Arial"/>
                <w:b/>
                <w:sz w:val="22"/>
                <w:szCs w:val="22"/>
              </w:rPr>
              <w:t>osobodní</w:t>
            </w:r>
            <w:r w:rsidRPr="006419AF">
              <w:rPr>
                <w:rFonts w:ascii="Cambria" w:hAnsi="Cambria" w:cs="Arial"/>
                <w:b/>
                <w:sz w:val="22"/>
                <w:szCs w:val="22"/>
              </w:rPr>
              <w:t xml:space="preserve"> na predmete plnenia</w:t>
            </w:r>
            <w:r w:rsidR="002F0BDF" w:rsidRPr="006419AF">
              <w:rPr>
                <w:rFonts w:ascii="Cambria" w:hAnsi="Cambria" w:cs="Arial"/>
                <w:b/>
                <w:sz w:val="22"/>
                <w:szCs w:val="22"/>
              </w:rPr>
              <w:t>*</w:t>
            </w:r>
          </w:p>
        </w:tc>
      </w:tr>
      <w:tr w:rsidR="002F0BDF" w:rsidRPr="006419AF" w14:paraId="2B4B0972" w14:textId="3F567011" w:rsidTr="00C50805">
        <w:tc>
          <w:tcPr>
            <w:tcW w:w="2224" w:type="dxa"/>
          </w:tcPr>
          <w:p w14:paraId="3971135B" w14:textId="0B50F6D2" w:rsidR="002F0BDF" w:rsidRPr="00921572" w:rsidRDefault="002F0BDF" w:rsidP="002F0BDF">
            <w:pPr>
              <w:spacing w:before="60" w:after="60"/>
              <w:rPr>
                <w:rFonts w:ascii="Cambria" w:hAnsi="Cambria" w:cs="Arial"/>
                <w:iCs/>
                <w:sz w:val="22"/>
                <w:szCs w:val="22"/>
              </w:rPr>
            </w:pPr>
            <w:r w:rsidRPr="00921572">
              <w:rPr>
                <w:rFonts w:ascii="Cambria" w:hAnsi="Cambria" w:cs="Arial"/>
                <w:iCs/>
                <w:sz w:val="22"/>
                <w:szCs w:val="22"/>
              </w:rPr>
              <w:t>Kľúčový expert č. 1 – Projektový manažér</w:t>
            </w:r>
          </w:p>
        </w:tc>
        <w:tc>
          <w:tcPr>
            <w:tcW w:w="1880" w:type="dxa"/>
          </w:tcPr>
          <w:p w14:paraId="39D6B3B6" w14:textId="3D88855D" w:rsidR="002F0BDF" w:rsidRPr="006419AF" w:rsidRDefault="002F0BDF"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721610FE" w14:textId="096FFEB4"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2F0BDF" w:rsidRPr="006419AF" w14:paraId="1CFA0EFF" w14:textId="5396D1CA" w:rsidTr="00C50805">
        <w:tc>
          <w:tcPr>
            <w:tcW w:w="2224" w:type="dxa"/>
          </w:tcPr>
          <w:p w14:paraId="24FC751B" w14:textId="151DED91" w:rsidR="002F0BDF" w:rsidRPr="00921572" w:rsidRDefault="002F0BDF" w:rsidP="002F0BDF">
            <w:pPr>
              <w:spacing w:before="60" w:after="60"/>
              <w:rPr>
                <w:rFonts w:ascii="Cambria" w:hAnsi="Cambria" w:cs="Arial"/>
                <w:iCs/>
                <w:sz w:val="22"/>
                <w:szCs w:val="22"/>
              </w:rPr>
            </w:pPr>
            <w:r w:rsidRPr="00921572">
              <w:rPr>
                <w:rFonts w:ascii="Cambria" w:hAnsi="Cambria" w:cs="Arial"/>
                <w:iCs/>
                <w:sz w:val="22"/>
                <w:szCs w:val="22"/>
              </w:rPr>
              <w:t xml:space="preserve">Kľúčový expert č. 2 – </w:t>
            </w:r>
            <w:r w:rsidR="00921572" w:rsidRPr="00921572">
              <w:rPr>
                <w:rFonts w:ascii="Cambria" w:hAnsi="Cambria" w:cs="Arial"/>
                <w:iCs/>
                <w:sz w:val="22"/>
                <w:szCs w:val="22"/>
              </w:rPr>
              <w:t>Architekt riešenia (Relačná časť DWH)</w:t>
            </w:r>
          </w:p>
        </w:tc>
        <w:tc>
          <w:tcPr>
            <w:tcW w:w="1880" w:type="dxa"/>
          </w:tcPr>
          <w:p w14:paraId="78B62D0F" w14:textId="42006A5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5BFB136A" w14:textId="288B042D"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2F0BDF" w:rsidRPr="006419AF" w14:paraId="62B08B83" w14:textId="4A24ABF7" w:rsidTr="00C50805">
        <w:tc>
          <w:tcPr>
            <w:tcW w:w="2224" w:type="dxa"/>
          </w:tcPr>
          <w:p w14:paraId="286FD088" w14:textId="51632C91" w:rsidR="002F0BDF" w:rsidRPr="00921572" w:rsidRDefault="002F0BDF" w:rsidP="002F0BDF">
            <w:pPr>
              <w:spacing w:before="60" w:after="60"/>
              <w:rPr>
                <w:rFonts w:ascii="Cambria" w:hAnsi="Cambria" w:cs="Arial"/>
                <w:iCs/>
                <w:sz w:val="22"/>
                <w:szCs w:val="22"/>
              </w:rPr>
            </w:pPr>
            <w:r w:rsidRPr="00921572">
              <w:rPr>
                <w:rFonts w:ascii="Cambria" w:hAnsi="Cambria" w:cs="Arial"/>
                <w:iCs/>
                <w:sz w:val="22"/>
                <w:szCs w:val="22"/>
              </w:rPr>
              <w:t xml:space="preserve">Kľúčový expert č. 3 – </w:t>
            </w:r>
            <w:r w:rsidR="00B62052" w:rsidRPr="00921572">
              <w:rPr>
                <w:rFonts w:ascii="Cambria" w:hAnsi="Cambria" w:cs="Arial"/>
                <w:iCs/>
                <w:sz w:val="22"/>
                <w:szCs w:val="22"/>
              </w:rPr>
              <w:t>Architekt riešenia (BigData/DataLake časť DWH)</w:t>
            </w:r>
          </w:p>
        </w:tc>
        <w:tc>
          <w:tcPr>
            <w:tcW w:w="1880" w:type="dxa"/>
          </w:tcPr>
          <w:p w14:paraId="401E049C" w14:textId="04255D10"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7BE5F021" w14:textId="782C0271"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2F0BDF" w:rsidRPr="006419AF" w14:paraId="4058875C" w14:textId="3F3A142E" w:rsidTr="00C50805">
        <w:tc>
          <w:tcPr>
            <w:tcW w:w="2224" w:type="dxa"/>
          </w:tcPr>
          <w:p w14:paraId="5FC3D2E3" w14:textId="7B8BA67B" w:rsidR="002F0BDF" w:rsidRPr="00921572" w:rsidRDefault="002F0BDF" w:rsidP="002F0BDF">
            <w:pPr>
              <w:spacing w:before="60" w:after="60"/>
              <w:rPr>
                <w:rFonts w:ascii="Cambria" w:hAnsi="Cambria" w:cs="Arial"/>
                <w:iCs/>
                <w:sz w:val="22"/>
                <w:szCs w:val="22"/>
              </w:rPr>
            </w:pPr>
            <w:r w:rsidRPr="00921572">
              <w:rPr>
                <w:rFonts w:ascii="Cambria" w:hAnsi="Cambria" w:cs="Arial"/>
                <w:iCs/>
                <w:sz w:val="22"/>
                <w:szCs w:val="22"/>
              </w:rPr>
              <w:t xml:space="preserve">Kľúčový expert č. 4 – </w:t>
            </w:r>
            <w:r w:rsidR="00B62052" w:rsidRPr="00921572">
              <w:rPr>
                <w:rFonts w:ascii="Cambria" w:hAnsi="Cambria" w:cs="Arial"/>
                <w:iCs/>
                <w:sz w:val="22"/>
                <w:szCs w:val="22"/>
              </w:rPr>
              <w:t>Senior Dátový Analytik</w:t>
            </w:r>
          </w:p>
        </w:tc>
        <w:tc>
          <w:tcPr>
            <w:tcW w:w="1880" w:type="dxa"/>
          </w:tcPr>
          <w:p w14:paraId="29E50A3E" w14:textId="649FC134"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2F0BDF" w:rsidRPr="006419AF" w:rsidRDefault="002F0BDF"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3224FBA8" w14:textId="4B66AFEC"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2F0BDF" w:rsidRPr="006419AF" w14:paraId="49EBBC7B" w14:textId="4FD738CB" w:rsidTr="00C50805">
        <w:tc>
          <w:tcPr>
            <w:tcW w:w="2224" w:type="dxa"/>
          </w:tcPr>
          <w:p w14:paraId="55627B97" w14:textId="056B3DC1" w:rsidR="002F0BDF" w:rsidRPr="00921572" w:rsidRDefault="002F0BDF" w:rsidP="002F0BDF">
            <w:pPr>
              <w:spacing w:before="60" w:after="60"/>
              <w:rPr>
                <w:rFonts w:ascii="Cambria" w:hAnsi="Cambria" w:cs="Arial"/>
                <w:iCs/>
                <w:sz w:val="22"/>
                <w:szCs w:val="22"/>
              </w:rPr>
            </w:pPr>
            <w:r w:rsidRPr="00921572">
              <w:rPr>
                <w:rFonts w:ascii="Cambria" w:hAnsi="Cambria" w:cs="Arial"/>
                <w:iCs/>
                <w:sz w:val="22"/>
                <w:szCs w:val="22"/>
              </w:rPr>
              <w:t xml:space="preserve">Kľúčový expert č. 5 – </w:t>
            </w:r>
            <w:r w:rsidR="00B62052" w:rsidRPr="00921572">
              <w:rPr>
                <w:rFonts w:ascii="Cambria" w:hAnsi="Cambria" w:cs="Arial"/>
                <w:iCs/>
                <w:sz w:val="22"/>
                <w:szCs w:val="22"/>
              </w:rPr>
              <w:t>Data Ingestion Špecialista</w:t>
            </w:r>
          </w:p>
        </w:tc>
        <w:tc>
          <w:tcPr>
            <w:tcW w:w="1880" w:type="dxa"/>
          </w:tcPr>
          <w:p w14:paraId="3E2C29D8" w14:textId="11E07C93"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3F4E2314" w14:textId="6C17D929"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3A4876A" w14:textId="69F2D7DA"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0EAA98A5" w14:textId="3D77C8C7" w:rsidR="002F0BDF" w:rsidRPr="006419AF" w:rsidRDefault="002F0BDF" w:rsidP="002F0BDF">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091A19" w:rsidRPr="006419AF" w14:paraId="19243466" w14:textId="77777777" w:rsidTr="00B62052">
        <w:trPr>
          <w:trHeight w:val="649"/>
        </w:trPr>
        <w:tc>
          <w:tcPr>
            <w:tcW w:w="2224" w:type="dxa"/>
          </w:tcPr>
          <w:p w14:paraId="45396F3C" w14:textId="53197F36" w:rsidR="00091A19" w:rsidRPr="00921572" w:rsidRDefault="00B62052" w:rsidP="00B62052">
            <w:pPr>
              <w:spacing w:before="60" w:after="60"/>
              <w:rPr>
                <w:rFonts w:ascii="Cambria" w:hAnsi="Cambria" w:cs="Arial"/>
                <w:iCs/>
                <w:sz w:val="22"/>
                <w:szCs w:val="22"/>
              </w:rPr>
            </w:pPr>
            <w:r w:rsidRPr="00921572">
              <w:rPr>
                <w:rFonts w:ascii="Cambria" w:hAnsi="Cambria" w:cs="Arial"/>
                <w:iCs/>
                <w:sz w:val="22"/>
                <w:szCs w:val="22"/>
              </w:rPr>
              <w:t>Kľúčový expert č. 6 – ETL Špecialista</w:t>
            </w:r>
          </w:p>
        </w:tc>
        <w:tc>
          <w:tcPr>
            <w:tcW w:w="1880" w:type="dxa"/>
          </w:tcPr>
          <w:p w14:paraId="476D22D8" w14:textId="1A99C18C" w:rsidR="00091A19" w:rsidRPr="006419AF" w:rsidRDefault="00091A19"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091A19" w:rsidRPr="006419AF" w:rsidRDefault="00091A19"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091A19" w:rsidRPr="006419AF" w:rsidRDefault="00091A19"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75F6D3B1" w14:textId="56434C22" w:rsidR="00091A19" w:rsidRPr="006419AF" w:rsidRDefault="00091A19"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B62052" w:rsidRPr="006419AF" w14:paraId="457760FC" w14:textId="77777777" w:rsidTr="00B62052">
        <w:trPr>
          <w:trHeight w:val="559"/>
        </w:trPr>
        <w:tc>
          <w:tcPr>
            <w:tcW w:w="2224" w:type="dxa"/>
          </w:tcPr>
          <w:p w14:paraId="07AB2697" w14:textId="76AE1A7B" w:rsidR="00B62052" w:rsidRPr="00921572" w:rsidRDefault="00B62052" w:rsidP="00B62052">
            <w:pPr>
              <w:spacing w:before="60" w:after="60"/>
              <w:rPr>
                <w:rFonts w:ascii="Cambria" w:hAnsi="Cambria" w:cs="Arial"/>
                <w:iCs/>
                <w:sz w:val="22"/>
                <w:szCs w:val="22"/>
              </w:rPr>
            </w:pPr>
            <w:r w:rsidRPr="00921572">
              <w:rPr>
                <w:rFonts w:ascii="Cambria" w:hAnsi="Cambria" w:cs="Arial"/>
                <w:iCs/>
                <w:sz w:val="22"/>
                <w:szCs w:val="22"/>
              </w:rPr>
              <w:t>Kľúčový expert č. 7 – BI Špecialista</w:t>
            </w:r>
          </w:p>
        </w:tc>
        <w:tc>
          <w:tcPr>
            <w:tcW w:w="1880" w:type="dxa"/>
          </w:tcPr>
          <w:p w14:paraId="4BF4252E" w14:textId="3FEA564A" w:rsidR="00B62052" w:rsidRPr="006419AF" w:rsidRDefault="00B62052" w:rsidP="00B62052">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704323A2" w14:textId="1BFD376B" w:rsidR="00B62052" w:rsidRPr="006419AF" w:rsidRDefault="00B62052" w:rsidP="00B62052">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ABAFA75" w14:textId="5C43B1E0" w:rsidR="00B62052" w:rsidRPr="006419AF" w:rsidRDefault="00B62052" w:rsidP="00B62052">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462" w:type="dxa"/>
          </w:tcPr>
          <w:p w14:paraId="5227370A" w14:textId="2C0BCC72" w:rsidR="00B62052" w:rsidRPr="006419AF" w:rsidRDefault="00B62052" w:rsidP="00B62052">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0DA4D3FF" w14:textId="3905AF1C" w:rsidR="00D51CCB" w:rsidRPr="006419AF" w:rsidRDefault="002F0BDF" w:rsidP="00C50805">
      <w:pPr>
        <w:jc w:val="both"/>
        <w:rPr>
          <w:rFonts w:ascii="Cambria" w:hAnsi="Cambria" w:cs="Arial"/>
          <w:sz w:val="22"/>
          <w:szCs w:val="22"/>
        </w:rPr>
      </w:pPr>
      <w:r w:rsidRPr="006419AF">
        <w:rPr>
          <w:rFonts w:ascii="Cambria" w:hAnsi="Cambria" w:cs="Arial"/>
          <w:sz w:val="22"/>
          <w:szCs w:val="22"/>
        </w:rPr>
        <w:t>*</w:t>
      </w:r>
      <w:r w:rsidR="009D4056" w:rsidRPr="006419AF">
        <w:rPr>
          <w:rFonts w:ascii="Cambria" w:hAnsi="Cambria" w:cs="Arial"/>
          <w:sz w:val="22"/>
          <w:szCs w:val="22"/>
        </w:rPr>
        <w:t>o</w:t>
      </w:r>
      <w:r w:rsidRPr="006419AF">
        <w:rPr>
          <w:rFonts w:ascii="Cambria" w:hAnsi="Cambria" w:cs="Arial"/>
          <w:color w:val="000000"/>
          <w:sz w:val="22"/>
          <w:szCs w:val="22"/>
        </w:rPr>
        <w:t>sobodeň znamená jedna (1) osoba a osem (8) hodín práce počas pracovnej doby (od 8:00 h do 16:00 h) počas pracovných dní, pričom sa počíta iba naplnených osem hodín.</w:t>
      </w:r>
    </w:p>
    <w:p w14:paraId="591A0550" w14:textId="564AAF9E" w:rsidR="00C50805" w:rsidRPr="006419AF" w:rsidRDefault="00C50805" w:rsidP="00C50805">
      <w:pPr>
        <w:rPr>
          <w:rFonts w:ascii="Cambria" w:hAnsi="Cambria"/>
        </w:rPr>
      </w:pPr>
      <w:bookmarkStart w:id="211" w:name="_Toc45812706"/>
    </w:p>
    <w:p w14:paraId="7EAD40BB" w14:textId="7CA9F395" w:rsidR="00C63C63" w:rsidRPr="006419AF" w:rsidRDefault="00AC0F2D" w:rsidP="00C63C63">
      <w:pPr>
        <w:autoSpaceDE w:val="0"/>
        <w:autoSpaceDN w:val="0"/>
        <w:adjustRightInd w:val="0"/>
        <w:ind w:left="1985" w:hanging="1985"/>
        <w:jc w:val="both"/>
        <w:rPr>
          <w:rFonts w:ascii="Cambria" w:hAnsi="Cambria" w:cstheme="majorHAnsi"/>
          <w:b/>
          <w:bCs/>
          <w:sz w:val="22"/>
          <w:szCs w:val="22"/>
        </w:rPr>
      </w:pPr>
      <w:r w:rsidRPr="006419AF">
        <w:rPr>
          <w:rStyle w:val="cf01"/>
          <w:rFonts w:ascii="Cambria" w:hAnsi="Cambria"/>
          <w:b/>
          <w:bCs/>
          <w:sz w:val="22"/>
          <w:szCs w:val="22"/>
        </w:rPr>
        <w:t>Kľúčový expert č. 1 – Projektový manažér</w:t>
      </w:r>
      <w:r w:rsidR="00C63C63" w:rsidRPr="006419AF">
        <w:rPr>
          <w:rFonts w:ascii="Cambria" w:hAnsi="Cambria" w:cstheme="majorHAnsi"/>
          <w:b/>
          <w:bCs/>
          <w:sz w:val="22"/>
          <w:szCs w:val="22"/>
        </w:rPr>
        <w:t>:</w:t>
      </w:r>
    </w:p>
    <w:p w14:paraId="579944A3" w14:textId="77777777" w:rsidR="00C63C63" w:rsidRPr="006419AF" w:rsidRDefault="00C63C63" w:rsidP="00C63C6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2DEB010D" w14:textId="77777777" w:rsidR="00C63C63" w:rsidRPr="006419AF" w:rsidRDefault="00C63C63" w:rsidP="00C63C6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23E35B53" w14:textId="77777777" w:rsidR="00600D90" w:rsidRPr="006419AF" w:rsidRDefault="00600D90" w:rsidP="00240E66">
      <w:pPr>
        <w:autoSpaceDE w:val="0"/>
        <w:autoSpaceDN w:val="0"/>
        <w:adjustRightInd w:val="0"/>
        <w:jc w:val="both"/>
        <w:rPr>
          <w:rFonts w:ascii="Cambria" w:hAnsi="Cambria" w:cstheme="majorHAnsi"/>
          <w:sz w:val="22"/>
          <w:szCs w:val="22"/>
        </w:rPr>
      </w:pPr>
      <w:bookmarkStart w:id="212" w:name="_Hlk43798215"/>
      <w:r w:rsidRPr="006419AF">
        <w:rPr>
          <w:rFonts w:ascii="Cambria" w:hAnsi="Cambria" w:cstheme="majorHAnsi"/>
          <w:sz w:val="22"/>
          <w:szCs w:val="22"/>
        </w:rPr>
        <w:t>Expert musí spĺňať nasledujúce minimálne požiadavky:</w:t>
      </w:r>
    </w:p>
    <w:p w14:paraId="1C7B0028" w14:textId="77777777" w:rsidR="00035654" w:rsidRPr="00035654" w:rsidRDefault="00035654" w:rsidP="00035654">
      <w:pPr>
        <w:pStyle w:val="ListParagraph"/>
        <w:numPr>
          <w:ilvl w:val="0"/>
          <w:numId w:val="4"/>
        </w:numPr>
        <w:autoSpaceDE w:val="0"/>
        <w:autoSpaceDN w:val="0"/>
        <w:adjustRightInd w:val="0"/>
        <w:jc w:val="both"/>
        <w:rPr>
          <w:rFonts w:ascii="Cambria" w:hAnsi="Cambria" w:cstheme="majorHAnsi"/>
        </w:rPr>
      </w:pPr>
      <w:r w:rsidRPr="00035654">
        <w:rPr>
          <w:rFonts w:ascii="Cambria" w:hAnsi="Cambria" w:cstheme="majorHAnsi"/>
        </w:rPr>
        <w:t xml:space="preserve">Minimálne 5 rokov odborných skúseností s projektovým riadením komplexných projektov oblasti informačných technológií; </w:t>
      </w:r>
      <w:bookmarkStart w:id="213" w:name="_Hlk108090406"/>
      <w:r w:rsidRPr="00035654">
        <w:rPr>
          <w:rFonts w:ascii="Cambria" w:hAnsi="Cambria" w:cstheme="majorHAnsi"/>
        </w:rPr>
        <w:t>túto podmienku účasti uchádzač u experta preukáže profesijným životopisom.</w:t>
      </w:r>
      <w:bookmarkEnd w:id="213"/>
    </w:p>
    <w:p w14:paraId="35C1B8C0" w14:textId="0D8A9AE1" w:rsidR="00035654" w:rsidRPr="00035654" w:rsidRDefault="00035654" w:rsidP="00035654">
      <w:pPr>
        <w:pStyle w:val="ListParagraph"/>
        <w:numPr>
          <w:ilvl w:val="0"/>
          <w:numId w:val="4"/>
        </w:numPr>
        <w:autoSpaceDE w:val="0"/>
        <w:autoSpaceDN w:val="0"/>
        <w:adjustRightInd w:val="0"/>
        <w:jc w:val="both"/>
        <w:rPr>
          <w:rFonts w:ascii="Cambria" w:hAnsi="Cambria" w:cstheme="majorHAnsi"/>
        </w:rPr>
      </w:pPr>
      <w:r w:rsidRPr="00035654">
        <w:rPr>
          <w:rFonts w:ascii="Cambria" w:hAnsi="Cambria" w:cstheme="majorHAnsi"/>
        </w:rPr>
        <w:t xml:space="preserve">Získaný a platný certifikát PRINCE 2 Foundation na odbornú spôsobilosť pre riadenie projektov alebo ekvivalent (napr. IPMA B, PMP) daného certifikátu vydaný od inej </w:t>
      </w:r>
      <w:r w:rsidRPr="00035654">
        <w:rPr>
          <w:rFonts w:ascii="Cambria" w:hAnsi="Cambria" w:cstheme="majorHAnsi"/>
        </w:rPr>
        <w:lastRenderedPageBreak/>
        <w:t>akreditačnej a certifikačnej autority; túto podmienku účasti uchádzač preukáže kópiou certifikátu.</w:t>
      </w:r>
    </w:p>
    <w:p w14:paraId="63D97CC2" w14:textId="1BCD44C7" w:rsidR="00035654" w:rsidRPr="00B667DD" w:rsidRDefault="00035654" w:rsidP="00035654">
      <w:pPr>
        <w:pStyle w:val="ListParagraph"/>
        <w:numPr>
          <w:ilvl w:val="0"/>
          <w:numId w:val="4"/>
        </w:numPr>
        <w:autoSpaceDE w:val="0"/>
        <w:autoSpaceDN w:val="0"/>
        <w:adjustRightInd w:val="0"/>
        <w:jc w:val="both"/>
        <w:rPr>
          <w:rFonts w:asciiTheme="majorHAnsi" w:hAnsiTheme="majorHAnsi" w:cs="Arial"/>
          <w:sz w:val="20"/>
          <w:szCs w:val="20"/>
        </w:rPr>
      </w:pPr>
      <w:r w:rsidRPr="00035654">
        <w:rPr>
          <w:rFonts w:ascii="Cambria" w:hAnsi="Cambria" w:cstheme="majorHAnsi"/>
        </w:rPr>
        <w:t>Minimálne 1 praktická skúsenosť s realizáciou zákazky týkajúcej sa tvorby dátového skladu na pozícii projektového manažéra projektu počas celej doby trvania projektu s minimálnou hodnotou vo výške 1 500 000 eur bez DPH na implementáciu informačných systémov (a integrácií) v rozsahu analýza, návrh riešenia, implementácia a nasadenie informačného systému; túto podmienku účasti uchádzač u experta preukáže profesijným životopisom,</w:t>
      </w:r>
      <w:r w:rsidRPr="00B667DD">
        <w:rPr>
          <w:rFonts w:asciiTheme="majorHAnsi" w:hAnsiTheme="majorHAnsi" w:cs="Arial"/>
          <w:sz w:val="20"/>
          <w:szCs w:val="20"/>
        </w:rPr>
        <w:t xml:space="preserve"> </w:t>
      </w:r>
    </w:p>
    <w:p w14:paraId="2066FB8A" w14:textId="6935CF76" w:rsidR="00CB7568" w:rsidRPr="0031150F" w:rsidRDefault="00CB7568" w:rsidP="000170B8">
      <w:pPr>
        <w:pStyle w:val="ListParagraph"/>
        <w:autoSpaceDE w:val="0"/>
        <w:autoSpaceDN w:val="0"/>
        <w:adjustRightInd w:val="0"/>
        <w:jc w:val="both"/>
        <w:rPr>
          <w:rFonts w:ascii="Cambria" w:hAnsi="Cambria" w:cstheme="majorHAnsi"/>
        </w:rPr>
      </w:pPr>
    </w:p>
    <w:p w14:paraId="7D8C1ACB" w14:textId="41FB97BE" w:rsidR="008B01C9" w:rsidRPr="006419AF" w:rsidRDefault="008B01C9" w:rsidP="009A3D19">
      <w:pPr>
        <w:pStyle w:val="ListParagraph"/>
        <w:numPr>
          <w:ilvl w:val="0"/>
          <w:numId w:val="4"/>
        </w:numPr>
        <w:autoSpaceDE w:val="0"/>
        <w:autoSpaceDN w:val="0"/>
        <w:adjustRightInd w:val="0"/>
        <w:jc w:val="both"/>
        <w:rPr>
          <w:rFonts w:ascii="Cambria" w:hAnsi="Cambria" w:cstheme="majorHAnsi"/>
        </w:rPr>
      </w:pPr>
      <w:r w:rsidRPr="006419AF">
        <w:rPr>
          <w:rFonts w:ascii="Cambria" w:hAnsi="Cambria" w:cstheme="majorHAnsi"/>
        </w:rPr>
        <w:t xml:space="preserve">Kľúčový expert č. 1 je zodpovedný za riadenie projektu na strane </w:t>
      </w:r>
      <w:r w:rsidR="00D67ED4" w:rsidRPr="006419AF">
        <w:rPr>
          <w:rFonts w:ascii="Cambria" w:hAnsi="Cambria" w:cstheme="majorHAnsi"/>
        </w:rPr>
        <w:t>zhotoviteľa</w:t>
      </w:r>
      <w:r w:rsidRPr="006419AF">
        <w:rPr>
          <w:rFonts w:ascii="Cambria" w:hAnsi="Cambria" w:cstheme="majorHAnsi"/>
        </w:rPr>
        <w:t>.</w:t>
      </w:r>
    </w:p>
    <w:bookmarkEnd w:id="212"/>
    <w:p w14:paraId="0F9EFAFC" w14:textId="77777777" w:rsidR="00D67ED4" w:rsidRPr="006419AF" w:rsidRDefault="00D67ED4" w:rsidP="00C63C63">
      <w:pPr>
        <w:autoSpaceDE w:val="0"/>
        <w:autoSpaceDN w:val="0"/>
        <w:adjustRightInd w:val="0"/>
        <w:ind w:left="1985" w:hanging="993"/>
        <w:jc w:val="both"/>
        <w:rPr>
          <w:rFonts w:ascii="Cambria" w:hAnsi="Cambria" w:cstheme="majorHAnsi"/>
          <w:sz w:val="22"/>
          <w:szCs w:val="22"/>
        </w:rPr>
      </w:pPr>
    </w:p>
    <w:p w14:paraId="51D8A670" w14:textId="69A79F56" w:rsidR="00AC0F2D" w:rsidRPr="006419AF" w:rsidRDefault="00AC0F2D" w:rsidP="00AC0F2D">
      <w:pPr>
        <w:keepNext/>
        <w:autoSpaceDE w:val="0"/>
        <w:autoSpaceDN w:val="0"/>
        <w:adjustRightInd w:val="0"/>
        <w:ind w:left="2127" w:hanging="2127"/>
        <w:jc w:val="both"/>
        <w:rPr>
          <w:rFonts w:ascii="Cambria" w:hAnsi="Cambria" w:cs="Arial"/>
          <w:b/>
          <w:bCs/>
          <w:sz w:val="22"/>
          <w:szCs w:val="22"/>
          <w:lang w:eastAsia="ja-JP"/>
        </w:rPr>
      </w:pPr>
      <w:r w:rsidRPr="006419AF">
        <w:rPr>
          <w:rStyle w:val="cf01"/>
          <w:rFonts w:ascii="Cambria" w:hAnsi="Cambria"/>
          <w:b/>
          <w:bCs/>
          <w:sz w:val="22"/>
          <w:szCs w:val="22"/>
        </w:rPr>
        <w:t xml:space="preserve">Kľúčový expert č. 2 – </w:t>
      </w:r>
      <w:r w:rsidR="00220537" w:rsidRPr="006419AF">
        <w:rPr>
          <w:rStyle w:val="cf01"/>
          <w:rFonts w:ascii="Cambria" w:hAnsi="Cambria"/>
          <w:b/>
          <w:bCs/>
          <w:sz w:val="22"/>
          <w:szCs w:val="22"/>
        </w:rPr>
        <w:t>Architekt riešenia (Relačná časť DWH)</w:t>
      </w:r>
    </w:p>
    <w:p w14:paraId="7A96D683" w14:textId="65AABC3D" w:rsidR="00C63C63" w:rsidRPr="006419AF" w:rsidRDefault="00C63C63" w:rsidP="00C63C63">
      <w:pPr>
        <w:keepNext/>
        <w:autoSpaceDE w:val="0"/>
        <w:autoSpaceDN w:val="0"/>
        <w:adjustRightInd w:val="0"/>
        <w:ind w:left="2127" w:hanging="2127"/>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3278BD8B" w14:textId="77777777" w:rsidR="00175DE3" w:rsidRPr="006419AF" w:rsidRDefault="00175DE3" w:rsidP="00175DE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6349C027" w14:textId="77777777" w:rsidR="00600D90" w:rsidRPr="006419AF" w:rsidRDefault="00600D90" w:rsidP="00240E66">
      <w:pPr>
        <w:autoSpaceDE w:val="0"/>
        <w:autoSpaceDN w:val="0"/>
        <w:adjustRightInd w:val="0"/>
        <w:jc w:val="both"/>
        <w:rPr>
          <w:rFonts w:ascii="Cambria" w:hAnsi="Cambria" w:cstheme="majorHAnsi"/>
          <w:sz w:val="22"/>
          <w:szCs w:val="22"/>
        </w:rPr>
      </w:pPr>
      <w:r w:rsidRPr="006419AF">
        <w:rPr>
          <w:rFonts w:ascii="Cambria" w:hAnsi="Cambria" w:cstheme="majorHAnsi"/>
          <w:sz w:val="22"/>
          <w:szCs w:val="22"/>
        </w:rPr>
        <w:t>Expert musí spĺňať nasledujúce minimálne požiadavky:</w:t>
      </w:r>
    </w:p>
    <w:p w14:paraId="2CE5FE54" w14:textId="464FE357" w:rsidR="007367D9" w:rsidRDefault="007367D9" w:rsidP="00982CBC">
      <w:pPr>
        <w:pStyle w:val="ListParagraph"/>
        <w:numPr>
          <w:ilvl w:val="0"/>
          <w:numId w:val="4"/>
        </w:numPr>
        <w:autoSpaceDE w:val="0"/>
        <w:autoSpaceDN w:val="0"/>
        <w:adjustRightInd w:val="0"/>
        <w:ind w:left="709" w:hanging="283"/>
        <w:jc w:val="both"/>
        <w:rPr>
          <w:rFonts w:asciiTheme="majorHAnsi" w:hAnsiTheme="majorHAnsi" w:cs="Arial"/>
          <w:sz w:val="20"/>
          <w:szCs w:val="20"/>
        </w:rPr>
      </w:pPr>
      <w:r w:rsidRPr="007367D9">
        <w:rPr>
          <w:rFonts w:ascii="Cambria" w:hAnsi="Cambria" w:cstheme="majorHAnsi"/>
        </w:rPr>
        <w:t>Minimálne 7 rokov odbornej praxe v oblasti budovania DWH a dátovej integrácie, z toho minimálne 3 roky v roli Architekt; Kľúčový expert musí preukázať znalosť používania niektorých globálnych metodík (napr. Data Vault 2.0) budovania dátových skladov na daných projektoch; túto podmienku účasti uchádzač u experta preukáže profesijným životopisom.</w:t>
      </w:r>
    </w:p>
    <w:p w14:paraId="0E5AA486" w14:textId="77777777" w:rsidR="007367D9" w:rsidRPr="007367D9" w:rsidRDefault="007367D9" w:rsidP="007367D9">
      <w:pPr>
        <w:pStyle w:val="ListParagraph"/>
        <w:numPr>
          <w:ilvl w:val="0"/>
          <w:numId w:val="4"/>
        </w:numPr>
        <w:autoSpaceDE w:val="0"/>
        <w:autoSpaceDN w:val="0"/>
        <w:adjustRightInd w:val="0"/>
        <w:jc w:val="both"/>
        <w:rPr>
          <w:rFonts w:ascii="Cambria" w:hAnsi="Cambria" w:cstheme="majorHAnsi"/>
        </w:rPr>
      </w:pPr>
      <w:r w:rsidRPr="007367D9">
        <w:rPr>
          <w:rFonts w:ascii="Cambria" w:hAnsi="Cambria" w:cstheme="majorHAnsi"/>
        </w:rPr>
        <w:t xml:space="preserve">Predloženie minimálne jednej zákazky vo finančnej funkčnej oblasti (účtovníctvo, kontroling a podobne; nemusí byť z finančného sektora) </w:t>
      </w:r>
      <w:r w:rsidRPr="007367D9">
        <w:rPr>
          <w:rFonts w:ascii="Cambria" w:hAnsi="Cambria" w:cstheme="majorHAnsi"/>
        </w:rPr>
        <w:br/>
        <w:t>v tejto metodike; túto podmienku účasti uchádzač u experta preukáže profesijným životopisom.</w:t>
      </w:r>
    </w:p>
    <w:p w14:paraId="46667183" w14:textId="01D16337" w:rsidR="007367D9" w:rsidRPr="00EF7A7B" w:rsidRDefault="007367D9" w:rsidP="007367D9">
      <w:pPr>
        <w:pStyle w:val="ListParagraph"/>
        <w:numPr>
          <w:ilvl w:val="0"/>
          <w:numId w:val="4"/>
        </w:numPr>
        <w:autoSpaceDE w:val="0"/>
        <w:autoSpaceDN w:val="0"/>
        <w:adjustRightInd w:val="0"/>
        <w:jc w:val="both"/>
        <w:rPr>
          <w:rFonts w:asciiTheme="majorHAnsi" w:hAnsiTheme="majorHAnsi" w:cs="Arial"/>
          <w:sz w:val="20"/>
          <w:szCs w:val="20"/>
        </w:rPr>
      </w:pPr>
      <w:r w:rsidRPr="007367D9">
        <w:rPr>
          <w:rFonts w:ascii="Cambria" w:hAnsi="Cambria" w:cstheme="majorHAnsi"/>
        </w:rPr>
        <w:t>Skúsenosti s Oracle SQL, PL/SQL, ladenie DB, dátového modelovanie, infraštruktúra, bezpečnostných nastavení riešenia; túto podmienku účasti uchádzač preukáže profesijným životopisom.</w:t>
      </w:r>
    </w:p>
    <w:p w14:paraId="631D7758" w14:textId="58D7E9F4" w:rsidR="007367D9" w:rsidRPr="0074748D" w:rsidRDefault="007367D9" w:rsidP="007367D9">
      <w:pPr>
        <w:pStyle w:val="ListParagraph"/>
        <w:numPr>
          <w:ilvl w:val="0"/>
          <w:numId w:val="4"/>
        </w:numPr>
        <w:autoSpaceDE w:val="0"/>
        <w:autoSpaceDN w:val="0"/>
        <w:adjustRightInd w:val="0"/>
        <w:jc w:val="both"/>
        <w:rPr>
          <w:rFonts w:asciiTheme="majorHAnsi" w:hAnsiTheme="majorHAnsi" w:cs="Arial"/>
          <w:sz w:val="20"/>
          <w:szCs w:val="20"/>
        </w:rPr>
      </w:pPr>
      <w:r w:rsidRPr="007367D9">
        <w:rPr>
          <w:rFonts w:ascii="Cambria" w:hAnsi="Cambria" w:cstheme="majorHAnsi"/>
        </w:rPr>
        <w:t>Minimálne 1 praktická skúsenosť s realizáciou zákazky týkajúcej sa tvorby dátového skladu s minimálnym počtom 15 integrovaných systémov (nie objektov) v rôznych technológiách a spôsobov spracovania na pozícii architekta  s tým, že na projekte musel odpracovať minimálne 200 osobodní (osobodeň znamená jedna (1) osoba a osem (8) hodín práce počas pracovnej doby (napr. od 8.00 h do 16.00 h) počas pracovných dní, pričom sa počíta iba naplnených osem hodín); túto podmienku účasti uchádzač u experta preukáže profesijným životopisom.</w:t>
      </w:r>
      <w:r>
        <w:rPr>
          <w:rFonts w:asciiTheme="majorHAnsi" w:hAnsiTheme="majorHAnsi" w:cs="Arial"/>
          <w:sz w:val="20"/>
          <w:szCs w:val="20"/>
        </w:rPr>
        <w:t xml:space="preserve"> </w:t>
      </w:r>
    </w:p>
    <w:p w14:paraId="13A19E1A" w14:textId="77777777" w:rsidR="00CB7568" w:rsidRPr="006419AF" w:rsidRDefault="00CB7568" w:rsidP="00CB7568">
      <w:pPr>
        <w:pStyle w:val="ListParagraph"/>
        <w:autoSpaceDE w:val="0"/>
        <w:autoSpaceDN w:val="0"/>
        <w:adjustRightInd w:val="0"/>
        <w:jc w:val="both"/>
        <w:rPr>
          <w:rFonts w:ascii="Cambria" w:hAnsi="Cambria" w:cstheme="majorHAnsi"/>
        </w:rPr>
      </w:pPr>
    </w:p>
    <w:p w14:paraId="095EE3D5" w14:textId="4C6B4526" w:rsidR="0096019D" w:rsidRPr="006419AF" w:rsidRDefault="0096019D" w:rsidP="009A3D19">
      <w:pPr>
        <w:pStyle w:val="ListParagraph"/>
        <w:numPr>
          <w:ilvl w:val="0"/>
          <w:numId w:val="4"/>
        </w:numPr>
        <w:autoSpaceDE w:val="0"/>
        <w:autoSpaceDN w:val="0"/>
        <w:adjustRightInd w:val="0"/>
        <w:jc w:val="both"/>
        <w:rPr>
          <w:rFonts w:ascii="Cambria" w:hAnsi="Cambria" w:cstheme="majorHAnsi"/>
        </w:rPr>
      </w:pPr>
      <w:r w:rsidRPr="006419AF">
        <w:rPr>
          <w:rFonts w:ascii="Cambria" w:hAnsi="Cambria" w:cstheme="majorHAnsi"/>
        </w:rPr>
        <w:t>Kľúčový expert č. 2 je zodpovedný za celkovú architektúru relačnej časti DWH, tvorbu konceptuálneho modelu DWH, návrh fyzického modelu, návrh data</w:t>
      </w:r>
      <w:r w:rsidR="00D63BF0">
        <w:rPr>
          <w:rFonts w:ascii="Cambria" w:hAnsi="Cambria" w:cstheme="majorHAnsi"/>
        </w:rPr>
        <w:t xml:space="preserve"> </w:t>
      </w:r>
      <w:r w:rsidRPr="006419AF">
        <w:rPr>
          <w:rFonts w:ascii="Cambria" w:hAnsi="Cambria" w:cstheme="majorHAnsi"/>
        </w:rPr>
        <w:t>flow.</w:t>
      </w:r>
    </w:p>
    <w:p w14:paraId="4B3CE01A" w14:textId="77777777" w:rsidR="00C63C63" w:rsidRPr="006419AF" w:rsidRDefault="00C63C63" w:rsidP="00C63C63">
      <w:pPr>
        <w:autoSpaceDE w:val="0"/>
        <w:autoSpaceDN w:val="0"/>
        <w:adjustRightInd w:val="0"/>
        <w:ind w:left="1985" w:hanging="993"/>
        <w:jc w:val="both"/>
        <w:rPr>
          <w:rFonts w:ascii="Cambria" w:hAnsi="Cambria" w:cstheme="majorHAnsi"/>
          <w:sz w:val="22"/>
          <w:szCs w:val="22"/>
        </w:rPr>
      </w:pPr>
    </w:p>
    <w:p w14:paraId="47598631" w14:textId="2AA601E2" w:rsidR="00AC0F2D" w:rsidRPr="006419AF" w:rsidRDefault="00AC0F2D" w:rsidP="00C63C63">
      <w:pPr>
        <w:autoSpaceDE w:val="0"/>
        <w:autoSpaceDN w:val="0"/>
        <w:adjustRightInd w:val="0"/>
        <w:ind w:left="1985" w:hanging="1985"/>
        <w:jc w:val="both"/>
        <w:rPr>
          <w:rStyle w:val="cf01"/>
          <w:rFonts w:ascii="Cambria" w:hAnsi="Cambria"/>
          <w:b/>
          <w:bCs/>
          <w:sz w:val="22"/>
          <w:szCs w:val="22"/>
        </w:rPr>
      </w:pPr>
      <w:r w:rsidRPr="006419AF">
        <w:rPr>
          <w:rStyle w:val="cf01"/>
          <w:rFonts w:ascii="Cambria" w:hAnsi="Cambria"/>
          <w:b/>
          <w:bCs/>
          <w:sz w:val="22"/>
          <w:szCs w:val="22"/>
        </w:rPr>
        <w:t xml:space="preserve">Kľúčový expert č. 3 – </w:t>
      </w:r>
      <w:r w:rsidR="00CB7568" w:rsidRPr="006419AF">
        <w:rPr>
          <w:rFonts w:ascii="Cambria" w:eastAsia="Cambria" w:hAnsi="Cambria" w:cs="Cambria"/>
          <w:b/>
          <w:sz w:val="22"/>
          <w:szCs w:val="22"/>
          <w:lang w:val="sk"/>
        </w:rPr>
        <w:t>Architekt riešenia (BigData/DataLake časť DWH)</w:t>
      </w:r>
    </w:p>
    <w:p w14:paraId="0F8AF284" w14:textId="04ACE327" w:rsidR="00C63C63" w:rsidRPr="006419AF" w:rsidRDefault="00C63C63" w:rsidP="00C63C6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48C178D2" w14:textId="77777777" w:rsidR="00175DE3" w:rsidRPr="006419AF" w:rsidRDefault="00175DE3" w:rsidP="00175DE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338E4D17" w14:textId="77777777" w:rsidR="00600D90" w:rsidRPr="006419AF" w:rsidRDefault="00600D90" w:rsidP="00941BEB">
      <w:pPr>
        <w:autoSpaceDE w:val="0"/>
        <w:autoSpaceDN w:val="0"/>
        <w:adjustRightInd w:val="0"/>
        <w:jc w:val="both"/>
        <w:rPr>
          <w:rFonts w:ascii="Cambria" w:hAnsi="Cambria" w:cstheme="majorHAnsi"/>
          <w:sz w:val="22"/>
          <w:szCs w:val="22"/>
        </w:rPr>
      </w:pPr>
      <w:r w:rsidRPr="006419AF">
        <w:rPr>
          <w:rFonts w:ascii="Cambria" w:hAnsi="Cambria" w:cstheme="majorHAnsi"/>
          <w:sz w:val="22"/>
          <w:szCs w:val="22"/>
        </w:rPr>
        <w:t>Expert musí spĺňať nasledujúce minimálne požiadavky:</w:t>
      </w:r>
    </w:p>
    <w:p w14:paraId="160104DD" w14:textId="77777777" w:rsidR="00AD7FB0" w:rsidRDefault="00AD7FB0" w:rsidP="00AD7FB0">
      <w:pPr>
        <w:pStyle w:val="ListParagraph"/>
        <w:numPr>
          <w:ilvl w:val="0"/>
          <w:numId w:val="4"/>
        </w:numPr>
        <w:autoSpaceDE w:val="0"/>
        <w:autoSpaceDN w:val="0"/>
        <w:adjustRightInd w:val="0"/>
        <w:ind w:left="709" w:hanging="283"/>
        <w:jc w:val="both"/>
        <w:rPr>
          <w:rFonts w:asciiTheme="majorHAnsi" w:hAnsiTheme="majorHAnsi" w:cs="Arial"/>
          <w:sz w:val="20"/>
          <w:szCs w:val="20"/>
        </w:rPr>
      </w:pPr>
      <w:r w:rsidRPr="00AD7FB0">
        <w:rPr>
          <w:rFonts w:ascii="Cambria" w:hAnsi="Cambria" w:cstheme="majorHAnsi"/>
        </w:rPr>
        <w:t>Minimálne 7 rokov odbornej praxe v oblasti budovania DWH a dátovej integrácie, z toho minimálne 3 roky odbornej praxe v oblasti budovania DataLake s BigData technológiami;</w:t>
      </w:r>
      <w:r>
        <w:rPr>
          <w:rFonts w:ascii="Cambria" w:hAnsi="Cambria" w:cstheme="majorHAnsi"/>
        </w:rPr>
        <w:t xml:space="preserve"> </w:t>
      </w:r>
      <w:r w:rsidRPr="007367D9">
        <w:rPr>
          <w:rFonts w:ascii="Cambria" w:hAnsi="Cambria" w:cstheme="majorHAnsi"/>
        </w:rPr>
        <w:t>túto podmienku účasti uchádzač u experta preukáže profesijným životopisom.</w:t>
      </w:r>
    </w:p>
    <w:p w14:paraId="631F9D0C" w14:textId="14465A22" w:rsidR="00AD7FB0" w:rsidRPr="0074748D" w:rsidRDefault="00AD7FB0" w:rsidP="00AD7FB0">
      <w:pPr>
        <w:pStyle w:val="ListParagraph"/>
        <w:numPr>
          <w:ilvl w:val="0"/>
          <w:numId w:val="4"/>
        </w:numPr>
        <w:autoSpaceDE w:val="0"/>
        <w:autoSpaceDN w:val="0"/>
        <w:adjustRightInd w:val="0"/>
        <w:jc w:val="both"/>
        <w:rPr>
          <w:rFonts w:asciiTheme="majorHAnsi" w:hAnsiTheme="majorHAnsi" w:cs="Arial"/>
          <w:sz w:val="20"/>
          <w:szCs w:val="20"/>
        </w:rPr>
      </w:pPr>
      <w:r w:rsidRPr="00AD7FB0">
        <w:rPr>
          <w:rFonts w:ascii="Cambria" w:hAnsi="Cambria" w:cstheme="majorHAnsi"/>
        </w:rPr>
        <w:t>Skúsenosti s technológiami a metódami BigData – HDFS, Hive, Hbase, Spark, Nifi, Impala, SQL, ladenie prostredí, infraštruktúra, bezpečnostných nastavení riešenia; preukazuje účasťou na predchádzajúcich projektoch v v roli Architekta, a/alebo Špecialistu ETL a/alebo Dátového dizajnéra; túto podmienku účasti uchádzač preukáže profesijným životopisom.</w:t>
      </w:r>
    </w:p>
    <w:p w14:paraId="4ED8CF1E" w14:textId="3FDCA1AB" w:rsidR="00AD7FB0" w:rsidRPr="00AD7FB0" w:rsidRDefault="00AD7FB0" w:rsidP="00AD7FB0">
      <w:pPr>
        <w:pStyle w:val="ListParagraph"/>
        <w:numPr>
          <w:ilvl w:val="0"/>
          <w:numId w:val="4"/>
        </w:numPr>
        <w:autoSpaceDE w:val="0"/>
        <w:autoSpaceDN w:val="0"/>
        <w:adjustRightInd w:val="0"/>
        <w:jc w:val="both"/>
        <w:rPr>
          <w:rFonts w:ascii="Cambria" w:hAnsi="Cambria" w:cstheme="majorHAnsi"/>
        </w:rPr>
      </w:pPr>
      <w:r w:rsidRPr="00AD7FB0">
        <w:rPr>
          <w:rFonts w:ascii="Cambria" w:hAnsi="Cambria" w:cstheme="majorHAnsi"/>
        </w:rPr>
        <w:t xml:space="preserve">Minimálne 1 praktická skúsenosť s realizáciou zákazky týkajúcej sa tvorby dátového skladu s minimálnym počtom 15 integrovaných systémov (nie objektov) na pozícii dátového architekta s tým, že na projekte musel odpracovať minimálne 200 osobodní </w:t>
      </w:r>
      <w:r w:rsidRPr="00AD7FB0">
        <w:rPr>
          <w:rFonts w:ascii="Cambria" w:hAnsi="Cambria" w:cstheme="majorHAnsi"/>
        </w:rPr>
        <w:lastRenderedPageBreak/>
        <w:t xml:space="preserve">(osobodeň znamená jedna (1) osoba a osem (8) hodín práce počas pracovnej doby (napr. od 8.00 h do 16.00 h) počas pracovných dní, pričom sa počíta iba naplnených osem hodín) na pozícii dátového architekta; túto podmienku účasti uchádzač u experta preukáže profesijným životopisom. </w:t>
      </w:r>
    </w:p>
    <w:p w14:paraId="5248CFCE" w14:textId="77777777" w:rsidR="009F2BF4" w:rsidRPr="006419AF" w:rsidRDefault="009F2BF4" w:rsidP="00C97319">
      <w:pPr>
        <w:pStyle w:val="ListParagraph"/>
        <w:autoSpaceDE w:val="0"/>
        <w:autoSpaceDN w:val="0"/>
        <w:adjustRightInd w:val="0"/>
        <w:jc w:val="both"/>
        <w:rPr>
          <w:rFonts w:ascii="Cambria" w:hAnsi="Cambria" w:cstheme="majorHAnsi"/>
        </w:rPr>
      </w:pPr>
    </w:p>
    <w:p w14:paraId="241954BA" w14:textId="472946E0" w:rsidR="00C63C63" w:rsidRPr="006419AF" w:rsidRDefault="001F7033" w:rsidP="009A3D19">
      <w:pPr>
        <w:pStyle w:val="ListParagraph"/>
        <w:numPr>
          <w:ilvl w:val="0"/>
          <w:numId w:val="4"/>
        </w:numPr>
        <w:autoSpaceDE w:val="0"/>
        <w:autoSpaceDN w:val="0"/>
        <w:adjustRightInd w:val="0"/>
        <w:spacing w:after="0"/>
        <w:jc w:val="both"/>
        <w:rPr>
          <w:rFonts w:ascii="Cambria" w:hAnsi="Cambria" w:cstheme="majorHAnsi"/>
        </w:rPr>
      </w:pPr>
      <w:r w:rsidRPr="006419AF">
        <w:rPr>
          <w:rFonts w:ascii="Cambria" w:hAnsi="Cambria" w:cstheme="majorHAnsi"/>
        </w:rPr>
        <w:t>Kľúčový expert č. 3 je zodpovedný za celkovú architektúru DataLake časti DWH, tvorbu konceptuálneho modelu, návrh fyzického modelu, návrh data</w:t>
      </w:r>
      <w:r w:rsidR="00C26774">
        <w:rPr>
          <w:rFonts w:ascii="Cambria" w:hAnsi="Cambria" w:cstheme="majorHAnsi"/>
        </w:rPr>
        <w:t xml:space="preserve"> </w:t>
      </w:r>
      <w:r w:rsidRPr="006419AF">
        <w:rPr>
          <w:rFonts w:ascii="Cambria" w:hAnsi="Cambria" w:cstheme="majorHAnsi"/>
        </w:rPr>
        <w:t>flow</w:t>
      </w:r>
      <w:r w:rsidR="00C97319" w:rsidRPr="006419AF">
        <w:rPr>
          <w:rFonts w:ascii="Cambria" w:hAnsi="Cambria" w:cstheme="majorHAnsi"/>
        </w:rPr>
        <w:t>.</w:t>
      </w:r>
    </w:p>
    <w:p w14:paraId="55FBE5F0" w14:textId="77777777" w:rsidR="00C97319" w:rsidRPr="006419AF" w:rsidRDefault="00C97319" w:rsidP="00C63C63">
      <w:pPr>
        <w:autoSpaceDE w:val="0"/>
        <w:autoSpaceDN w:val="0"/>
        <w:adjustRightInd w:val="0"/>
        <w:ind w:left="1985" w:hanging="1985"/>
        <w:jc w:val="both"/>
        <w:rPr>
          <w:rStyle w:val="cf01"/>
          <w:rFonts w:ascii="Cambria" w:hAnsi="Cambria"/>
          <w:b/>
          <w:bCs/>
          <w:sz w:val="22"/>
          <w:szCs w:val="22"/>
        </w:rPr>
      </w:pPr>
    </w:p>
    <w:p w14:paraId="56ACE79E" w14:textId="67E1A175" w:rsidR="00AC0F2D" w:rsidRPr="006419AF" w:rsidRDefault="00AC0F2D" w:rsidP="00C63C63">
      <w:pPr>
        <w:autoSpaceDE w:val="0"/>
        <w:autoSpaceDN w:val="0"/>
        <w:adjustRightInd w:val="0"/>
        <w:ind w:left="1985" w:hanging="1985"/>
        <w:jc w:val="both"/>
        <w:rPr>
          <w:rStyle w:val="cf01"/>
          <w:rFonts w:ascii="Cambria" w:hAnsi="Cambria"/>
          <w:b/>
          <w:bCs/>
          <w:sz w:val="22"/>
          <w:szCs w:val="22"/>
        </w:rPr>
      </w:pPr>
      <w:r w:rsidRPr="006419AF">
        <w:rPr>
          <w:rStyle w:val="cf01"/>
          <w:rFonts w:ascii="Cambria" w:hAnsi="Cambria"/>
          <w:b/>
          <w:bCs/>
          <w:sz w:val="22"/>
          <w:szCs w:val="22"/>
        </w:rPr>
        <w:t xml:space="preserve">Kľúčový expert č. 4 – </w:t>
      </w:r>
      <w:r w:rsidR="00941BEB" w:rsidRPr="006419AF">
        <w:rPr>
          <w:rStyle w:val="cf01"/>
          <w:rFonts w:ascii="Cambria" w:hAnsi="Cambria"/>
          <w:b/>
          <w:bCs/>
          <w:sz w:val="22"/>
          <w:szCs w:val="22"/>
        </w:rPr>
        <w:t>Senior Dátový Analytik</w:t>
      </w:r>
    </w:p>
    <w:p w14:paraId="18116F93" w14:textId="6ADC1722" w:rsidR="00C63C63" w:rsidRPr="006419AF" w:rsidRDefault="00C63C63" w:rsidP="00C63C6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0104602B" w14:textId="77777777" w:rsidR="00175DE3" w:rsidRPr="006419AF" w:rsidRDefault="00175DE3" w:rsidP="00175DE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365B67C5" w14:textId="77777777" w:rsidR="00C63C63" w:rsidRPr="006419AF" w:rsidRDefault="00C63C63" w:rsidP="00295276">
      <w:pPr>
        <w:autoSpaceDE w:val="0"/>
        <w:autoSpaceDN w:val="0"/>
        <w:adjustRightInd w:val="0"/>
        <w:jc w:val="both"/>
        <w:rPr>
          <w:rFonts w:ascii="Cambria" w:hAnsi="Cambria" w:cstheme="majorHAnsi"/>
          <w:sz w:val="22"/>
          <w:szCs w:val="22"/>
        </w:rPr>
      </w:pPr>
      <w:r w:rsidRPr="006419AF">
        <w:rPr>
          <w:rFonts w:ascii="Cambria" w:hAnsi="Cambria" w:cstheme="majorHAnsi"/>
          <w:sz w:val="22"/>
          <w:szCs w:val="22"/>
        </w:rPr>
        <w:t>Expert musí spĺňať nasledujúce minimálne požiadavky:</w:t>
      </w:r>
    </w:p>
    <w:p w14:paraId="564A140B" w14:textId="76F62FC1" w:rsidR="00437370" w:rsidRPr="00437370" w:rsidRDefault="00437370" w:rsidP="00437370">
      <w:pPr>
        <w:pStyle w:val="ListParagraph"/>
        <w:numPr>
          <w:ilvl w:val="0"/>
          <w:numId w:val="4"/>
        </w:numPr>
        <w:autoSpaceDE w:val="0"/>
        <w:autoSpaceDN w:val="0"/>
        <w:adjustRightInd w:val="0"/>
        <w:spacing w:after="0"/>
        <w:jc w:val="both"/>
        <w:rPr>
          <w:rFonts w:ascii="Cambria" w:hAnsi="Cambria" w:cstheme="majorHAnsi"/>
        </w:rPr>
      </w:pPr>
      <w:r w:rsidRPr="00437370">
        <w:rPr>
          <w:rFonts w:ascii="Cambria" w:hAnsi="Cambria" w:cstheme="majorHAnsi"/>
        </w:rPr>
        <w:t>Minimálne 5 rokov odbornej praxe v oblasti analýzy a modelovania informačných systémov; túto podmienku účasti uchádzač u experta preukáže profesijným životopisom.</w:t>
      </w:r>
    </w:p>
    <w:p w14:paraId="72EFCE53" w14:textId="5D9308C1" w:rsidR="00437370" w:rsidRPr="00FC513A" w:rsidRDefault="00437370" w:rsidP="00437370">
      <w:pPr>
        <w:pStyle w:val="ListParagraph"/>
        <w:numPr>
          <w:ilvl w:val="0"/>
          <w:numId w:val="4"/>
        </w:numPr>
        <w:autoSpaceDE w:val="0"/>
        <w:autoSpaceDN w:val="0"/>
        <w:adjustRightInd w:val="0"/>
        <w:spacing w:after="0"/>
        <w:jc w:val="both"/>
        <w:rPr>
          <w:rFonts w:asciiTheme="majorHAnsi" w:hAnsiTheme="majorHAnsi" w:cs="Arial"/>
          <w:sz w:val="20"/>
          <w:szCs w:val="20"/>
        </w:rPr>
      </w:pPr>
      <w:r w:rsidRPr="00437370">
        <w:rPr>
          <w:rFonts w:ascii="Cambria" w:hAnsi="Cambria" w:cstheme="majorHAnsi"/>
        </w:rPr>
        <w:t xml:space="preserve">Minimálne 1 praktická skúsenosť s riešením úloh spojených s analýzou systémov, s investigatívou funkčností systémov, návrhov dátových modelov zákazky týkajúcej sa tvorby dátového skladu na pozícii </w:t>
      </w:r>
      <w:bookmarkStart w:id="214" w:name="_Hlk110585300"/>
      <w:r w:rsidRPr="00437370">
        <w:rPr>
          <w:rFonts w:ascii="Cambria" w:hAnsi="Cambria" w:cstheme="majorHAnsi"/>
        </w:rPr>
        <w:t>Data Acquisition experta</w:t>
      </w:r>
      <w:bookmarkEnd w:id="214"/>
      <w:r w:rsidRPr="00437370">
        <w:rPr>
          <w:rFonts w:ascii="Cambria" w:hAnsi="Cambria" w:cstheme="majorHAnsi"/>
        </w:rPr>
        <w:t>, či dátového analytika alebo dátového návrhára zodpovedného za tvorbu Konceptuálny dátový modelu a fyzický dátový modelu riešenia s tým, že na projekte musel odpracovať minimálne 200 osobodní (osobodeň znamená jedna (1) osoba a osem (8) hodín práce počas pracovnej doby (napr. od 8.00 h do 16.00 h) počas pracovných dní, pričom sa počíta iba naplnených osem hodín) na vyššie uvedenej pozícií; túto podmienku účasti uchádzač u experta preukáže profesijným životopisom.</w:t>
      </w:r>
      <w:r w:rsidRPr="00FC513A">
        <w:rPr>
          <w:rFonts w:asciiTheme="majorHAnsi" w:hAnsiTheme="majorHAnsi" w:cs="Arial"/>
          <w:sz w:val="20"/>
          <w:szCs w:val="20"/>
        </w:rPr>
        <w:t xml:space="preserve"> </w:t>
      </w:r>
    </w:p>
    <w:p w14:paraId="5F2667D0" w14:textId="65861B67" w:rsidR="00932801" w:rsidRPr="00932801" w:rsidRDefault="00932801" w:rsidP="004C117C">
      <w:pPr>
        <w:pStyle w:val="ListParagraph"/>
        <w:autoSpaceDE w:val="0"/>
        <w:autoSpaceDN w:val="0"/>
        <w:adjustRightInd w:val="0"/>
        <w:spacing w:after="0"/>
        <w:jc w:val="both"/>
        <w:rPr>
          <w:rFonts w:ascii="Cambria" w:hAnsi="Cambria" w:cstheme="majorHAnsi"/>
        </w:rPr>
      </w:pPr>
      <w:r w:rsidRPr="00932801">
        <w:rPr>
          <w:rFonts w:ascii="Cambria" w:hAnsi="Cambria" w:cstheme="majorHAnsi"/>
        </w:rPr>
        <w:t xml:space="preserve"> </w:t>
      </w:r>
    </w:p>
    <w:p w14:paraId="2A38EB72" w14:textId="5C5898B3" w:rsidR="006923B1" w:rsidRPr="006419AF" w:rsidRDefault="006923B1" w:rsidP="009A3D19">
      <w:pPr>
        <w:pStyle w:val="ListParagraph"/>
        <w:numPr>
          <w:ilvl w:val="0"/>
          <w:numId w:val="4"/>
        </w:numPr>
        <w:autoSpaceDE w:val="0"/>
        <w:autoSpaceDN w:val="0"/>
        <w:adjustRightInd w:val="0"/>
        <w:spacing w:after="0"/>
        <w:jc w:val="both"/>
        <w:rPr>
          <w:rFonts w:ascii="Cambria" w:hAnsi="Cambria" w:cstheme="majorHAnsi"/>
        </w:rPr>
      </w:pPr>
      <w:r w:rsidRPr="006419AF">
        <w:rPr>
          <w:rFonts w:ascii="Cambria" w:hAnsi="Cambria" w:cstheme="majorHAnsi"/>
        </w:rPr>
        <w:t>Kľúčový expert č. 4 je zodpovedný za analýzu a návrh dátového modelu NBS DWH, participuje pri tvorbe dokumentácie Architecture Blueprint a priamo je zodpovedný za informácie v dokumentoch: Analýza zdrojových systémov, Konceptuálny dátový model a fyzický dátový model.</w:t>
      </w:r>
    </w:p>
    <w:p w14:paraId="2A0B8E8F" w14:textId="417AC086" w:rsidR="00AC0F2D" w:rsidRPr="006419AF" w:rsidRDefault="00AC0F2D" w:rsidP="009A004B">
      <w:pPr>
        <w:pStyle w:val="pf0"/>
        <w:spacing w:after="0" w:afterAutospacing="0"/>
        <w:ind w:firstLine="360"/>
        <w:rPr>
          <w:rStyle w:val="cf01"/>
          <w:rFonts w:ascii="Cambria" w:hAnsi="Cambria"/>
          <w:b/>
          <w:bCs/>
          <w:sz w:val="22"/>
          <w:szCs w:val="22"/>
        </w:rPr>
      </w:pPr>
      <w:r w:rsidRPr="006419AF">
        <w:rPr>
          <w:rStyle w:val="cf01"/>
          <w:rFonts w:ascii="Cambria" w:hAnsi="Cambria"/>
          <w:b/>
          <w:bCs/>
          <w:sz w:val="22"/>
          <w:szCs w:val="22"/>
        </w:rPr>
        <w:t xml:space="preserve">Kľúčový expert č. 5 – </w:t>
      </w:r>
      <w:r w:rsidR="00DE31B2" w:rsidRPr="006419AF">
        <w:rPr>
          <w:rStyle w:val="cf01"/>
          <w:rFonts w:ascii="Cambria" w:eastAsia="Cambria" w:hAnsi="Cambria"/>
          <w:b/>
          <w:bCs/>
          <w:sz w:val="22"/>
          <w:szCs w:val="22"/>
        </w:rPr>
        <w:t>Data Ingestion Špecialista</w:t>
      </w:r>
    </w:p>
    <w:p w14:paraId="1D38A7ED" w14:textId="510EB370" w:rsidR="009A004B" w:rsidRPr="006419AF" w:rsidRDefault="009A004B" w:rsidP="00A06DF6">
      <w:pPr>
        <w:autoSpaceDE w:val="0"/>
        <w:autoSpaceDN w:val="0"/>
        <w:adjustRightInd w:val="0"/>
        <w:ind w:left="1985" w:hanging="1625"/>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1BB0A7D3" w14:textId="77777777" w:rsidR="00175DE3" w:rsidRPr="006419AF" w:rsidRDefault="00175DE3" w:rsidP="00175DE3">
      <w:pPr>
        <w:autoSpaceDE w:val="0"/>
        <w:autoSpaceDN w:val="0"/>
        <w:adjustRightInd w:val="0"/>
        <w:ind w:left="1985" w:hanging="162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65DB4BAF" w14:textId="77777777" w:rsidR="00C5287B" w:rsidRPr="006419AF" w:rsidRDefault="00C5287B" w:rsidP="00C5287B">
      <w:pPr>
        <w:autoSpaceDE w:val="0"/>
        <w:autoSpaceDN w:val="0"/>
        <w:adjustRightInd w:val="0"/>
        <w:ind w:firstLine="360"/>
        <w:jc w:val="both"/>
        <w:rPr>
          <w:rFonts w:ascii="Cambria" w:hAnsi="Cambria" w:cstheme="majorHAnsi"/>
          <w:sz w:val="22"/>
          <w:szCs w:val="22"/>
        </w:rPr>
      </w:pPr>
      <w:r w:rsidRPr="006419AF">
        <w:rPr>
          <w:rFonts w:ascii="Cambria" w:hAnsi="Cambria" w:cstheme="majorHAnsi"/>
          <w:sz w:val="22"/>
          <w:szCs w:val="22"/>
        </w:rPr>
        <w:t>Expert musí spĺňať nasledujúce minimálne požiadavky:</w:t>
      </w:r>
    </w:p>
    <w:p w14:paraId="5601895B" w14:textId="13594995" w:rsidR="0078448C" w:rsidRPr="0074748D" w:rsidRDefault="0078448C" w:rsidP="0078448C">
      <w:pPr>
        <w:pStyle w:val="ListParagraph"/>
        <w:numPr>
          <w:ilvl w:val="0"/>
          <w:numId w:val="4"/>
        </w:numPr>
        <w:autoSpaceDE w:val="0"/>
        <w:autoSpaceDN w:val="0"/>
        <w:adjustRightInd w:val="0"/>
        <w:spacing w:after="0"/>
        <w:jc w:val="both"/>
        <w:rPr>
          <w:rFonts w:asciiTheme="majorHAnsi" w:hAnsiTheme="majorHAnsi" w:cs="Arial"/>
          <w:sz w:val="20"/>
          <w:szCs w:val="20"/>
        </w:rPr>
      </w:pPr>
      <w:r w:rsidRPr="0078448C">
        <w:rPr>
          <w:rFonts w:ascii="Cambria" w:hAnsi="Cambria" w:cstheme="majorHAnsi"/>
        </w:rPr>
        <w:t>Minimálne 5 rokov odbornej praxe v oblasti budovania dátových skladov na pozícii ETL developer pre úlohy získavania dát (Data Acquisition); túto podmienku účasti uchádzač u experta preukáže profesijným životopisom.</w:t>
      </w:r>
    </w:p>
    <w:p w14:paraId="13FF51EF" w14:textId="3139D97C" w:rsidR="0078448C" w:rsidRPr="0078448C" w:rsidRDefault="0078448C" w:rsidP="0078448C">
      <w:pPr>
        <w:pStyle w:val="ListParagraph"/>
        <w:numPr>
          <w:ilvl w:val="0"/>
          <w:numId w:val="4"/>
        </w:numPr>
        <w:autoSpaceDE w:val="0"/>
        <w:autoSpaceDN w:val="0"/>
        <w:adjustRightInd w:val="0"/>
        <w:spacing w:after="0"/>
        <w:jc w:val="both"/>
        <w:rPr>
          <w:rFonts w:ascii="Cambria" w:hAnsi="Cambria" w:cstheme="majorHAnsi"/>
        </w:rPr>
      </w:pPr>
      <w:bookmarkStart w:id="215" w:name="_Hlk108097607"/>
      <w:r w:rsidRPr="0078448C">
        <w:rPr>
          <w:rFonts w:ascii="Cambria" w:hAnsi="Cambria" w:cstheme="majorHAnsi"/>
        </w:rPr>
        <w:t>Minimálne 1 praktická skúsenosť s riešením úloh spojených s metodikami spracovania veľkého objemu dát, in-memory spracovaním, data enrichment (rozšírením dátových tokov o odvodené dáta), analýzou dát a prípravou vstupného mapovania zákazky týkajúcej sa tvorby dátového skladu, kde bol zodpovedný za návrh a implementáciu nástroja na spracovanie transakcií s minimálnym počtom 15 zdrojových systémov a v rozsahu spracovania v súhrne minimálne 15 miliónov transakcií v jednom dennom spracovaní a na projekte musel odpracovať minimálne 200 osobodní (osobodeň znamená jedna (1) osoba a osem (8) hodín práce počas pracovnej doby (napr. od 8.00 h do 16.00 h) počas pracovných dní, pričom sa počíta iba naplnených osem hodín) na pozícii vyššie uvedenej pozícií; túto podmienku účasti uchádzač u experta preukáže profesijným životopisom</w:t>
      </w:r>
      <w:bookmarkEnd w:id="215"/>
      <w:r w:rsidRPr="0078448C">
        <w:rPr>
          <w:rFonts w:ascii="Cambria" w:hAnsi="Cambria" w:cstheme="majorHAnsi"/>
        </w:rPr>
        <w:t xml:space="preserve">. </w:t>
      </w:r>
    </w:p>
    <w:p w14:paraId="4DD9CD82" w14:textId="7245764A" w:rsidR="00E32B3E" w:rsidRPr="006419AF" w:rsidRDefault="00E32B3E" w:rsidP="00E7387E">
      <w:pPr>
        <w:pStyle w:val="ListParagraph"/>
        <w:autoSpaceDE w:val="0"/>
        <w:autoSpaceDN w:val="0"/>
        <w:adjustRightInd w:val="0"/>
        <w:jc w:val="both"/>
        <w:rPr>
          <w:rFonts w:ascii="Cambria" w:hAnsi="Cambria" w:cstheme="majorHAnsi"/>
        </w:rPr>
      </w:pPr>
      <w:r w:rsidRPr="006419AF">
        <w:rPr>
          <w:rFonts w:ascii="Cambria" w:hAnsi="Cambria" w:cstheme="majorHAnsi"/>
        </w:rPr>
        <w:t xml:space="preserve"> </w:t>
      </w:r>
    </w:p>
    <w:p w14:paraId="37ADD017" w14:textId="77777777" w:rsidR="00E32B3E" w:rsidRPr="006419AF" w:rsidRDefault="00E32B3E" w:rsidP="009A3D19">
      <w:pPr>
        <w:pStyle w:val="ListParagraph"/>
        <w:numPr>
          <w:ilvl w:val="0"/>
          <w:numId w:val="4"/>
        </w:numPr>
        <w:autoSpaceDE w:val="0"/>
        <w:autoSpaceDN w:val="0"/>
        <w:adjustRightInd w:val="0"/>
        <w:spacing w:after="0"/>
        <w:jc w:val="both"/>
        <w:rPr>
          <w:rFonts w:ascii="Cambria" w:hAnsi="Cambria" w:cstheme="majorHAnsi"/>
        </w:rPr>
      </w:pPr>
      <w:r w:rsidRPr="006419AF">
        <w:rPr>
          <w:rFonts w:ascii="Cambria" w:hAnsi="Cambria" w:cstheme="majorHAnsi"/>
        </w:rPr>
        <w:t xml:space="preserve">Kľúčový expert č. 5 je zodpovedný za implementáciu a nastavenie kľúčového komponentu NBS DWH - Ingestion frameworku. </w:t>
      </w:r>
    </w:p>
    <w:p w14:paraId="0D2F0C10" w14:textId="06345DED" w:rsidR="008D33E2" w:rsidRPr="006419AF" w:rsidRDefault="00AC0F2D" w:rsidP="009A004B">
      <w:pPr>
        <w:pStyle w:val="pf0"/>
        <w:spacing w:after="0" w:afterAutospacing="0"/>
        <w:rPr>
          <w:rFonts w:ascii="Cambria" w:eastAsia="Cambria" w:hAnsi="Cambria" w:cs="Cambria"/>
          <w:b/>
          <w:sz w:val="22"/>
          <w:szCs w:val="22"/>
          <w:lang w:val="sk"/>
        </w:rPr>
      </w:pPr>
      <w:r w:rsidRPr="006419AF">
        <w:rPr>
          <w:rStyle w:val="cf01"/>
          <w:rFonts w:ascii="Cambria" w:hAnsi="Cambria"/>
          <w:b/>
          <w:bCs/>
          <w:sz w:val="22"/>
          <w:szCs w:val="22"/>
        </w:rPr>
        <w:t xml:space="preserve">Kľúčový expert č. 6 – </w:t>
      </w:r>
      <w:r w:rsidR="005D6DC6" w:rsidRPr="006419AF">
        <w:rPr>
          <w:rFonts w:ascii="Cambria" w:eastAsia="Cambria" w:hAnsi="Cambria" w:cs="Cambria"/>
          <w:b/>
          <w:sz w:val="22"/>
          <w:szCs w:val="22"/>
          <w:lang w:val="sk"/>
        </w:rPr>
        <w:t>ETL Špecialista</w:t>
      </w:r>
    </w:p>
    <w:p w14:paraId="0DA843D0" w14:textId="1243E279" w:rsidR="009A004B" w:rsidRPr="006419AF" w:rsidRDefault="009A004B" w:rsidP="009A004B">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Meno, priezvisko: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1D311A89" w14:textId="77777777" w:rsidR="00175DE3" w:rsidRPr="006419AF" w:rsidRDefault="00175DE3" w:rsidP="00175DE3">
      <w:pPr>
        <w:autoSpaceDE w:val="0"/>
        <w:autoSpaceDN w:val="0"/>
        <w:adjustRightInd w:val="0"/>
        <w:ind w:left="1985" w:hanging="1985"/>
        <w:jc w:val="both"/>
        <w:rPr>
          <w:rFonts w:ascii="Cambria" w:hAnsi="Cambria" w:cstheme="majorHAnsi"/>
          <w:bCs/>
          <w:sz w:val="22"/>
          <w:szCs w:val="22"/>
        </w:rPr>
      </w:pPr>
      <w:r w:rsidRPr="006419AF">
        <w:rPr>
          <w:rFonts w:ascii="Cambria" w:hAnsi="Cambria" w:cstheme="majorHAnsi"/>
          <w:b/>
          <w:bCs/>
          <w:sz w:val="22"/>
          <w:szCs w:val="22"/>
        </w:rPr>
        <w:t xml:space="preserve">Počet jeho osobodní na predmet plnenia: </w:t>
      </w:r>
      <w:r w:rsidRPr="006419AF">
        <w:rPr>
          <w:rFonts w:ascii="Cambria" w:hAnsi="Cambria" w:cstheme="majorHAnsi"/>
          <w:bCs/>
          <w:sz w:val="22"/>
          <w:szCs w:val="22"/>
        </w:rPr>
        <w:t>&lt;</w:t>
      </w:r>
      <w:r w:rsidRPr="006419AF">
        <w:rPr>
          <w:rFonts w:ascii="Cambria" w:hAnsi="Cambria" w:cstheme="majorHAnsi"/>
          <w:color w:val="00B0F0"/>
          <w:sz w:val="22"/>
          <w:szCs w:val="22"/>
        </w:rPr>
        <w:t>vyplní uchádzač</w:t>
      </w:r>
      <w:r w:rsidRPr="006419AF">
        <w:rPr>
          <w:rFonts w:ascii="Cambria" w:hAnsi="Cambria" w:cstheme="majorHAnsi"/>
          <w:bCs/>
          <w:sz w:val="22"/>
          <w:szCs w:val="22"/>
        </w:rPr>
        <w:t>&gt;</w:t>
      </w:r>
    </w:p>
    <w:p w14:paraId="1E8CC03A" w14:textId="77777777" w:rsidR="00C5287B" w:rsidRPr="006419AF" w:rsidRDefault="00C5287B" w:rsidP="00C5287B">
      <w:pPr>
        <w:autoSpaceDE w:val="0"/>
        <w:autoSpaceDN w:val="0"/>
        <w:adjustRightInd w:val="0"/>
        <w:jc w:val="both"/>
        <w:rPr>
          <w:rFonts w:ascii="Cambria" w:hAnsi="Cambria" w:cstheme="majorHAnsi"/>
          <w:sz w:val="22"/>
          <w:szCs w:val="22"/>
        </w:rPr>
      </w:pPr>
      <w:r w:rsidRPr="006419AF">
        <w:rPr>
          <w:rFonts w:ascii="Cambria" w:hAnsi="Cambria" w:cstheme="majorHAnsi"/>
          <w:sz w:val="22"/>
          <w:szCs w:val="22"/>
        </w:rPr>
        <w:lastRenderedPageBreak/>
        <w:t>Expert musí spĺňať nasledujúce minimálne požiadavky:</w:t>
      </w:r>
    </w:p>
    <w:p w14:paraId="469DD52E" w14:textId="4C7EDC4B" w:rsidR="00E30283" w:rsidRDefault="00E30283" w:rsidP="00E30283">
      <w:pPr>
        <w:pStyle w:val="ListParagraph"/>
        <w:numPr>
          <w:ilvl w:val="0"/>
          <w:numId w:val="4"/>
        </w:numPr>
        <w:autoSpaceDE w:val="0"/>
        <w:autoSpaceDN w:val="0"/>
        <w:adjustRightInd w:val="0"/>
        <w:spacing w:after="0"/>
        <w:jc w:val="both"/>
        <w:rPr>
          <w:rFonts w:asciiTheme="majorHAnsi" w:hAnsiTheme="majorHAnsi" w:cs="Arial"/>
          <w:sz w:val="20"/>
          <w:szCs w:val="20"/>
        </w:rPr>
      </w:pPr>
      <w:r w:rsidRPr="00E30283">
        <w:rPr>
          <w:rFonts w:ascii="Cambria" w:hAnsi="Cambria" w:cstheme="majorHAnsi"/>
        </w:rPr>
        <w:t>Minimálne 5 rokov odbornej praxe v oblasti budovania dátových skladov na pozícii ETL developer s použitím nástroja Oracle Data Integrátor, minimálne 2 roky na administrátorskej úrovni tohto nástroja; túto podmienku účasti uchádzač u experta preukáže profesijným životopisom.</w:t>
      </w:r>
    </w:p>
    <w:p w14:paraId="300811FD" w14:textId="39D605EF" w:rsidR="00E30283" w:rsidRPr="00E30283" w:rsidRDefault="00E30283" w:rsidP="00E30283">
      <w:pPr>
        <w:pStyle w:val="ListParagraph"/>
        <w:numPr>
          <w:ilvl w:val="0"/>
          <w:numId w:val="4"/>
        </w:numPr>
        <w:autoSpaceDE w:val="0"/>
        <w:autoSpaceDN w:val="0"/>
        <w:adjustRightInd w:val="0"/>
        <w:spacing w:after="0"/>
        <w:jc w:val="both"/>
        <w:rPr>
          <w:rFonts w:ascii="Cambria" w:hAnsi="Cambria" w:cstheme="majorHAnsi"/>
        </w:rPr>
      </w:pPr>
      <w:r w:rsidRPr="00E30283">
        <w:rPr>
          <w:rFonts w:ascii="Cambria" w:hAnsi="Cambria" w:cstheme="majorHAnsi"/>
        </w:rPr>
        <w:t>Expertné skúsenosti s ETL technológiami (no-code/low-code techniky) a ladením Oracle SQL úloh (nevyžaduje sa znalosť ladenia databázy); túto podmienku účasti uchádzač u experta preukáže profesijným životopisom.</w:t>
      </w:r>
    </w:p>
    <w:p w14:paraId="40A6ED4E" w14:textId="62AE6FBF" w:rsidR="00E30283" w:rsidRPr="0074748D" w:rsidRDefault="00E30283" w:rsidP="00E30283">
      <w:pPr>
        <w:pStyle w:val="ListParagraph"/>
        <w:numPr>
          <w:ilvl w:val="0"/>
          <w:numId w:val="4"/>
        </w:numPr>
        <w:autoSpaceDE w:val="0"/>
        <w:autoSpaceDN w:val="0"/>
        <w:adjustRightInd w:val="0"/>
        <w:spacing w:after="0"/>
        <w:jc w:val="both"/>
        <w:rPr>
          <w:rFonts w:asciiTheme="majorHAnsi" w:hAnsiTheme="majorHAnsi" w:cs="Arial"/>
          <w:sz w:val="20"/>
          <w:szCs w:val="20"/>
        </w:rPr>
      </w:pPr>
      <w:r w:rsidRPr="00E30283">
        <w:rPr>
          <w:rFonts w:ascii="Cambria" w:hAnsi="Cambria" w:cstheme="majorHAnsi"/>
        </w:rPr>
        <w:t>Minimálne 1 praktická skúsenosť s realizáciou zákazky týkajúcej sa tvorby dátového skladu, kde bol zodpovedný za návrh a implementáciu ETL a na projekte musel odpracovať minimálne 200 osobodní (osobodeň znamená jedna (1) osoba a osem (8) hodín práce počas pracovnej doby (napr. od 8.00 h do 16.00 h) počas pracovných dní, pričom sa počíta iba naplnených osem hodín) na pozícii ETL developer; túto podmienku účasti uchádzač u experta preukáže profesijným životopisom.</w:t>
      </w:r>
      <w:r>
        <w:rPr>
          <w:rFonts w:asciiTheme="majorHAnsi" w:hAnsiTheme="majorHAnsi" w:cs="Arial"/>
          <w:sz w:val="20"/>
          <w:szCs w:val="20"/>
        </w:rPr>
        <w:t xml:space="preserve"> </w:t>
      </w:r>
    </w:p>
    <w:p w14:paraId="684B0EDF" w14:textId="77777777" w:rsidR="00396A38" w:rsidRPr="006419AF" w:rsidRDefault="00396A38" w:rsidP="00396A38">
      <w:pPr>
        <w:pStyle w:val="ListParagraph"/>
        <w:autoSpaceDE w:val="0"/>
        <w:autoSpaceDN w:val="0"/>
        <w:adjustRightInd w:val="0"/>
        <w:spacing w:after="0"/>
        <w:jc w:val="both"/>
        <w:rPr>
          <w:rFonts w:ascii="Cambria" w:hAnsi="Cambria" w:cstheme="majorHAnsi"/>
        </w:rPr>
      </w:pPr>
    </w:p>
    <w:p w14:paraId="1AE4A19F" w14:textId="77777777" w:rsidR="00396A38" w:rsidRPr="006419AF" w:rsidRDefault="00396A38" w:rsidP="009A3D19">
      <w:pPr>
        <w:pStyle w:val="ListParagraph"/>
        <w:numPr>
          <w:ilvl w:val="0"/>
          <w:numId w:val="4"/>
        </w:numPr>
        <w:autoSpaceDE w:val="0"/>
        <w:autoSpaceDN w:val="0"/>
        <w:adjustRightInd w:val="0"/>
        <w:spacing w:after="0"/>
        <w:jc w:val="both"/>
        <w:rPr>
          <w:rFonts w:ascii="Cambria" w:hAnsi="Cambria" w:cstheme="majorHAnsi"/>
        </w:rPr>
      </w:pPr>
      <w:r w:rsidRPr="006419AF">
        <w:rPr>
          <w:rFonts w:ascii="Cambria" w:hAnsi="Cambria" w:cstheme="majorHAnsi"/>
        </w:rPr>
        <w:t>Kľúčový expert č. 6 je zodpovedný za nastavenie prostredí ETL nástroja, nastavenie topológie, prístupových práv, vytvorenie dokumentov popisujúcich štandardy vývoja, prípravu nových Knowledge modulov, inštalácia a prevádzka Workflow manager frameworku</w:t>
      </w:r>
    </w:p>
    <w:p w14:paraId="058995E1" w14:textId="0B3E325F" w:rsidR="005D6DC6" w:rsidRPr="0002028C" w:rsidRDefault="005D6DC6" w:rsidP="009A004B">
      <w:pPr>
        <w:pStyle w:val="pf0"/>
        <w:spacing w:after="0" w:afterAutospacing="0"/>
        <w:rPr>
          <w:rFonts w:ascii="Cambria" w:eastAsia="Cambria" w:hAnsi="Cambria" w:cs="Cambria"/>
          <w:b/>
          <w:bCs/>
          <w:sz w:val="22"/>
          <w:szCs w:val="22"/>
          <w:lang w:val="sk"/>
        </w:rPr>
      </w:pPr>
      <w:r w:rsidRPr="0002028C">
        <w:rPr>
          <w:rStyle w:val="cf01"/>
          <w:rFonts w:ascii="Cambria" w:hAnsi="Cambria"/>
          <w:b/>
          <w:bCs/>
          <w:sz w:val="22"/>
          <w:szCs w:val="22"/>
        </w:rPr>
        <w:t xml:space="preserve">Kľúčový expert č. 7 – </w:t>
      </w:r>
      <w:r w:rsidRPr="0002028C">
        <w:rPr>
          <w:rFonts w:ascii="Cambria" w:eastAsia="Cambria" w:hAnsi="Cambria" w:cs="Cambria"/>
          <w:b/>
          <w:bCs/>
          <w:sz w:val="22"/>
          <w:szCs w:val="22"/>
          <w:lang w:val="sk"/>
        </w:rPr>
        <w:t>BI Špecialista</w:t>
      </w:r>
    </w:p>
    <w:p w14:paraId="7F8E1814" w14:textId="449C3051" w:rsidR="009A004B" w:rsidRPr="0002028C" w:rsidRDefault="009A004B" w:rsidP="009A004B">
      <w:pPr>
        <w:autoSpaceDE w:val="0"/>
        <w:autoSpaceDN w:val="0"/>
        <w:adjustRightInd w:val="0"/>
        <w:ind w:left="1985" w:hanging="1985"/>
        <w:jc w:val="both"/>
        <w:rPr>
          <w:rFonts w:ascii="Cambria" w:hAnsi="Cambria" w:cstheme="majorHAnsi"/>
          <w:bCs/>
          <w:sz w:val="22"/>
          <w:szCs w:val="22"/>
        </w:rPr>
      </w:pPr>
      <w:r w:rsidRPr="0002028C">
        <w:rPr>
          <w:rFonts w:ascii="Cambria" w:hAnsi="Cambria" w:cstheme="majorHAnsi"/>
          <w:b/>
          <w:bCs/>
          <w:sz w:val="22"/>
          <w:szCs w:val="22"/>
        </w:rPr>
        <w:t xml:space="preserve">Meno, priezvisko:  </w:t>
      </w:r>
      <w:r w:rsidRPr="0002028C">
        <w:rPr>
          <w:rFonts w:ascii="Cambria" w:hAnsi="Cambria" w:cstheme="majorHAnsi"/>
          <w:bCs/>
          <w:sz w:val="22"/>
          <w:szCs w:val="22"/>
        </w:rPr>
        <w:t>&lt;</w:t>
      </w:r>
      <w:r w:rsidRPr="0002028C">
        <w:rPr>
          <w:rFonts w:ascii="Cambria" w:hAnsi="Cambria" w:cstheme="majorHAnsi"/>
          <w:color w:val="00B0F0"/>
          <w:sz w:val="22"/>
          <w:szCs w:val="22"/>
        </w:rPr>
        <w:t>vyplní uchádzač</w:t>
      </w:r>
      <w:r w:rsidRPr="0002028C">
        <w:rPr>
          <w:rFonts w:ascii="Cambria" w:hAnsi="Cambria" w:cstheme="majorHAnsi"/>
          <w:bCs/>
          <w:sz w:val="22"/>
          <w:szCs w:val="22"/>
        </w:rPr>
        <w:t>&gt;</w:t>
      </w:r>
    </w:p>
    <w:p w14:paraId="747FE9EC" w14:textId="77777777" w:rsidR="00175DE3" w:rsidRPr="0002028C" w:rsidRDefault="00175DE3" w:rsidP="00175DE3">
      <w:pPr>
        <w:autoSpaceDE w:val="0"/>
        <w:autoSpaceDN w:val="0"/>
        <w:adjustRightInd w:val="0"/>
        <w:ind w:left="1985" w:hanging="1985"/>
        <w:jc w:val="both"/>
        <w:rPr>
          <w:rFonts w:ascii="Cambria" w:hAnsi="Cambria" w:cstheme="majorHAnsi"/>
          <w:bCs/>
          <w:sz w:val="22"/>
          <w:szCs w:val="22"/>
        </w:rPr>
      </w:pPr>
      <w:r w:rsidRPr="0002028C">
        <w:rPr>
          <w:rFonts w:ascii="Cambria" w:hAnsi="Cambria" w:cstheme="majorHAnsi"/>
          <w:b/>
          <w:bCs/>
          <w:sz w:val="22"/>
          <w:szCs w:val="22"/>
        </w:rPr>
        <w:t xml:space="preserve">Počet jeho osobodní na predmet plnenia: </w:t>
      </w:r>
      <w:r w:rsidRPr="0002028C">
        <w:rPr>
          <w:rFonts w:ascii="Cambria" w:hAnsi="Cambria" w:cstheme="majorHAnsi"/>
          <w:bCs/>
          <w:sz w:val="22"/>
          <w:szCs w:val="22"/>
        </w:rPr>
        <w:t>&lt;</w:t>
      </w:r>
      <w:r w:rsidRPr="0002028C">
        <w:rPr>
          <w:rFonts w:ascii="Cambria" w:hAnsi="Cambria" w:cstheme="majorHAnsi"/>
          <w:color w:val="00B0F0"/>
          <w:sz w:val="22"/>
          <w:szCs w:val="22"/>
        </w:rPr>
        <w:t>vyplní uchádzač</w:t>
      </w:r>
      <w:r w:rsidRPr="0002028C">
        <w:rPr>
          <w:rFonts w:ascii="Cambria" w:hAnsi="Cambria" w:cstheme="majorHAnsi"/>
          <w:bCs/>
          <w:sz w:val="22"/>
          <w:szCs w:val="22"/>
        </w:rPr>
        <w:t>&gt;</w:t>
      </w:r>
    </w:p>
    <w:p w14:paraId="6A2FCF27" w14:textId="77777777" w:rsidR="00C5287B" w:rsidRPr="0002028C" w:rsidRDefault="00C5287B" w:rsidP="00C5287B">
      <w:pPr>
        <w:autoSpaceDE w:val="0"/>
        <w:autoSpaceDN w:val="0"/>
        <w:adjustRightInd w:val="0"/>
        <w:jc w:val="both"/>
        <w:rPr>
          <w:rFonts w:ascii="Cambria" w:hAnsi="Cambria" w:cstheme="majorHAnsi"/>
          <w:sz w:val="22"/>
          <w:szCs w:val="22"/>
        </w:rPr>
      </w:pPr>
      <w:r w:rsidRPr="0002028C">
        <w:rPr>
          <w:rFonts w:ascii="Cambria" w:hAnsi="Cambria" w:cstheme="majorHAnsi"/>
          <w:sz w:val="22"/>
          <w:szCs w:val="22"/>
        </w:rPr>
        <w:t>Expert musí spĺňať nasledujúce minimálne požiadavky:</w:t>
      </w:r>
    </w:p>
    <w:p w14:paraId="68637702" w14:textId="77777777" w:rsidR="00CD46D7" w:rsidRPr="00CD46D7" w:rsidRDefault="00CD46D7" w:rsidP="00CD46D7">
      <w:pPr>
        <w:pStyle w:val="ListParagraph"/>
        <w:numPr>
          <w:ilvl w:val="0"/>
          <w:numId w:val="4"/>
        </w:numPr>
        <w:autoSpaceDE w:val="0"/>
        <w:autoSpaceDN w:val="0"/>
        <w:adjustRightInd w:val="0"/>
        <w:spacing w:after="0"/>
        <w:jc w:val="both"/>
        <w:rPr>
          <w:rFonts w:ascii="Cambria" w:hAnsi="Cambria" w:cstheme="majorHAnsi"/>
        </w:rPr>
      </w:pPr>
      <w:r w:rsidRPr="00CD46D7">
        <w:rPr>
          <w:rFonts w:ascii="Cambria" w:hAnsi="Cambria" w:cstheme="majorHAnsi"/>
        </w:rPr>
        <w:t>Minimálne 5 rokov odbornej praxe v oblasti budovania dátových skladov na pozícii BI developer s použitím nástroja Microsoft Power BI, minimálne 2 roky na administrátorskej úrovni tohto nástroja; túto podmienku účasti uchádzač u experta preukáže profesijným životopisom.</w:t>
      </w:r>
    </w:p>
    <w:p w14:paraId="4AD98382" w14:textId="49674BBA" w:rsidR="00CD46D7" w:rsidRPr="0074748D" w:rsidRDefault="00CD46D7" w:rsidP="00CD46D7">
      <w:pPr>
        <w:pStyle w:val="ListParagraph"/>
        <w:numPr>
          <w:ilvl w:val="0"/>
          <w:numId w:val="4"/>
        </w:numPr>
        <w:autoSpaceDE w:val="0"/>
        <w:autoSpaceDN w:val="0"/>
        <w:adjustRightInd w:val="0"/>
        <w:spacing w:after="0"/>
        <w:jc w:val="both"/>
        <w:rPr>
          <w:rFonts w:asciiTheme="majorHAnsi" w:hAnsiTheme="majorHAnsi" w:cs="Arial"/>
          <w:sz w:val="20"/>
          <w:szCs w:val="20"/>
        </w:rPr>
      </w:pPr>
      <w:r w:rsidRPr="00CD46D7">
        <w:rPr>
          <w:rFonts w:ascii="Cambria" w:hAnsi="Cambria" w:cstheme="majorHAnsi"/>
        </w:rPr>
        <w:t>Expertné skúsenosti s SQL, Microsoft TOLAP, Microsoft SQL Server a jej ladenie); túto podmienku účasti uchádzač u experta preukáže profesijným životopisom.</w:t>
      </w:r>
    </w:p>
    <w:p w14:paraId="1596EEC4" w14:textId="1AD10167" w:rsidR="00CD46D7" w:rsidRPr="00FC513A" w:rsidRDefault="00CD46D7" w:rsidP="00CD46D7">
      <w:pPr>
        <w:pStyle w:val="ListParagraph"/>
        <w:numPr>
          <w:ilvl w:val="0"/>
          <w:numId w:val="4"/>
        </w:numPr>
        <w:autoSpaceDE w:val="0"/>
        <w:autoSpaceDN w:val="0"/>
        <w:adjustRightInd w:val="0"/>
        <w:spacing w:after="0"/>
        <w:jc w:val="both"/>
        <w:rPr>
          <w:rFonts w:asciiTheme="majorHAnsi" w:hAnsiTheme="majorHAnsi" w:cs="Arial"/>
          <w:sz w:val="20"/>
          <w:szCs w:val="20"/>
        </w:rPr>
      </w:pPr>
      <w:r w:rsidRPr="00CD46D7">
        <w:rPr>
          <w:rFonts w:ascii="Cambria" w:hAnsi="Cambria" w:cstheme="majorHAnsi"/>
        </w:rPr>
        <w:t>Minimálne 1 praktickú skúsenosť s riešením úloh spojených s návrhom a realizáciou BI riešenia zákazky týkajúcej sa tvorby dátového skladu na pozícii BI špecialista a na projekte musel odpracovať minimálne 150 osobodní (osobodeň znamená jedna (1) osoba a osem (8) hodín práce počas pracovnej doby (napr. od 8.00 h do 16.00 h) počas pracovných dní, pričom sa počíta iba naplnených osem hodín) na pozícii BI špecialista; túto podmienku účasti uchádzač u experta preukáže profesijným životopisom.</w:t>
      </w:r>
      <w:r w:rsidRPr="00FC513A">
        <w:rPr>
          <w:rFonts w:asciiTheme="majorHAnsi" w:hAnsiTheme="majorHAnsi" w:cs="Arial"/>
          <w:sz w:val="20"/>
          <w:szCs w:val="20"/>
        </w:rPr>
        <w:t xml:space="preserve"> </w:t>
      </w:r>
    </w:p>
    <w:p w14:paraId="4CF1717D" w14:textId="5BFFECAA" w:rsidR="00BE2928" w:rsidRPr="0002028C" w:rsidRDefault="00BE2928" w:rsidP="00BE2928">
      <w:pPr>
        <w:pStyle w:val="ListParagraph"/>
        <w:autoSpaceDE w:val="0"/>
        <w:autoSpaceDN w:val="0"/>
        <w:adjustRightInd w:val="0"/>
        <w:spacing w:after="0"/>
        <w:jc w:val="both"/>
        <w:rPr>
          <w:rFonts w:ascii="Cambria" w:hAnsi="Cambria" w:cstheme="majorHAnsi"/>
        </w:rPr>
      </w:pPr>
      <w:r w:rsidRPr="0002028C">
        <w:rPr>
          <w:rFonts w:ascii="Cambria" w:hAnsi="Cambria" w:cstheme="majorHAnsi"/>
        </w:rPr>
        <w:t xml:space="preserve">  </w:t>
      </w:r>
    </w:p>
    <w:p w14:paraId="3209D012" w14:textId="77777777" w:rsidR="0089114C" w:rsidRPr="0002028C" w:rsidRDefault="0089114C" w:rsidP="009A3D19">
      <w:pPr>
        <w:pStyle w:val="ListParagraph"/>
        <w:numPr>
          <w:ilvl w:val="0"/>
          <w:numId w:val="4"/>
        </w:numPr>
        <w:autoSpaceDE w:val="0"/>
        <w:autoSpaceDN w:val="0"/>
        <w:adjustRightInd w:val="0"/>
        <w:spacing w:after="0"/>
        <w:jc w:val="both"/>
        <w:rPr>
          <w:rFonts w:ascii="Cambria" w:hAnsi="Cambria" w:cstheme="majorHAnsi"/>
        </w:rPr>
      </w:pPr>
      <w:r w:rsidRPr="0002028C">
        <w:rPr>
          <w:rFonts w:ascii="Cambria" w:hAnsi="Cambria" w:cstheme="majorHAnsi"/>
        </w:rPr>
        <w:t>Kľúčový expert č. 7 je zodpovedný za návrh a nastavenie BI platformy, ETL časti DWH pre načítanie dát do TOLAP. Takisto bude zodpovedný za návrh a nastavenie celkovej bezpečnosti prístupu k dátam v BI oblasti. Vyžaduje sa preukázať schopnosť s nastavením bezpečnostných pravidiel Power BI s priamym napojením na Oracle DB.</w:t>
      </w:r>
    </w:p>
    <w:p w14:paraId="0A402D46" w14:textId="0E4C7E19" w:rsidR="00C50805" w:rsidRPr="006419AF" w:rsidRDefault="00C50805" w:rsidP="009A3D19">
      <w:pPr>
        <w:pStyle w:val="ListParagraph"/>
        <w:numPr>
          <w:ilvl w:val="0"/>
          <w:numId w:val="4"/>
        </w:numPr>
        <w:autoSpaceDE w:val="0"/>
        <w:autoSpaceDN w:val="0"/>
        <w:adjustRightInd w:val="0"/>
        <w:jc w:val="both"/>
        <w:rPr>
          <w:rFonts w:ascii="Cambria" w:hAnsi="Cambria"/>
        </w:rPr>
      </w:pPr>
      <w:r w:rsidRPr="006419AF">
        <w:rPr>
          <w:rFonts w:ascii="Cambria" w:hAnsi="Cambria"/>
        </w:rPr>
        <w:br w:type="page"/>
      </w:r>
    </w:p>
    <w:p w14:paraId="5FEBFA4B" w14:textId="77777777" w:rsidR="00C50805" w:rsidRPr="00E75798" w:rsidRDefault="00C50805" w:rsidP="00C50805">
      <w:pPr>
        <w:rPr>
          <w:rFonts w:ascii="Cambria" w:hAnsi="Cambria"/>
        </w:rPr>
      </w:pPr>
    </w:p>
    <w:p w14:paraId="72514C52" w14:textId="77777777" w:rsidR="00D411EA" w:rsidRPr="006419AF" w:rsidRDefault="00D411EA" w:rsidP="00D411EA">
      <w:pPr>
        <w:pStyle w:val="Heading1"/>
        <w:jc w:val="both"/>
        <w:rPr>
          <w:rFonts w:ascii="Cambria" w:hAnsi="Cambria" w:cs="Arial"/>
          <w:iCs/>
          <w:sz w:val="22"/>
          <w:szCs w:val="22"/>
        </w:rPr>
      </w:pPr>
      <w:r w:rsidRPr="006419AF">
        <w:rPr>
          <w:rFonts w:ascii="Cambria" w:hAnsi="Cambria" w:cs="Arial"/>
          <w:iCs/>
          <w:sz w:val="22"/>
          <w:szCs w:val="22"/>
        </w:rPr>
        <w:t>Zoznam osôb zhotoviteľa určených na plnenie zmluvy</w:t>
      </w:r>
      <w:r w:rsidRPr="006419AF">
        <w:rPr>
          <w:rFonts w:ascii="Cambria" w:hAnsi="Cambria"/>
          <w:spacing w:val="-1"/>
        </w:rPr>
        <w:t xml:space="preserve"> </w:t>
      </w:r>
      <w:r w:rsidRPr="006419AF">
        <w:rPr>
          <w:rFonts w:ascii="Cambria" w:hAnsi="Cambria" w:cs="Arial"/>
          <w:iCs/>
          <w:sz w:val="22"/>
          <w:szCs w:val="22"/>
        </w:rPr>
        <w:t>a subdodávateľov zhotoviteľa</w:t>
      </w:r>
    </w:p>
    <w:p w14:paraId="0765978F" w14:textId="42F550C0"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211"/>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32723F9E" w:rsidR="009519B7" w:rsidRPr="00737E4E" w:rsidRDefault="009519B7" w:rsidP="00BE0A69">
      <w:pPr>
        <w:pStyle w:val="Heading1"/>
        <w:keepNext w:val="0"/>
        <w:ind w:left="4810" w:firstLine="854"/>
        <w:jc w:val="both"/>
        <w:rPr>
          <w:rFonts w:ascii="Cambria" w:hAnsi="Cambria"/>
          <w:sz w:val="22"/>
          <w:szCs w:val="22"/>
        </w:rPr>
      </w:pPr>
      <w:r w:rsidRPr="00E75798">
        <w:rPr>
          <w:rFonts w:ascii="Cambria" w:hAnsi="Cambria"/>
          <w:bCs/>
          <w:sz w:val="22"/>
          <w:szCs w:val="22"/>
        </w:rPr>
        <w:br w:type="page"/>
      </w:r>
      <w:bookmarkStart w:id="216" w:name="_Toc45812708"/>
      <w:r w:rsidRPr="00737E4E">
        <w:rPr>
          <w:rFonts w:ascii="Cambria" w:hAnsi="Cambria"/>
          <w:sz w:val="22"/>
          <w:szCs w:val="22"/>
        </w:rPr>
        <w:lastRenderedPageBreak/>
        <w:t xml:space="preserve">Príloha č. </w:t>
      </w:r>
      <w:r w:rsidR="00A961B2" w:rsidRPr="00737E4E">
        <w:rPr>
          <w:rFonts w:ascii="Cambria" w:hAnsi="Cambria"/>
          <w:sz w:val="22"/>
          <w:szCs w:val="22"/>
        </w:rPr>
        <w:t xml:space="preserve">6 </w:t>
      </w:r>
      <w:r w:rsidRPr="00737E4E">
        <w:rPr>
          <w:rFonts w:ascii="Cambria" w:hAnsi="Cambria"/>
          <w:sz w:val="22"/>
          <w:szCs w:val="22"/>
        </w:rPr>
        <w:t>k</w:t>
      </w:r>
      <w:r w:rsidR="00FE4929" w:rsidRPr="00737E4E">
        <w:rPr>
          <w:rFonts w:ascii="Cambria" w:hAnsi="Cambria"/>
          <w:sz w:val="22"/>
          <w:szCs w:val="22"/>
        </w:rPr>
        <w:t> </w:t>
      </w:r>
      <w:r w:rsidRPr="00737E4E">
        <w:rPr>
          <w:rFonts w:ascii="Cambria" w:hAnsi="Cambria"/>
          <w:sz w:val="22"/>
          <w:szCs w:val="22"/>
        </w:rPr>
        <w:t>zmluve</w:t>
      </w:r>
      <w:r w:rsidR="00FE4929" w:rsidRPr="00737E4E">
        <w:rPr>
          <w:rFonts w:ascii="Cambria" w:hAnsi="Cambria"/>
          <w:sz w:val="22"/>
          <w:szCs w:val="22"/>
        </w:rPr>
        <w:t xml:space="preserve"> o</w:t>
      </w:r>
      <w:r w:rsidR="00737E4E" w:rsidRPr="00737E4E">
        <w:rPr>
          <w:rFonts w:ascii="Cambria" w:hAnsi="Cambria"/>
          <w:sz w:val="22"/>
          <w:szCs w:val="22"/>
        </w:rPr>
        <w:t> </w:t>
      </w:r>
      <w:r w:rsidR="00FE4929" w:rsidRPr="00737E4E">
        <w:rPr>
          <w:rFonts w:ascii="Cambria" w:hAnsi="Cambria"/>
          <w:sz w:val="22"/>
          <w:szCs w:val="22"/>
        </w:rPr>
        <w:t>diel</w:t>
      </w:r>
      <w:bookmarkEnd w:id="216"/>
      <w:r w:rsidR="00CE7BC1" w:rsidRPr="00737E4E">
        <w:rPr>
          <w:rFonts w:ascii="Cambria" w:hAnsi="Cambria"/>
          <w:sz w:val="22"/>
          <w:szCs w:val="22"/>
        </w:rPr>
        <w:t>o</w:t>
      </w:r>
    </w:p>
    <w:p w14:paraId="4D152BAE" w14:textId="3DF86DA4" w:rsidR="00737E4E" w:rsidRPr="00737E4E" w:rsidRDefault="00737E4E" w:rsidP="00980152">
      <w:pPr>
        <w:pStyle w:val="Heading1"/>
        <w:keepNext w:val="0"/>
        <w:ind w:left="4810" w:firstLine="1569"/>
        <w:jc w:val="center"/>
        <w:rPr>
          <w:rFonts w:ascii="Cambria" w:hAnsi="Cambria"/>
          <w:sz w:val="22"/>
          <w:szCs w:val="22"/>
        </w:rPr>
      </w:pPr>
      <w:r w:rsidRPr="00737E4E">
        <w:rPr>
          <w:rFonts w:ascii="Cambria" w:hAnsi="Cambria"/>
          <w:sz w:val="22"/>
          <w:szCs w:val="22"/>
        </w:rPr>
        <w:t>Slovník pojmov</w:t>
      </w:r>
    </w:p>
    <w:p w14:paraId="391C0669" w14:textId="40399AF7" w:rsidR="00737E4E" w:rsidRPr="00737E4E" w:rsidRDefault="00737E4E" w:rsidP="00737E4E">
      <w:pPr>
        <w:tabs>
          <w:tab w:val="left" w:pos="5720"/>
        </w:tabs>
        <w:rPr>
          <w:highlight w:val="yellow"/>
        </w:rPr>
      </w:pPr>
    </w:p>
    <w:p w14:paraId="254CE374" w14:textId="77777777" w:rsidR="009519B7" w:rsidRPr="00E75798" w:rsidRDefault="009519B7" w:rsidP="009519B7">
      <w:pPr>
        <w:rPr>
          <w:rFonts w:ascii="Cambria" w:hAnsi="Cambria"/>
          <w:sz w:val="22"/>
          <w:szCs w:val="22"/>
          <w:highlight w:val="yellow"/>
        </w:rPr>
      </w:pPr>
    </w:p>
    <w:p w14:paraId="11BE96E2" w14:textId="77777777" w:rsidR="009519B7" w:rsidRPr="00E75798" w:rsidRDefault="009519B7" w:rsidP="009519B7">
      <w:pPr>
        <w:rPr>
          <w:rFonts w:ascii="Cambria" w:hAnsi="Cambria"/>
          <w:sz w:val="22"/>
          <w:szCs w:val="22"/>
          <w:highlight w:val="yellow"/>
        </w:rPr>
      </w:pPr>
    </w:p>
    <w:p w14:paraId="57AF295A" w14:textId="77777777" w:rsidR="009519B7" w:rsidRPr="00E75798" w:rsidRDefault="009519B7" w:rsidP="009519B7">
      <w:pPr>
        <w:rPr>
          <w:rFonts w:ascii="Cambria" w:hAnsi="Cambria"/>
          <w:sz w:val="22"/>
          <w:szCs w:val="22"/>
          <w:highlight w:val="yellow"/>
        </w:rPr>
      </w:pPr>
    </w:p>
    <w:p w14:paraId="75D245F2" w14:textId="77777777" w:rsidR="009519B7" w:rsidRPr="00E75798" w:rsidRDefault="009519B7" w:rsidP="009519B7">
      <w:pPr>
        <w:rPr>
          <w:rFonts w:ascii="Cambria" w:hAnsi="Cambria"/>
          <w:sz w:val="22"/>
          <w:szCs w:val="22"/>
          <w:highlight w:val="yellow"/>
        </w:rPr>
      </w:pPr>
    </w:p>
    <w:p w14:paraId="1ED25678" w14:textId="77777777" w:rsidR="009519B7" w:rsidRPr="00E75798" w:rsidRDefault="009519B7" w:rsidP="009519B7">
      <w:pPr>
        <w:rPr>
          <w:rFonts w:ascii="Cambria" w:hAnsi="Cambria"/>
          <w:sz w:val="22"/>
          <w:szCs w:val="22"/>
          <w:highlight w:val="yellow"/>
        </w:rPr>
      </w:pPr>
    </w:p>
    <w:p w14:paraId="064BEF52" w14:textId="77777777" w:rsidR="009519B7" w:rsidRPr="00E75798" w:rsidRDefault="009519B7" w:rsidP="009519B7">
      <w:pPr>
        <w:rPr>
          <w:rFonts w:ascii="Cambria" w:hAnsi="Cambria"/>
          <w:sz w:val="22"/>
          <w:szCs w:val="22"/>
          <w:highlight w:val="yellow"/>
        </w:rPr>
      </w:pPr>
    </w:p>
    <w:p w14:paraId="2A28D955" w14:textId="77777777" w:rsidR="009519B7" w:rsidRPr="00E75798" w:rsidRDefault="009519B7" w:rsidP="009519B7">
      <w:pPr>
        <w:rPr>
          <w:rFonts w:ascii="Cambria" w:hAnsi="Cambria"/>
          <w:sz w:val="22"/>
          <w:szCs w:val="22"/>
          <w:highlight w:val="yellow"/>
        </w:rPr>
      </w:pPr>
    </w:p>
    <w:p w14:paraId="7C2662B9" w14:textId="77777777" w:rsidR="009519B7" w:rsidRPr="00E75798" w:rsidRDefault="009519B7" w:rsidP="009519B7">
      <w:pPr>
        <w:rPr>
          <w:rFonts w:ascii="Cambria" w:hAnsi="Cambria"/>
          <w:sz w:val="22"/>
          <w:szCs w:val="22"/>
          <w:highlight w:val="yellow"/>
        </w:rPr>
      </w:pPr>
    </w:p>
    <w:p w14:paraId="67A65308" w14:textId="77777777" w:rsidR="009519B7" w:rsidRPr="00E75798" w:rsidRDefault="009519B7" w:rsidP="009519B7">
      <w:pPr>
        <w:rPr>
          <w:rFonts w:ascii="Cambria" w:hAnsi="Cambria"/>
          <w:sz w:val="22"/>
          <w:szCs w:val="22"/>
          <w:highlight w:val="yellow"/>
        </w:rPr>
      </w:pPr>
    </w:p>
    <w:p w14:paraId="72CC559C" w14:textId="77777777" w:rsidR="009519B7" w:rsidRPr="00E75798" w:rsidRDefault="009519B7" w:rsidP="009519B7">
      <w:pPr>
        <w:rPr>
          <w:rFonts w:ascii="Cambria" w:hAnsi="Cambria"/>
          <w:sz w:val="22"/>
          <w:szCs w:val="22"/>
          <w:highlight w:val="yellow"/>
        </w:rPr>
      </w:pPr>
    </w:p>
    <w:p w14:paraId="23FD3D9B" w14:textId="77777777" w:rsidR="009519B7" w:rsidRPr="00E75798" w:rsidRDefault="009519B7" w:rsidP="009519B7">
      <w:pPr>
        <w:rPr>
          <w:rFonts w:ascii="Cambria" w:hAnsi="Cambria"/>
          <w:sz w:val="22"/>
          <w:szCs w:val="22"/>
          <w:highlight w:val="yellow"/>
        </w:rPr>
      </w:pPr>
    </w:p>
    <w:p w14:paraId="45312791" w14:textId="77777777" w:rsidR="009519B7" w:rsidRPr="00E75798" w:rsidRDefault="009519B7" w:rsidP="009519B7">
      <w:pPr>
        <w:rPr>
          <w:rFonts w:ascii="Cambria" w:hAnsi="Cambria"/>
          <w:sz w:val="22"/>
          <w:szCs w:val="22"/>
          <w:highlight w:val="yellow"/>
        </w:rPr>
      </w:pPr>
    </w:p>
    <w:p w14:paraId="09C7D1BA" w14:textId="77777777" w:rsidR="009519B7" w:rsidRPr="00E75798" w:rsidRDefault="009519B7" w:rsidP="009519B7">
      <w:pPr>
        <w:rPr>
          <w:rFonts w:ascii="Cambria" w:hAnsi="Cambria"/>
          <w:sz w:val="22"/>
          <w:szCs w:val="22"/>
          <w:highlight w:val="yellow"/>
        </w:rPr>
      </w:pPr>
    </w:p>
    <w:p w14:paraId="51C57D33" w14:textId="77777777" w:rsidR="009519B7" w:rsidRPr="00E75798" w:rsidRDefault="009519B7" w:rsidP="009519B7">
      <w:pPr>
        <w:rPr>
          <w:rFonts w:ascii="Cambria" w:hAnsi="Cambria"/>
          <w:sz w:val="22"/>
          <w:szCs w:val="22"/>
          <w:highlight w:val="yellow"/>
        </w:rPr>
      </w:pPr>
    </w:p>
    <w:p w14:paraId="2060E2F3" w14:textId="77777777" w:rsidR="009519B7" w:rsidRPr="00E75798" w:rsidRDefault="009519B7" w:rsidP="009519B7">
      <w:pPr>
        <w:rPr>
          <w:rFonts w:ascii="Cambria" w:hAnsi="Cambria"/>
          <w:sz w:val="22"/>
          <w:szCs w:val="22"/>
          <w:highlight w:val="yellow"/>
        </w:rPr>
      </w:pPr>
    </w:p>
    <w:p w14:paraId="3FEF3A73" w14:textId="77777777" w:rsidR="009519B7" w:rsidRPr="00E75798" w:rsidRDefault="009519B7" w:rsidP="009519B7">
      <w:pPr>
        <w:rPr>
          <w:rFonts w:ascii="Cambria" w:hAnsi="Cambria"/>
          <w:sz w:val="22"/>
          <w:szCs w:val="22"/>
          <w:highlight w:val="yellow"/>
        </w:rPr>
      </w:pPr>
    </w:p>
    <w:p w14:paraId="57A23421" w14:textId="77777777" w:rsidR="009519B7" w:rsidRPr="00E75798" w:rsidRDefault="009519B7" w:rsidP="009519B7">
      <w:pPr>
        <w:rPr>
          <w:rFonts w:ascii="Cambria" w:hAnsi="Cambria"/>
          <w:sz w:val="22"/>
          <w:szCs w:val="22"/>
          <w:highlight w:val="yellow"/>
        </w:rPr>
      </w:pPr>
    </w:p>
    <w:p w14:paraId="04B6B47A" w14:textId="77777777" w:rsidR="009519B7" w:rsidRPr="00E75798" w:rsidRDefault="009519B7" w:rsidP="009519B7">
      <w:pPr>
        <w:rPr>
          <w:rFonts w:ascii="Cambria" w:hAnsi="Cambria"/>
          <w:sz w:val="22"/>
          <w:szCs w:val="22"/>
          <w:highlight w:val="yellow"/>
        </w:rPr>
      </w:pPr>
    </w:p>
    <w:p w14:paraId="703661AB" w14:textId="77777777" w:rsidR="009519B7" w:rsidRPr="00E75798" w:rsidRDefault="009519B7" w:rsidP="009519B7">
      <w:pPr>
        <w:rPr>
          <w:rFonts w:ascii="Cambria" w:hAnsi="Cambria"/>
          <w:sz w:val="22"/>
          <w:szCs w:val="22"/>
          <w:highlight w:val="yellow"/>
        </w:rPr>
      </w:pPr>
    </w:p>
    <w:p w14:paraId="714DC38C" w14:textId="77777777" w:rsidR="009519B7" w:rsidRPr="00E75798" w:rsidRDefault="009519B7" w:rsidP="009519B7">
      <w:pPr>
        <w:rPr>
          <w:rFonts w:ascii="Cambria" w:hAnsi="Cambria"/>
          <w:sz w:val="22"/>
          <w:szCs w:val="22"/>
          <w:highlight w:val="yellow"/>
        </w:rPr>
      </w:pPr>
    </w:p>
    <w:p w14:paraId="4F53B763" w14:textId="77777777" w:rsidR="009519B7" w:rsidRPr="00E75798" w:rsidRDefault="009519B7" w:rsidP="009519B7">
      <w:pPr>
        <w:rPr>
          <w:rFonts w:ascii="Cambria" w:hAnsi="Cambria"/>
          <w:sz w:val="22"/>
          <w:szCs w:val="22"/>
          <w:highlight w:val="yellow"/>
        </w:rPr>
      </w:pPr>
    </w:p>
    <w:p w14:paraId="59AF2F99" w14:textId="77777777" w:rsidR="009519B7" w:rsidRPr="00E75798" w:rsidRDefault="009519B7" w:rsidP="009519B7">
      <w:pPr>
        <w:rPr>
          <w:rFonts w:ascii="Cambria" w:hAnsi="Cambria"/>
          <w:sz w:val="22"/>
          <w:szCs w:val="22"/>
          <w:highlight w:val="yellow"/>
        </w:rPr>
      </w:pPr>
    </w:p>
    <w:p w14:paraId="30C1EA3B" w14:textId="77777777" w:rsidR="009519B7" w:rsidRPr="00E75798" w:rsidRDefault="009519B7" w:rsidP="009519B7">
      <w:pPr>
        <w:rPr>
          <w:rFonts w:ascii="Cambria" w:hAnsi="Cambria"/>
          <w:sz w:val="22"/>
          <w:szCs w:val="22"/>
          <w:highlight w:val="yellow"/>
        </w:rPr>
      </w:pPr>
    </w:p>
    <w:p w14:paraId="1A43B79F" w14:textId="77777777" w:rsidR="009519B7" w:rsidRPr="00E75798" w:rsidRDefault="009519B7" w:rsidP="009519B7">
      <w:pPr>
        <w:rPr>
          <w:rFonts w:ascii="Cambria" w:hAnsi="Cambria"/>
          <w:sz w:val="22"/>
          <w:szCs w:val="22"/>
          <w:highlight w:val="yellow"/>
        </w:rPr>
      </w:pPr>
    </w:p>
    <w:p w14:paraId="32E80E9A" w14:textId="77777777" w:rsidR="009519B7" w:rsidRPr="00E75798" w:rsidRDefault="009519B7" w:rsidP="009519B7">
      <w:pPr>
        <w:rPr>
          <w:rFonts w:ascii="Cambria" w:hAnsi="Cambria"/>
          <w:sz w:val="22"/>
          <w:szCs w:val="22"/>
          <w:highlight w:val="yellow"/>
        </w:rPr>
      </w:pP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zmluvné strany rozumejú 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466DB1C1" w:rsidR="00370FEC" w:rsidRPr="00821560" w:rsidRDefault="00370FEC" w:rsidP="00E64A74">
            <w:pPr>
              <w:spacing w:before="60" w:after="20"/>
              <w:jc w:val="both"/>
              <w:rPr>
                <w:rFonts w:ascii="Cambria" w:hAnsi="Cambria" w:cs="Arial"/>
                <w:sz w:val="22"/>
                <w:szCs w:val="22"/>
              </w:rPr>
            </w:pPr>
            <w:r w:rsidRPr="00821560">
              <w:rPr>
                <w:rFonts w:ascii="Cambria" w:hAnsi="Cambria" w:cs="Arial"/>
                <w:sz w:val="22"/>
                <w:szCs w:val="22"/>
              </w:rPr>
              <w:t xml:space="preserve">zmluvné strany rozumejú </w:t>
            </w: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77777777"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4FE113F4" w:rsidR="00370FEC" w:rsidRPr="00AB42A6" w:rsidRDefault="00AB42A6" w:rsidP="00E64A74">
            <w:pPr>
              <w:spacing w:before="60" w:after="20"/>
              <w:jc w:val="both"/>
              <w:rPr>
                <w:rFonts w:ascii="Cambria" w:hAnsi="Cambria" w:cs="Arial"/>
                <w:sz w:val="22"/>
                <w:szCs w:val="22"/>
                <w:lang w:val="cs-CZ" w:eastAsia="cs-CZ"/>
              </w:rPr>
            </w:pPr>
            <w:r w:rsidRPr="00AB42A6">
              <w:rPr>
                <w:rFonts w:ascii="Cambria" w:hAnsi="Cambria" w:cs="Arial"/>
                <w:bCs/>
                <w:color w:val="000000"/>
                <w:sz w:val="22"/>
                <w:szCs w:val="22"/>
              </w:rPr>
              <w:t>Centrálny celobankový dátový sklad</w:t>
            </w:r>
            <w:r w:rsidRPr="00AB42A6">
              <w:rPr>
                <w:rFonts w:ascii="Cambria" w:hAnsi="Cambria" w:cs="Arial"/>
                <w:sz w:val="22"/>
                <w:szCs w:val="22"/>
              </w:rPr>
              <w:t xml:space="preserve"> – Dielo, k</w:t>
            </w:r>
            <w:r w:rsidR="00370FEC" w:rsidRPr="00AB42A6">
              <w:rPr>
                <w:rFonts w:ascii="Cambria" w:hAnsi="Cambria" w:cs="Arial"/>
                <w:sz w:val="22"/>
                <w:szCs w:val="22"/>
              </w:rPr>
              <w:t>tor</w:t>
            </w:r>
            <w:r w:rsidRPr="00AB42A6">
              <w:rPr>
                <w:rFonts w:ascii="Cambria" w:hAnsi="Cambria" w:cs="Arial"/>
                <w:sz w:val="22"/>
                <w:szCs w:val="22"/>
              </w:rPr>
              <w:t>é</w:t>
            </w:r>
            <w:r w:rsidR="00370FEC" w:rsidRPr="00AB42A6">
              <w:rPr>
                <w:rFonts w:ascii="Cambria" w:hAnsi="Cambria" w:cs="Arial"/>
                <w:sz w:val="22"/>
                <w:szCs w:val="22"/>
              </w:rPr>
              <w:t xml:space="preserve"> je predmetom </w:t>
            </w:r>
            <w:r w:rsidRPr="00AB42A6">
              <w:rPr>
                <w:rFonts w:ascii="Cambria" w:hAnsi="Cambria" w:cs="Arial"/>
                <w:sz w:val="22"/>
                <w:szCs w:val="22"/>
              </w:rPr>
              <w:t xml:space="preserve">tejto </w:t>
            </w:r>
            <w:r w:rsidR="00370FEC" w:rsidRPr="00AB42A6">
              <w:rPr>
                <w:rFonts w:ascii="Cambria" w:hAnsi="Cambria" w:cs="Arial"/>
                <w:sz w:val="22"/>
                <w:szCs w:val="22"/>
              </w:rPr>
              <w:t>zmluvy</w:t>
            </w:r>
            <w:r w:rsidRPr="00AB42A6">
              <w:rPr>
                <w:rFonts w:ascii="Cambria" w:hAnsi="Cambria" w:cs="Arial"/>
                <w:sz w:val="22"/>
                <w:szCs w:val="22"/>
              </w:rPr>
              <w:t xml:space="preserve"> o dielo</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B47A219"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rozumie sa 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7777777"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rozumie sa 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7777777" w:rsidR="00370FEC" w:rsidRPr="00C352F6" w:rsidRDefault="00370FEC" w:rsidP="00E64A74">
            <w:pPr>
              <w:spacing w:before="60" w:after="20"/>
              <w:rPr>
                <w:rFonts w:ascii="Cambria" w:hAnsi="Cambria" w:cs="Arial"/>
                <w:sz w:val="22"/>
                <w:szCs w:val="22"/>
                <w:lang w:val="cs-CZ" w:eastAsia="cs-CZ"/>
              </w:rPr>
            </w:pPr>
            <w:r w:rsidRPr="00C352F6">
              <w:rPr>
                <w:rFonts w:ascii="Cambria" w:hAnsi="Cambria" w:cs="Arial"/>
                <w:sz w:val="22"/>
                <w:szCs w:val="22"/>
              </w:rPr>
              <w:t>Hlavné 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37F76016" w:rsidR="00370FEC" w:rsidRPr="00144521" w:rsidRDefault="00370FEC" w:rsidP="00E64A74">
            <w:pPr>
              <w:pStyle w:val="weeklies"/>
              <w:overflowPunct/>
              <w:autoSpaceDE/>
              <w:adjustRightInd/>
              <w:spacing w:before="60" w:after="20"/>
              <w:rPr>
                <w:rFonts w:ascii="Cambria" w:hAnsi="Cambria" w:cs="Arial"/>
                <w:sz w:val="22"/>
                <w:szCs w:val="22"/>
                <w:lang w:val="sk-SK"/>
              </w:rPr>
            </w:pPr>
            <w:r w:rsidRPr="00144521">
              <w:rPr>
                <w:rFonts w:ascii="Cambria" w:hAnsi="Cambria" w:cs="Arial"/>
                <w:sz w:val="22"/>
                <w:szCs w:val="22"/>
                <w:lang w:val="sk-SK"/>
              </w:rPr>
              <w:t>Chybu predstavuje akékoľvek nesplnenie požiadaviek na dodávaný</w:t>
            </w:r>
            <w:r w:rsidR="00144521">
              <w:rPr>
                <w:rFonts w:ascii="Cambria" w:hAnsi="Cambria" w:cs="Arial"/>
                <w:sz w:val="22"/>
                <w:szCs w:val="22"/>
                <w:lang w:val="sk-SK"/>
              </w:rPr>
              <w:t xml:space="preserve"> informačný</w:t>
            </w:r>
            <w:r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77777777"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 xml:space="preserve">dodávaného systému, infraštruktúry </w:t>
            </w:r>
            <w:r w:rsidRPr="00AB42A6">
              <w:rPr>
                <w:rFonts w:ascii="Cambria" w:hAnsi="Cambria" w:cs="Arial"/>
                <w:sz w:val="22"/>
                <w:szCs w:val="22"/>
              </w:rPr>
              <w:lastRenderedPageBreak/>
              <w:t>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zmluvné strany rozumejú 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systému. Táto inštalácia môže byť vykonaná 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7B7D4477" w14:textId="4DAB1C2F" w:rsidR="00F33038" w:rsidRPr="00C352F6" w:rsidRDefault="00487C70" w:rsidP="00E64A74">
            <w:pPr>
              <w:spacing w:before="60" w:after="20"/>
              <w:jc w:val="both"/>
              <w:rPr>
                <w:rFonts w:ascii="Cambria" w:hAnsi="Cambria" w:cs="Arial"/>
                <w:sz w:val="22"/>
                <w:szCs w:val="22"/>
              </w:rPr>
            </w:pPr>
            <w:r w:rsidRPr="00C352F6">
              <w:rPr>
                <w:rFonts w:ascii="Cambria" w:hAnsi="Cambria" w:cs="Arial"/>
                <w:sz w:val="22"/>
                <w:szCs w:val="22"/>
              </w:rPr>
              <w:t>Riešitelia</w:t>
            </w:r>
            <w:r w:rsidR="00F33038" w:rsidRPr="00C352F6">
              <w:rPr>
                <w:rFonts w:ascii="Cambria" w:hAnsi="Cambria" w:cs="Arial"/>
                <w:sz w:val="22"/>
                <w:szCs w:val="22"/>
              </w:rPr>
              <w:t xml:space="preserve"> na s</w:t>
            </w:r>
            <w:r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s nasledujúcimi zodpovednosťami:</w:t>
            </w:r>
          </w:p>
          <w:p w14:paraId="01F9E612" w14:textId="77777777" w:rsidR="00C352F6" w:rsidRPr="00FE4A5A" w:rsidRDefault="00C352F6" w:rsidP="00C352F6">
            <w:pPr>
              <w:spacing w:after="20"/>
              <w:jc w:val="both"/>
              <w:rPr>
                <w:rStyle w:val="cf01"/>
                <w:rFonts w:ascii="Cambria" w:hAnsi="Cambria" w:cs="Arial"/>
                <w:sz w:val="22"/>
                <w:szCs w:val="22"/>
              </w:rPr>
            </w:pPr>
            <w:r w:rsidRPr="00FE4A5A">
              <w:rPr>
                <w:rStyle w:val="cf01"/>
                <w:rFonts w:ascii="Cambria" w:hAnsi="Cambria"/>
                <w:sz w:val="22"/>
                <w:szCs w:val="22"/>
              </w:rPr>
              <w:t>Kľúčový expert č. 1 – Projektový manažér</w:t>
            </w:r>
          </w:p>
          <w:p w14:paraId="284EEA4A" w14:textId="6CE54786" w:rsidR="00C352F6" w:rsidRPr="00FE4A5A" w:rsidRDefault="00C352F6" w:rsidP="00C352F6">
            <w:pPr>
              <w:keepNext/>
              <w:autoSpaceDE w:val="0"/>
              <w:autoSpaceDN w:val="0"/>
              <w:adjustRightInd w:val="0"/>
              <w:ind w:left="2127" w:hanging="2127"/>
              <w:jc w:val="both"/>
              <w:rPr>
                <w:rFonts w:ascii="Cambria" w:hAnsi="Cambria" w:cs="Arial"/>
                <w:sz w:val="22"/>
                <w:szCs w:val="22"/>
                <w:lang w:eastAsia="ja-JP"/>
              </w:rPr>
            </w:pPr>
            <w:r w:rsidRPr="00FE4A5A">
              <w:rPr>
                <w:rStyle w:val="cf01"/>
                <w:rFonts w:ascii="Cambria" w:hAnsi="Cambria"/>
                <w:sz w:val="22"/>
                <w:szCs w:val="22"/>
              </w:rPr>
              <w:t>Kľúčový expert č. 2 – Architekt riešenia (Relačná časť DWH)</w:t>
            </w:r>
          </w:p>
          <w:p w14:paraId="4F402571" w14:textId="77777777" w:rsidR="00C352F6" w:rsidRPr="00FE4A5A" w:rsidRDefault="00C352F6" w:rsidP="00C352F6">
            <w:pPr>
              <w:autoSpaceDE w:val="0"/>
              <w:autoSpaceDN w:val="0"/>
              <w:adjustRightInd w:val="0"/>
              <w:ind w:left="1985" w:hanging="1985"/>
              <w:jc w:val="both"/>
              <w:rPr>
                <w:rFonts w:ascii="Cambria" w:eastAsia="Cambria" w:hAnsi="Cambria" w:cs="Cambria"/>
                <w:sz w:val="22"/>
                <w:szCs w:val="22"/>
                <w:lang w:val="sk"/>
              </w:rPr>
            </w:pPr>
            <w:r w:rsidRPr="00FE4A5A">
              <w:rPr>
                <w:rStyle w:val="cf01"/>
                <w:rFonts w:ascii="Cambria" w:hAnsi="Cambria"/>
                <w:sz w:val="22"/>
                <w:szCs w:val="22"/>
              </w:rPr>
              <w:t xml:space="preserve">Kľúčový expert č. 3 – </w:t>
            </w:r>
            <w:r w:rsidRPr="00FE4A5A">
              <w:rPr>
                <w:rFonts w:ascii="Cambria" w:eastAsia="Cambria" w:hAnsi="Cambria" w:cs="Cambria"/>
                <w:sz w:val="22"/>
                <w:szCs w:val="22"/>
                <w:lang w:val="sk"/>
              </w:rPr>
              <w:t xml:space="preserve">Architekt riešenia </w:t>
            </w:r>
          </w:p>
          <w:p w14:paraId="5115F669" w14:textId="6AB8D13E" w:rsidR="00C352F6" w:rsidRPr="00FE4A5A" w:rsidRDefault="00C352F6" w:rsidP="00C352F6">
            <w:pPr>
              <w:autoSpaceDE w:val="0"/>
              <w:autoSpaceDN w:val="0"/>
              <w:adjustRightInd w:val="0"/>
              <w:ind w:left="1985" w:hanging="1985"/>
              <w:jc w:val="both"/>
              <w:rPr>
                <w:rStyle w:val="cf01"/>
                <w:rFonts w:ascii="Cambria" w:hAnsi="Cambria"/>
                <w:sz w:val="22"/>
                <w:szCs w:val="22"/>
              </w:rPr>
            </w:pPr>
            <w:r w:rsidRPr="00FE4A5A">
              <w:rPr>
                <w:rFonts w:ascii="Cambria" w:eastAsia="Cambria" w:hAnsi="Cambria" w:cs="Cambria"/>
                <w:sz w:val="22"/>
                <w:szCs w:val="22"/>
                <w:lang w:val="sk"/>
              </w:rPr>
              <w:t>(BigData/DataLake časť DWH)</w:t>
            </w:r>
          </w:p>
          <w:p w14:paraId="1FBF6301" w14:textId="77777777" w:rsidR="00C352F6" w:rsidRPr="00FE4A5A" w:rsidRDefault="00C352F6" w:rsidP="00C352F6">
            <w:pPr>
              <w:autoSpaceDE w:val="0"/>
              <w:autoSpaceDN w:val="0"/>
              <w:adjustRightInd w:val="0"/>
              <w:ind w:left="1985" w:hanging="1985"/>
              <w:jc w:val="both"/>
              <w:rPr>
                <w:rStyle w:val="cf01"/>
                <w:rFonts w:ascii="Cambria" w:hAnsi="Cambria"/>
                <w:sz w:val="22"/>
                <w:szCs w:val="22"/>
              </w:rPr>
            </w:pPr>
            <w:r w:rsidRPr="00FE4A5A">
              <w:rPr>
                <w:rStyle w:val="cf01"/>
                <w:rFonts w:ascii="Cambria" w:hAnsi="Cambria"/>
                <w:sz w:val="22"/>
                <w:szCs w:val="22"/>
              </w:rPr>
              <w:t>Kľúčový expert č. 4 – Senior Dátový Analytik</w:t>
            </w:r>
          </w:p>
          <w:p w14:paraId="1303F064" w14:textId="77777777" w:rsidR="00C352F6" w:rsidRPr="00FE4A5A" w:rsidRDefault="00C352F6" w:rsidP="00C352F6">
            <w:pPr>
              <w:pStyle w:val="pf0"/>
              <w:spacing w:before="0" w:beforeAutospacing="0" w:after="0" w:afterAutospacing="0"/>
              <w:rPr>
                <w:rStyle w:val="cf01"/>
                <w:rFonts w:ascii="Cambria" w:hAnsi="Cambria"/>
                <w:sz w:val="22"/>
                <w:szCs w:val="22"/>
              </w:rPr>
            </w:pPr>
            <w:r w:rsidRPr="00FE4A5A">
              <w:rPr>
                <w:rStyle w:val="cf01"/>
                <w:rFonts w:ascii="Cambria" w:hAnsi="Cambria"/>
                <w:sz w:val="22"/>
                <w:szCs w:val="22"/>
              </w:rPr>
              <w:t xml:space="preserve">Kľúčový expert č. 5 – </w:t>
            </w:r>
            <w:r w:rsidRPr="00FE4A5A">
              <w:rPr>
                <w:rStyle w:val="cf01"/>
                <w:rFonts w:ascii="Cambria" w:eastAsia="Cambria" w:hAnsi="Cambria"/>
                <w:sz w:val="22"/>
                <w:szCs w:val="22"/>
              </w:rPr>
              <w:t>Data Ingestion Špecialista</w:t>
            </w:r>
          </w:p>
          <w:p w14:paraId="75F1B9B6" w14:textId="77777777" w:rsidR="00C352F6" w:rsidRPr="00FE4A5A" w:rsidRDefault="00C352F6" w:rsidP="00C352F6">
            <w:pPr>
              <w:pStyle w:val="pf0"/>
              <w:spacing w:before="0" w:beforeAutospacing="0" w:after="0" w:afterAutospacing="0"/>
              <w:rPr>
                <w:rFonts w:ascii="Cambria" w:eastAsia="Cambria" w:hAnsi="Cambria" w:cs="Cambria"/>
                <w:sz w:val="22"/>
                <w:szCs w:val="22"/>
                <w:lang w:val="sk"/>
              </w:rPr>
            </w:pPr>
            <w:r w:rsidRPr="00FE4A5A">
              <w:rPr>
                <w:rStyle w:val="cf01"/>
                <w:rFonts w:ascii="Cambria" w:hAnsi="Cambria"/>
                <w:sz w:val="22"/>
                <w:szCs w:val="22"/>
              </w:rPr>
              <w:t xml:space="preserve">Kľúčový expert č. 6 – </w:t>
            </w:r>
            <w:r w:rsidRPr="00FE4A5A">
              <w:rPr>
                <w:rFonts w:ascii="Cambria" w:eastAsia="Cambria" w:hAnsi="Cambria" w:cs="Cambria"/>
                <w:sz w:val="22"/>
                <w:szCs w:val="22"/>
                <w:lang w:val="sk"/>
              </w:rPr>
              <w:t>ETL Špecialista</w:t>
            </w:r>
          </w:p>
          <w:p w14:paraId="0B5280F8" w14:textId="77777777" w:rsidR="00C352F6" w:rsidRPr="00FE4A5A" w:rsidRDefault="00C352F6" w:rsidP="00C352F6">
            <w:pPr>
              <w:pStyle w:val="pf0"/>
              <w:spacing w:before="0" w:beforeAutospacing="0" w:after="0" w:afterAutospacing="0"/>
              <w:rPr>
                <w:rFonts w:ascii="Cambria" w:eastAsia="Cambria" w:hAnsi="Cambria" w:cs="Cambria"/>
                <w:sz w:val="22"/>
                <w:szCs w:val="22"/>
                <w:lang w:val="sk"/>
              </w:rPr>
            </w:pPr>
            <w:r w:rsidRPr="00FE4A5A">
              <w:rPr>
                <w:rStyle w:val="cf01"/>
                <w:rFonts w:ascii="Cambria" w:hAnsi="Cambria"/>
                <w:sz w:val="22"/>
                <w:szCs w:val="22"/>
              </w:rPr>
              <w:t xml:space="preserve">Kľúčový expert č. 7 – </w:t>
            </w:r>
            <w:r w:rsidRPr="00FE4A5A">
              <w:rPr>
                <w:rFonts w:ascii="Cambria" w:eastAsia="Cambria" w:hAnsi="Cambria" w:cs="Cambria"/>
                <w:sz w:val="22"/>
                <w:szCs w:val="22"/>
                <w:lang w:val="sk"/>
              </w:rPr>
              <w:t>BI Špecialista</w:t>
            </w:r>
          </w:p>
          <w:p w14:paraId="4DD9C92A" w14:textId="6DA5F70F" w:rsidR="00487C70" w:rsidRPr="00C352F6" w:rsidRDefault="00487C70" w:rsidP="00C352F6">
            <w:pPr>
              <w:pStyle w:val="ListParagraph"/>
              <w:spacing w:before="60" w:after="20"/>
              <w:jc w:val="both"/>
              <w:rPr>
                <w:rFonts w:ascii="Cambria" w:hAnsi="Cambria" w:cs="Arial"/>
              </w:rPr>
            </w:pP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77777777" w:rsidR="00370FEC" w:rsidRPr="00E3092A" w:rsidRDefault="00370FEC" w:rsidP="00E64A74">
            <w:pPr>
              <w:spacing w:before="60" w:after="20"/>
              <w:jc w:val="both"/>
              <w:rPr>
                <w:rFonts w:ascii="Cambria" w:hAnsi="Cambria" w:cs="Arial"/>
                <w:sz w:val="22"/>
                <w:szCs w:val="22"/>
              </w:rPr>
            </w:pPr>
            <w:r w:rsidRPr="00E3092A">
              <w:rPr>
                <w:rFonts w:ascii="Cambria" w:hAnsi="Cambria" w:cs="Arial"/>
                <w:sz w:val="22"/>
                <w:szCs w:val="22"/>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747B0295"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rozumie sa 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77777777" w:rsidR="00370FEC" w:rsidRPr="00E3092A" w:rsidRDefault="00370FEC" w:rsidP="00E64A74">
            <w:pPr>
              <w:jc w:val="both"/>
              <w:rPr>
                <w:rFonts w:ascii="Cambria" w:hAnsi="Cambria"/>
                <w:sz w:val="22"/>
                <w:szCs w:val="22"/>
              </w:rPr>
            </w:pPr>
            <w:r w:rsidRPr="00E3092A">
              <w:rPr>
                <w:rFonts w:ascii="Cambria" w:hAnsi="Cambria" w:cs="Arial"/>
                <w:sz w:val="22"/>
                <w:szCs w:val="22"/>
              </w:rPr>
              <w:t>predstavuje 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lastRenderedPageBreak/>
              <w:t>Osobodeň</w:t>
            </w:r>
          </w:p>
        </w:tc>
        <w:tc>
          <w:tcPr>
            <w:tcW w:w="6826" w:type="dxa"/>
            <w:gridSpan w:val="2"/>
            <w:tcBorders>
              <w:top w:val="single" w:sz="4" w:space="0" w:color="auto"/>
              <w:left w:val="single" w:sz="4" w:space="0" w:color="auto"/>
              <w:bottom w:val="single" w:sz="4" w:space="0" w:color="auto"/>
              <w:right w:val="single" w:sz="4" w:space="0" w:color="auto"/>
            </w:tcBorders>
          </w:tcPr>
          <w:p w14:paraId="0C0C4146" w14:textId="40CB35E8"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zmluvné strany rozumejú 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7777777"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predstavuje prostriedok na modifikáciu dodávaného systému, t.j.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59D8444" w:rsidR="00370FEC" w:rsidRPr="001C3681" w:rsidRDefault="00370FEC" w:rsidP="00E64A74">
            <w:pPr>
              <w:spacing w:before="60" w:after="20"/>
              <w:jc w:val="both"/>
              <w:rPr>
                <w:rFonts w:ascii="Cambria" w:hAnsi="Cambria" w:cs="Arial"/>
                <w:sz w:val="22"/>
                <w:szCs w:val="22"/>
              </w:rPr>
            </w:pPr>
            <w:r w:rsidRPr="001C3681">
              <w:rPr>
                <w:rFonts w:ascii="Cambria" w:hAnsi="Cambria" w:cs="Arial"/>
                <w:sz w:val="22"/>
                <w:szCs w:val="22"/>
              </w:rPr>
              <w:t>Za pracovnú dobu sa pre účely zmluvy rozumie časové obdobie v pracovných dňoch medzi 8.00</w:t>
            </w:r>
            <w:r w:rsidR="00870DC3" w:rsidRPr="001C3681">
              <w:rPr>
                <w:rFonts w:ascii="Cambria" w:hAnsi="Cambria" w:cs="Arial"/>
                <w:sz w:val="22"/>
                <w:szCs w:val="22"/>
              </w:rPr>
              <w:t xml:space="preserve"> h</w:t>
            </w:r>
            <w:r w:rsidRPr="001C3681">
              <w:rPr>
                <w:rFonts w:ascii="Cambria" w:hAnsi="Cambria" w:cs="Arial"/>
                <w:sz w:val="22"/>
                <w:szCs w:val="22"/>
              </w:rPr>
              <w:t xml:space="preserve"> – 1</w:t>
            </w:r>
            <w:r w:rsidR="00B2647E" w:rsidRPr="001C3681">
              <w:rPr>
                <w:rFonts w:ascii="Cambria" w:hAnsi="Cambria" w:cs="Arial"/>
                <w:sz w:val="22"/>
                <w:szCs w:val="22"/>
              </w:rPr>
              <w:t>6</w:t>
            </w:r>
            <w:r w:rsidRPr="001C3681">
              <w:rPr>
                <w:rFonts w:ascii="Cambria" w:hAnsi="Cambria" w:cs="Arial"/>
                <w:sz w:val="22"/>
                <w:szCs w:val="22"/>
              </w:rPr>
              <w:t>.00 h, pričom pre účely odstraňovania incidentov dodávaného systému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DA9BF00"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predstavuje 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7CC19499"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zmluvné strany rozumejú technické zariadenia a programové vybavenie (softvér) a všetky údaje nachádzajúce sa u objednávateľa </w:t>
            </w:r>
            <w:r w:rsidRPr="00870DC3">
              <w:rPr>
                <w:rFonts w:ascii="Cambria" w:hAnsi="Cambria" w:cs="Arial"/>
                <w:sz w:val="22"/>
                <w:szCs w:val="22"/>
              </w:rPr>
              <w:lastRenderedPageBreak/>
              <w:t xml:space="preserve">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7777777"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predstavuje akýkoľvek výstup projektu, t.j.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77777777"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zmluvné strany rozumejú 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77777777" w:rsidR="00370FEC" w:rsidRPr="002F627B" w:rsidRDefault="00370FEC" w:rsidP="00E64A74">
            <w:pPr>
              <w:jc w:val="both"/>
              <w:rPr>
                <w:rFonts w:ascii="Cambria" w:hAnsi="Cambria" w:cs="Arial"/>
                <w:sz w:val="22"/>
                <w:szCs w:val="22"/>
                <w:lang w:val="cs-CZ" w:eastAsia="cs-CZ"/>
              </w:rPr>
            </w:pPr>
            <w:r w:rsidRPr="002F627B">
              <w:rPr>
                <w:rFonts w:ascii="Cambria" w:hAnsi="Cambria" w:cs="Arial"/>
                <w:sz w:val="22"/>
                <w:szCs w:val="22"/>
              </w:rPr>
              <w:t>predstavuje tú úroveň v rámci riadiacej organizačnej štruktúry projektu, ktorá má oprávnenia a zodpovednosť na rozhodovanie o vecnej oblasti riadenia projektu, t.j. riadiaci orgán projektu predstavujú vedúci projektu 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77777777"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predstavuje 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77777777" w:rsidR="00370FEC" w:rsidRPr="00E63415" w:rsidRDefault="00370FEC" w:rsidP="00E64A74">
            <w:pPr>
              <w:spacing w:before="60" w:after="20"/>
              <w:jc w:val="both"/>
              <w:rPr>
                <w:rFonts w:ascii="Cambria" w:hAnsi="Cambria" w:cs="Arial"/>
                <w:sz w:val="22"/>
                <w:szCs w:val="22"/>
              </w:rPr>
            </w:pPr>
            <w:r w:rsidRPr="00E63415">
              <w:rPr>
                <w:rFonts w:ascii="Cambria" w:hAnsi="Cambria" w:cs="Arial"/>
                <w:sz w:val="22"/>
                <w:szCs w:val="22"/>
              </w:rPr>
              <w:t>Service level agreement – d</w:t>
            </w:r>
            <w:r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7777777"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zmluvné strany rozumejú 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07FC75D"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zmluvné strany rozumejú 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62DC35CF"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rozumie sa zmluva o dielo číslo </w:t>
            </w:r>
            <w:r w:rsidRPr="00E63415">
              <w:rPr>
                <w:rFonts w:ascii="Cambria" w:hAnsi="Cambria" w:cs="Arial"/>
                <w:sz w:val="22"/>
                <w:szCs w:val="22"/>
                <w:lang w:val="cs-CZ"/>
              </w:rPr>
              <w:t>E-531.10.100</w:t>
            </w:r>
            <w:r w:rsidR="001A3E95" w:rsidRPr="00E63415">
              <w:rPr>
                <w:rFonts w:ascii="Cambria" w:hAnsi="Cambria" w:cs="Arial"/>
                <w:sz w:val="22"/>
                <w:szCs w:val="22"/>
                <w:lang w:val="cs-CZ"/>
              </w:rPr>
              <w:t>6</w:t>
            </w:r>
            <w:r w:rsidRPr="00E63415">
              <w:rPr>
                <w:rFonts w:ascii="Cambria" w:hAnsi="Cambria" w:cs="Arial"/>
                <w:sz w:val="22"/>
                <w:szCs w:val="22"/>
                <w:lang w:val="cs-CZ"/>
              </w:rPr>
              <w:t>.00.</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w:t>
            </w:r>
            <w:r w:rsidRPr="00E63415">
              <w:rPr>
                <w:rFonts w:ascii="Cambria" w:hAnsi="Cambria" w:cs="Arial"/>
                <w:sz w:val="22"/>
                <w:szCs w:val="22"/>
              </w:rPr>
              <w:lastRenderedPageBreak/>
              <w:t>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77777777"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rozumie sa 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77777777" w:rsidR="00370FEC" w:rsidRPr="00870DC3" w:rsidRDefault="00370FEC" w:rsidP="00870DC3">
            <w:pPr>
              <w:spacing w:before="60" w:after="20"/>
              <w:jc w:val="both"/>
              <w:rPr>
                <w:rFonts w:ascii="Cambria" w:hAnsi="Cambria" w:cs="Arial"/>
                <w:sz w:val="20"/>
                <w:lang w:val="cs-CZ" w:eastAsia="cs-CZ"/>
              </w:rPr>
            </w:pPr>
            <w:r w:rsidRPr="00870DC3">
              <w:rPr>
                <w:rFonts w:ascii="Cambria" w:hAnsi="Cambria" w:cs="Arial"/>
                <w:sz w:val="22"/>
                <w:szCs w:val="22"/>
              </w:rPr>
              <w:t>Záložné 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6583DFD1" w14:textId="75EC710E" w:rsidR="00D55F7C" w:rsidRPr="00073D61" w:rsidRDefault="00D55F7C" w:rsidP="00E64A74">
            <w:pPr>
              <w:spacing w:before="60" w:after="20"/>
              <w:jc w:val="both"/>
              <w:rPr>
                <w:rFonts w:ascii="Cambria" w:hAnsi="Cambria" w:cs="Arial"/>
                <w:sz w:val="22"/>
                <w:szCs w:val="22"/>
              </w:rPr>
            </w:pPr>
            <w:r w:rsidRPr="00073D61">
              <w:rPr>
                <w:rFonts w:ascii="Cambria" w:hAnsi="Cambria" w:cs="Arial"/>
                <w:sz w:val="22"/>
                <w:szCs w:val="22"/>
              </w:rPr>
              <w:t xml:space="preserve">je 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p w14:paraId="08AA7CD8" w14:textId="77777777" w:rsidR="00D55F7C" w:rsidRPr="00073D61" w:rsidRDefault="00D55F7C" w:rsidP="00E64A74">
            <w:pPr>
              <w:spacing w:before="60" w:after="20"/>
              <w:rPr>
                <w:rFonts w:ascii="Cambria" w:hAnsi="Cambria" w:cs="Arial"/>
                <w:color w:val="0D0D0D" w:themeColor="text1" w:themeTint="F2"/>
                <w:sz w:val="22"/>
                <w:szCs w:val="22"/>
                <w:shd w:val="clear" w:color="auto" w:fill="FFFFFF"/>
              </w:rPr>
            </w:pP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33241D2A"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je 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2C28F47"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je softvérový produkt/softvérové riešenie, ktoré spĺňa znaky preexistentného obchodne dostupného softvéru, preexistentného obchodne nedostupného softvéru, preexistentného open source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41F6C5BA"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2CD80A9"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je 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lastRenderedPageBreak/>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0C29F30B" w14:textId="001EE1CB" w:rsidR="000A67F9" w:rsidRDefault="00E64A74" w:rsidP="003662C2">
      <w:pPr>
        <w:rPr>
          <w:rFonts w:ascii="Cambria" w:hAnsi="Cambria" w:cs="Arial"/>
          <w:sz w:val="22"/>
          <w:szCs w:val="22"/>
        </w:rPr>
      </w:pPr>
      <w:r>
        <w:rPr>
          <w:rFonts w:ascii="Cambria" w:hAnsi="Cambria" w:cs="Arial"/>
          <w:sz w:val="22"/>
          <w:szCs w:val="22"/>
        </w:rPr>
        <w:br w:type="textWrapping" w:clear="all"/>
      </w:r>
    </w:p>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4B7CA3DA" w14:textId="052D493A" w:rsidR="00B60AA6" w:rsidRPr="00913D31" w:rsidRDefault="006F3FA6" w:rsidP="00913D31">
      <w:pPr>
        <w:pStyle w:val="Heading1"/>
        <w:keepNext w:val="0"/>
        <w:ind w:left="3544" w:firstLine="854"/>
        <w:jc w:val="both"/>
        <w:rPr>
          <w:rFonts w:ascii="Cambria" w:hAnsi="Cambria"/>
          <w:sz w:val="22"/>
          <w:szCs w:val="22"/>
        </w:rPr>
      </w:pPr>
      <w:r w:rsidRPr="00913D31">
        <w:rPr>
          <w:rFonts w:ascii="Cambria" w:hAnsi="Cambria"/>
          <w:sz w:val="22"/>
          <w:szCs w:val="22"/>
        </w:rPr>
        <w:lastRenderedPageBreak/>
        <w:t>Príloha č. 7</w:t>
      </w:r>
      <w:r w:rsidR="00913D31">
        <w:rPr>
          <w:rFonts w:ascii="Cambria" w:hAnsi="Cambria"/>
          <w:sz w:val="22"/>
          <w:szCs w:val="22"/>
        </w:rPr>
        <w:t xml:space="preserve"> </w:t>
      </w:r>
      <w:r w:rsidRPr="00913D31">
        <w:rPr>
          <w:rFonts w:ascii="Cambria" w:hAnsi="Cambria"/>
          <w:sz w:val="22"/>
          <w:szCs w:val="22"/>
        </w:rPr>
        <w:t xml:space="preserve">Zoznam </w:t>
      </w:r>
      <w:r w:rsidR="002C375A">
        <w:rPr>
          <w:rFonts w:ascii="Cambria" w:hAnsi="Cambria"/>
          <w:sz w:val="22"/>
          <w:szCs w:val="22"/>
        </w:rPr>
        <w:t>použitých SW a</w:t>
      </w:r>
      <w:r w:rsidR="00304466">
        <w:rPr>
          <w:rFonts w:ascii="Cambria" w:hAnsi="Cambria"/>
          <w:sz w:val="22"/>
          <w:szCs w:val="22"/>
        </w:rPr>
        <w:t> </w:t>
      </w:r>
      <w:r w:rsidR="002C375A">
        <w:rPr>
          <w:rFonts w:ascii="Cambria" w:hAnsi="Cambria"/>
          <w:sz w:val="22"/>
          <w:szCs w:val="22"/>
        </w:rPr>
        <w:t>SW</w:t>
      </w:r>
      <w:r w:rsidR="00304466">
        <w:rPr>
          <w:rFonts w:ascii="Cambria" w:hAnsi="Cambria"/>
          <w:sz w:val="22"/>
          <w:szCs w:val="22"/>
        </w:rPr>
        <w:t xml:space="preserve"> </w:t>
      </w:r>
      <w:r w:rsidRPr="00913D31">
        <w:rPr>
          <w:rFonts w:ascii="Cambria" w:hAnsi="Cambria"/>
          <w:sz w:val="22"/>
          <w:szCs w:val="22"/>
        </w:rPr>
        <w:t>3. strán</w:t>
      </w:r>
    </w:p>
    <w:p w14:paraId="6DB65BB3" w14:textId="333E48E5" w:rsidR="0026290A" w:rsidRDefault="0026290A" w:rsidP="0026290A">
      <w:pPr>
        <w:rPr>
          <w:rFonts w:ascii="Cambria" w:hAnsi="Cambria"/>
          <w:b/>
          <w:i/>
          <w:iCs/>
          <w:sz w:val="22"/>
          <w:szCs w:val="22"/>
        </w:rPr>
      </w:pPr>
      <w:r>
        <w:rPr>
          <w:rFonts w:ascii="Cambria" w:hAnsi="Cambria"/>
          <w:b/>
          <w:i/>
          <w:iCs/>
          <w:sz w:val="22"/>
          <w:szCs w:val="22"/>
        </w:rPr>
        <w:t>A. Použitý SW zhotoviteľa</w:t>
      </w:r>
    </w:p>
    <w:tbl>
      <w:tblPr>
        <w:tblStyle w:val="TableGrid"/>
        <w:tblW w:w="5000" w:type="pct"/>
        <w:tblLook w:val="04A0" w:firstRow="1" w:lastRow="0" w:firstColumn="1" w:lastColumn="0" w:noHBand="0" w:noVBand="1"/>
      </w:tblPr>
      <w:tblGrid>
        <w:gridCol w:w="883"/>
        <w:gridCol w:w="1217"/>
        <w:gridCol w:w="1877"/>
        <w:gridCol w:w="1245"/>
        <w:gridCol w:w="1245"/>
        <w:gridCol w:w="1346"/>
        <w:gridCol w:w="1247"/>
      </w:tblGrid>
      <w:tr w:rsidR="00631116" w14:paraId="43CB2577" w14:textId="77777777" w:rsidTr="00631116">
        <w:tc>
          <w:tcPr>
            <w:tcW w:w="487" w:type="pct"/>
          </w:tcPr>
          <w:p w14:paraId="4FF931F7" w14:textId="324F4096" w:rsidR="00631116" w:rsidRPr="00B62D6E" w:rsidRDefault="00631116" w:rsidP="00505859">
            <w:pPr>
              <w:rPr>
                <w:b/>
                <w:sz w:val="20"/>
              </w:rPr>
            </w:pPr>
            <w:r>
              <w:rPr>
                <w:b/>
                <w:sz w:val="20"/>
              </w:rPr>
              <w:t>Poradie</w:t>
            </w:r>
          </w:p>
        </w:tc>
        <w:tc>
          <w:tcPr>
            <w:tcW w:w="672" w:type="pct"/>
          </w:tcPr>
          <w:p w14:paraId="07A6B824" w14:textId="4E051DA7" w:rsidR="00631116" w:rsidRPr="00B62D6E" w:rsidRDefault="00631116" w:rsidP="00505859">
            <w:pPr>
              <w:rPr>
                <w:b/>
                <w:sz w:val="20"/>
              </w:rPr>
            </w:pPr>
            <w:r w:rsidRPr="00B62D6E">
              <w:rPr>
                <w:b/>
                <w:sz w:val="20"/>
              </w:rPr>
              <w:br w:type="page"/>
              <w:t>Názov</w:t>
            </w:r>
            <w:r>
              <w:rPr>
                <w:b/>
                <w:sz w:val="20"/>
              </w:rPr>
              <w:t xml:space="preserve"> s popisom</w:t>
            </w:r>
          </w:p>
          <w:p w14:paraId="21F2FDAB" w14:textId="77777777" w:rsidR="00631116" w:rsidRPr="00B62D6E" w:rsidRDefault="00631116" w:rsidP="00505859">
            <w:pPr>
              <w:rPr>
                <w:b/>
                <w:sz w:val="20"/>
              </w:rPr>
            </w:pPr>
          </w:p>
        </w:tc>
        <w:tc>
          <w:tcPr>
            <w:tcW w:w="1036" w:type="pct"/>
          </w:tcPr>
          <w:p w14:paraId="01FA52A1" w14:textId="646EBD09" w:rsidR="00631116" w:rsidRPr="00B62D6E" w:rsidRDefault="00631116" w:rsidP="00505859">
            <w:pPr>
              <w:rPr>
                <w:b/>
                <w:sz w:val="20"/>
              </w:rPr>
            </w:pPr>
            <w:r w:rsidRPr="00B62D6E">
              <w:rPr>
                <w:b/>
                <w:sz w:val="20"/>
              </w:rPr>
              <w:t>Výrobca</w:t>
            </w:r>
            <w:r>
              <w:rPr>
                <w:b/>
                <w:sz w:val="20"/>
              </w:rPr>
              <w:t>/</w:t>
            </w:r>
            <w:r w:rsidR="00BD1E42">
              <w:rPr>
                <w:b/>
                <w:sz w:val="20"/>
              </w:rPr>
              <w:t>autor</w:t>
            </w:r>
            <w:r w:rsidR="00CC4BCA">
              <w:rPr>
                <w:b/>
                <w:sz w:val="20"/>
              </w:rPr>
              <w:t xml:space="preserve"> a typ použitého SW</w:t>
            </w:r>
          </w:p>
        </w:tc>
        <w:tc>
          <w:tcPr>
            <w:tcW w:w="687" w:type="pct"/>
          </w:tcPr>
          <w:p w14:paraId="5455F822" w14:textId="65EB9024" w:rsidR="00631116" w:rsidRPr="00B62D6E" w:rsidRDefault="00631116" w:rsidP="00505859">
            <w:pPr>
              <w:rPr>
                <w:b/>
                <w:sz w:val="20"/>
              </w:rPr>
            </w:pPr>
            <w:r>
              <w:rPr>
                <w:b/>
                <w:sz w:val="20"/>
              </w:rPr>
              <w:t>Licencia k SW</w:t>
            </w:r>
          </w:p>
        </w:tc>
        <w:tc>
          <w:tcPr>
            <w:tcW w:w="687" w:type="pct"/>
          </w:tcPr>
          <w:p w14:paraId="7B40A53B" w14:textId="2C159DDD" w:rsidR="00631116" w:rsidRPr="00B62D6E" w:rsidRDefault="00631116" w:rsidP="00505859">
            <w:pPr>
              <w:rPr>
                <w:b/>
                <w:sz w:val="20"/>
              </w:rPr>
            </w:pPr>
            <w:r w:rsidRPr="00B62D6E">
              <w:rPr>
                <w:b/>
                <w:sz w:val="20"/>
              </w:rPr>
              <w:t>Počet ks</w:t>
            </w:r>
          </w:p>
        </w:tc>
        <w:tc>
          <w:tcPr>
            <w:tcW w:w="743" w:type="pct"/>
          </w:tcPr>
          <w:p w14:paraId="7A0FB1DB" w14:textId="77777777" w:rsidR="00631116" w:rsidRPr="00B62D6E" w:rsidRDefault="00631116" w:rsidP="00505859">
            <w:pPr>
              <w:rPr>
                <w:b/>
                <w:sz w:val="20"/>
              </w:rPr>
            </w:pPr>
            <w:r w:rsidRPr="00B62D6E">
              <w:rPr>
                <w:b/>
                <w:sz w:val="20"/>
              </w:rPr>
              <w:t>Jednotková cena</w:t>
            </w:r>
          </w:p>
        </w:tc>
        <w:tc>
          <w:tcPr>
            <w:tcW w:w="688" w:type="pct"/>
          </w:tcPr>
          <w:p w14:paraId="47272534" w14:textId="77777777" w:rsidR="00631116" w:rsidRPr="00B62D6E" w:rsidRDefault="00631116" w:rsidP="00505859">
            <w:pPr>
              <w:rPr>
                <w:b/>
                <w:sz w:val="20"/>
              </w:rPr>
            </w:pPr>
            <w:r w:rsidRPr="00B62D6E">
              <w:rPr>
                <w:b/>
                <w:sz w:val="20"/>
              </w:rPr>
              <w:t>Celková cena</w:t>
            </w:r>
          </w:p>
        </w:tc>
      </w:tr>
      <w:tr w:rsidR="00631116" w14:paraId="78A98498" w14:textId="77777777" w:rsidTr="00631116">
        <w:tc>
          <w:tcPr>
            <w:tcW w:w="487" w:type="pct"/>
          </w:tcPr>
          <w:p w14:paraId="1B816962" w14:textId="256D7876" w:rsidR="00631116" w:rsidRPr="00183CF9" w:rsidRDefault="00631116" w:rsidP="00DA1416">
            <w:pPr>
              <w:jc w:val="center"/>
              <w:rPr>
                <w:rFonts w:ascii="Cambria" w:hAnsi="Cambria" w:cs="Arial"/>
                <w:iCs/>
                <w:color w:val="00B0F0"/>
                <w:sz w:val="22"/>
                <w:szCs w:val="22"/>
              </w:rPr>
            </w:pPr>
            <w:r w:rsidRPr="00DA1416">
              <w:rPr>
                <w:rFonts w:ascii="Cambria" w:hAnsi="Cambria" w:cs="Arial"/>
                <w:iCs/>
                <w:sz w:val="22"/>
                <w:szCs w:val="22"/>
              </w:rPr>
              <w:t>1</w:t>
            </w:r>
          </w:p>
        </w:tc>
        <w:tc>
          <w:tcPr>
            <w:tcW w:w="672" w:type="pct"/>
          </w:tcPr>
          <w:p w14:paraId="529B88BD" w14:textId="4BE27DB8" w:rsidR="00631116" w:rsidRDefault="00631116" w:rsidP="002D41CD">
            <w:pPr>
              <w:rPr>
                <w:sz w:val="20"/>
              </w:rPr>
            </w:pPr>
            <w:r w:rsidRPr="00183CF9">
              <w:rPr>
                <w:rFonts w:ascii="Cambria" w:hAnsi="Cambria" w:cs="Arial"/>
                <w:iCs/>
                <w:color w:val="00B0F0"/>
                <w:sz w:val="22"/>
                <w:szCs w:val="22"/>
              </w:rPr>
              <w:t>vyplní uchádzač</w:t>
            </w:r>
          </w:p>
        </w:tc>
        <w:tc>
          <w:tcPr>
            <w:tcW w:w="1036" w:type="pct"/>
          </w:tcPr>
          <w:p w14:paraId="33D98AD6" w14:textId="2F0EF737" w:rsidR="00631116" w:rsidRDefault="00631116" w:rsidP="002D41CD">
            <w:pPr>
              <w:rPr>
                <w:sz w:val="20"/>
              </w:rPr>
            </w:pPr>
            <w:r w:rsidRPr="00183CF9">
              <w:rPr>
                <w:rFonts w:ascii="Cambria" w:hAnsi="Cambria" w:cs="Arial"/>
                <w:iCs/>
                <w:color w:val="00B0F0"/>
                <w:sz w:val="22"/>
                <w:szCs w:val="22"/>
              </w:rPr>
              <w:t>vyplní uchádzač</w:t>
            </w:r>
          </w:p>
        </w:tc>
        <w:tc>
          <w:tcPr>
            <w:tcW w:w="687" w:type="pct"/>
          </w:tcPr>
          <w:p w14:paraId="00931A6F" w14:textId="0878FA51" w:rsidR="00631116" w:rsidRPr="00183CF9" w:rsidRDefault="00631116" w:rsidP="002D41CD">
            <w:pPr>
              <w:rPr>
                <w:rFonts w:ascii="Cambria" w:hAnsi="Cambria" w:cs="Arial"/>
                <w:iCs/>
                <w:color w:val="00B0F0"/>
                <w:sz w:val="22"/>
                <w:szCs w:val="22"/>
              </w:rPr>
            </w:pPr>
            <w:r w:rsidRPr="00183CF9">
              <w:rPr>
                <w:rFonts w:ascii="Cambria" w:hAnsi="Cambria" w:cs="Arial"/>
                <w:iCs/>
                <w:color w:val="00B0F0"/>
                <w:sz w:val="22"/>
                <w:szCs w:val="22"/>
              </w:rPr>
              <w:t>vyplní uchádzač</w:t>
            </w:r>
          </w:p>
        </w:tc>
        <w:tc>
          <w:tcPr>
            <w:tcW w:w="687" w:type="pct"/>
          </w:tcPr>
          <w:p w14:paraId="3BAFF4DB" w14:textId="40A477C2" w:rsidR="00631116" w:rsidRDefault="00631116" w:rsidP="002D41CD">
            <w:pPr>
              <w:rPr>
                <w:sz w:val="20"/>
              </w:rPr>
            </w:pPr>
            <w:r w:rsidRPr="00183CF9">
              <w:rPr>
                <w:rFonts w:ascii="Cambria" w:hAnsi="Cambria" w:cs="Arial"/>
                <w:iCs/>
                <w:color w:val="00B0F0"/>
                <w:sz w:val="22"/>
                <w:szCs w:val="22"/>
              </w:rPr>
              <w:t>vyplní uchádzač</w:t>
            </w:r>
          </w:p>
        </w:tc>
        <w:tc>
          <w:tcPr>
            <w:tcW w:w="743" w:type="pct"/>
          </w:tcPr>
          <w:p w14:paraId="6851497A" w14:textId="5AFCFFA2" w:rsidR="00631116" w:rsidRDefault="00631116" w:rsidP="002D41CD">
            <w:pPr>
              <w:rPr>
                <w:sz w:val="20"/>
              </w:rPr>
            </w:pPr>
            <w:r w:rsidRPr="00183CF9">
              <w:rPr>
                <w:rFonts w:ascii="Cambria" w:hAnsi="Cambria" w:cs="Arial"/>
                <w:iCs/>
                <w:color w:val="00B0F0"/>
                <w:sz w:val="22"/>
                <w:szCs w:val="22"/>
              </w:rPr>
              <w:t>vyplní uchádzač</w:t>
            </w:r>
          </w:p>
        </w:tc>
        <w:tc>
          <w:tcPr>
            <w:tcW w:w="688" w:type="pct"/>
          </w:tcPr>
          <w:p w14:paraId="117CB7F2" w14:textId="3ACCA4BD" w:rsidR="00631116" w:rsidRDefault="00631116" w:rsidP="002D41CD">
            <w:pPr>
              <w:rPr>
                <w:sz w:val="20"/>
              </w:rPr>
            </w:pPr>
            <w:r w:rsidRPr="00183CF9">
              <w:rPr>
                <w:rFonts w:ascii="Cambria" w:hAnsi="Cambria" w:cs="Arial"/>
                <w:iCs/>
                <w:color w:val="00B0F0"/>
                <w:sz w:val="22"/>
                <w:szCs w:val="22"/>
              </w:rPr>
              <w:t>vyplní uchádzač</w:t>
            </w:r>
          </w:p>
        </w:tc>
      </w:tr>
      <w:tr w:rsidR="00631116" w14:paraId="486AD2D4" w14:textId="77777777" w:rsidTr="00631116">
        <w:tc>
          <w:tcPr>
            <w:tcW w:w="487" w:type="pct"/>
          </w:tcPr>
          <w:p w14:paraId="0BBC67F5" w14:textId="73B302A8" w:rsidR="00631116" w:rsidRDefault="00631116" w:rsidP="00DA1416">
            <w:pPr>
              <w:jc w:val="center"/>
              <w:rPr>
                <w:rFonts w:ascii="Cambria" w:hAnsi="Cambria" w:cs="Arial"/>
                <w:iCs/>
                <w:color w:val="00B0F0"/>
                <w:sz w:val="22"/>
                <w:szCs w:val="22"/>
              </w:rPr>
            </w:pPr>
            <w:r>
              <w:rPr>
                <w:rFonts w:ascii="Cambria" w:hAnsi="Cambria" w:cs="Arial"/>
                <w:iCs/>
                <w:color w:val="00B0F0"/>
                <w:sz w:val="22"/>
                <w:szCs w:val="22"/>
              </w:rPr>
              <w:t>x</w:t>
            </w:r>
          </w:p>
        </w:tc>
        <w:tc>
          <w:tcPr>
            <w:tcW w:w="672" w:type="pct"/>
          </w:tcPr>
          <w:p w14:paraId="25C5B4E6" w14:textId="6A9CA3EB" w:rsidR="00631116" w:rsidRDefault="00631116" w:rsidP="00DA1416">
            <w:pPr>
              <w:rPr>
                <w:sz w:val="20"/>
              </w:rPr>
            </w:pPr>
            <w:r>
              <w:rPr>
                <w:rFonts w:ascii="Cambria" w:hAnsi="Cambria" w:cs="Arial"/>
                <w:iCs/>
                <w:color w:val="00B0F0"/>
                <w:sz w:val="22"/>
                <w:szCs w:val="22"/>
              </w:rPr>
              <w:t>...</w:t>
            </w:r>
          </w:p>
        </w:tc>
        <w:tc>
          <w:tcPr>
            <w:tcW w:w="1036" w:type="pct"/>
          </w:tcPr>
          <w:p w14:paraId="2CB998B3" w14:textId="1DC29D5E" w:rsidR="00631116" w:rsidRDefault="00631116" w:rsidP="00DA1416">
            <w:pPr>
              <w:rPr>
                <w:sz w:val="20"/>
              </w:rPr>
            </w:pPr>
            <w:r w:rsidRPr="00E94AF5">
              <w:rPr>
                <w:rFonts w:ascii="Cambria" w:hAnsi="Cambria" w:cs="Arial"/>
                <w:iCs/>
                <w:color w:val="00B0F0"/>
                <w:sz w:val="22"/>
                <w:szCs w:val="22"/>
              </w:rPr>
              <w:t>...</w:t>
            </w:r>
          </w:p>
        </w:tc>
        <w:tc>
          <w:tcPr>
            <w:tcW w:w="687" w:type="pct"/>
          </w:tcPr>
          <w:p w14:paraId="05918779" w14:textId="460E298F" w:rsidR="00631116" w:rsidRPr="00E94AF5" w:rsidRDefault="00D67E2A" w:rsidP="00DA1416">
            <w:pPr>
              <w:rPr>
                <w:rFonts w:ascii="Cambria" w:hAnsi="Cambria" w:cs="Arial"/>
                <w:iCs/>
                <w:color w:val="00B0F0"/>
                <w:sz w:val="22"/>
                <w:szCs w:val="22"/>
              </w:rPr>
            </w:pPr>
            <w:r>
              <w:rPr>
                <w:rFonts w:ascii="Cambria" w:hAnsi="Cambria" w:cs="Arial"/>
                <w:iCs/>
                <w:color w:val="00B0F0"/>
                <w:sz w:val="22"/>
                <w:szCs w:val="22"/>
              </w:rPr>
              <w:t>..</w:t>
            </w:r>
          </w:p>
        </w:tc>
        <w:tc>
          <w:tcPr>
            <w:tcW w:w="687" w:type="pct"/>
          </w:tcPr>
          <w:p w14:paraId="6723C6E5" w14:textId="4C4170CF" w:rsidR="00631116" w:rsidRDefault="00631116" w:rsidP="00DA1416">
            <w:pPr>
              <w:rPr>
                <w:sz w:val="20"/>
              </w:rPr>
            </w:pPr>
            <w:r w:rsidRPr="00E94AF5">
              <w:rPr>
                <w:rFonts w:ascii="Cambria" w:hAnsi="Cambria" w:cs="Arial"/>
                <w:iCs/>
                <w:color w:val="00B0F0"/>
                <w:sz w:val="22"/>
                <w:szCs w:val="22"/>
              </w:rPr>
              <w:t>...</w:t>
            </w:r>
          </w:p>
        </w:tc>
        <w:tc>
          <w:tcPr>
            <w:tcW w:w="743" w:type="pct"/>
          </w:tcPr>
          <w:p w14:paraId="62921E0D" w14:textId="45F890B5" w:rsidR="00631116" w:rsidRDefault="00631116" w:rsidP="00DA1416">
            <w:pPr>
              <w:rPr>
                <w:sz w:val="20"/>
              </w:rPr>
            </w:pPr>
            <w:r w:rsidRPr="00E94AF5">
              <w:rPr>
                <w:rFonts w:ascii="Cambria" w:hAnsi="Cambria" w:cs="Arial"/>
                <w:iCs/>
                <w:color w:val="00B0F0"/>
                <w:sz w:val="22"/>
                <w:szCs w:val="22"/>
              </w:rPr>
              <w:t>...</w:t>
            </w:r>
          </w:p>
        </w:tc>
        <w:tc>
          <w:tcPr>
            <w:tcW w:w="688" w:type="pct"/>
          </w:tcPr>
          <w:p w14:paraId="1A97B0EA" w14:textId="4A5A3AEA" w:rsidR="00631116" w:rsidRDefault="00631116" w:rsidP="00DA1416">
            <w:pPr>
              <w:rPr>
                <w:sz w:val="20"/>
              </w:rPr>
            </w:pPr>
            <w:r w:rsidRPr="00E94AF5">
              <w:rPr>
                <w:rFonts w:ascii="Cambria" w:hAnsi="Cambria" w:cs="Arial"/>
                <w:iCs/>
                <w:color w:val="00B0F0"/>
                <w:sz w:val="22"/>
                <w:szCs w:val="22"/>
              </w:rPr>
              <w:t>...</w:t>
            </w:r>
          </w:p>
        </w:tc>
      </w:tr>
      <w:tr w:rsidR="00631116" w:rsidRPr="00B62D6E" w14:paraId="645C45BB" w14:textId="77777777" w:rsidTr="00631116">
        <w:tc>
          <w:tcPr>
            <w:tcW w:w="1159" w:type="pct"/>
            <w:gridSpan w:val="2"/>
            <w:tcBorders>
              <w:top w:val="single" w:sz="4" w:space="0" w:color="auto"/>
              <w:left w:val="single" w:sz="4" w:space="0" w:color="auto"/>
              <w:bottom w:val="single" w:sz="4" w:space="0" w:color="auto"/>
              <w:right w:val="single" w:sz="4" w:space="0" w:color="auto"/>
            </w:tcBorders>
          </w:tcPr>
          <w:p w14:paraId="5D2F63C3" w14:textId="6F365840" w:rsidR="00631116" w:rsidRPr="00B62D6E" w:rsidRDefault="00631116" w:rsidP="00DA1416">
            <w:pPr>
              <w:jc w:val="center"/>
              <w:rPr>
                <w:b/>
                <w:sz w:val="20"/>
              </w:rPr>
            </w:pPr>
          </w:p>
          <w:p w14:paraId="7E1316F0" w14:textId="77777777" w:rsidR="00631116" w:rsidRPr="00B62D6E" w:rsidRDefault="00631116" w:rsidP="00DA1416">
            <w:pPr>
              <w:jc w:val="center"/>
              <w:rPr>
                <w:b/>
                <w:sz w:val="20"/>
              </w:rPr>
            </w:pPr>
            <w:r w:rsidRPr="00B62D6E">
              <w:rPr>
                <w:b/>
                <w:sz w:val="20"/>
              </w:rPr>
              <w:t>Spolu:</w:t>
            </w:r>
          </w:p>
        </w:tc>
        <w:tc>
          <w:tcPr>
            <w:tcW w:w="1036" w:type="pct"/>
            <w:tcBorders>
              <w:top w:val="single" w:sz="4" w:space="0" w:color="auto"/>
              <w:left w:val="single" w:sz="4" w:space="0" w:color="auto"/>
              <w:bottom w:val="single" w:sz="4" w:space="0" w:color="auto"/>
              <w:right w:val="single" w:sz="4" w:space="0" w:color="auto"/>
            </w:tcBorders>
          </w:tcPr>
          <w:p w14:paraId="3D63F2FE" w14:textId="3CA211FE" w:rsidR="00631116" w:rsidRPr="00631116" w:rsidRDefault="00631116" w:rsidP="002D41CD">
            <w:pPr>
              <w:rPr>
                <w:b/>
                <w:sz w:val="20"/>
              </w:rPr>
            </w:pPr>
            <w:r w:rsidRPr="00631116">
              <w:rPr>
                <w:b/>
                <w:sz w:val="20"/>
              </w:rPr>
              <w:t>-</w:t>
            </w:r>
          </w:p>
        </w:tc>
        <w:tc>
          <w:tcPr>
            <w:tcW w:w="687" w:type="pct"/>
            <w:tcBorders>
              <w:top w:val="single" w:sz="4" w:space="0" w:color="auto"/>
              <w:left w:val="single" w:sz="4" w:space="0" w:color="auto"/>
              <w:bottom w:val="single" w:sz="4" w:space="0" w:color="auto"/>
              <w:right w:val="single" w:sz="4" w:space="0" w:color="auto"/>
            </w:tcBorders>
          </w:tcPr>
          <w:p w14:paraId="75822397" w14:textId="30991936" w:rsidR="00631116" w:rsidRPr="00631116" w:rsidRDefault="00631116" w:rsidP="002D41CD">
            <w:pPr>
              <w:rPr>
                <w:rFonts w:ascii="Cambria" w:hAnsi="Cambria" w:cs="Arial"/>
                <w:iCs/>
                <w:sz w:val="22"/>
                <w:szCs w:val="22"/>
              </w:rPr>
            </w:pPr>
            <w:r w:rsidRPr="00631116">
              <w:rPr>
                <w:rFonts w:ascii="Cambria" w:hAnsi="Cambria" w:cs="Arial"/>
                <w:iCs/>
                <w:sz w:val="22"/>
                <w:szCs w:val="22"/>
              </w:rPr>
              <w:t>-</w:t>
            </w:r>
          </w:p>
        </w:tc>
        <w:tc>
          <w:tcPr>
            <w:tcW w:w="687" w:type="pct"/>
            <w:tcBorders>
              <w:top w:val="single" w:sz="4" w:space="0" w:color="auto"/>
              <w:left w:val="single" w:sz="4" w:space="0" w:color="auto"/>
              <w:bottom w:val="single" w:sz="4" w:space="0" w:color="auto"/>
              <w:right w:val="single" w:sz="4" w:space="0" w:color="auto"/>
            </w:tcBorders>
          </w:tcPr>
          <w:p w14:paraId="3E6DD337" w14:textId="39E73251" w:rsidR="00631116" w:rsidRPr="00B62D6E" w:rsidRDefault="00631116" w:rsidP="002D41CD">
            <w:pPr>
              <w:rPr>
                <w:b/>
                <w:sz w:val="20"/>
              </w:rPr>
            </w:pPr>
            <w:r w:rsidRPr="00FF6A37">
              <w:rPr>
                <w:rFonts w:ascii="Cambria" w:hAnsi="Cambria" w:cs="Arial"/>
                <w:iCs/>
                <w:color w:val="00B0F0"/>
                <w:sz w:val="22"/>
                <w:szCs w:val="22"/>
              </w:rPr>
              <w:t>vyplní uchádzač</w:t>
            </w:r>
          </w:p>
        </w:tc>
        <w:tc>
          <w:tcPr>
            <w:tcW w:w="743" w:type="pct"/>
            <w:tcBorders>
              <w:top w:val="single" w:sz="4" w:space="0" w:color="auto"/>
              <w:left w:val="single" w:sz="4" w:space="0" w:color="auto"/>
              <w:bottom w:val="single" w:sz="4" w:space="0" w:color="auto"/>
              <w:right w:val="single" w:sz="4" w:space="0" w:color="auto"/>
            </w:tcBorders>
          </w:tcPr>
          <w:p w14:paraId="164CAFC3" w14:textId="4C4562BB" w:rsidR="00631116" w:rsidRPr="00B62D6E" w:rsidRDefault="00631116" w:rsidP="002D41CD">
            <w:pPr>
              <w:rPr>
                <w:b/>
                <w:sz w:val="20"/>
              </w:rPr>
            </w:pPr>
            <w:r w:rsidRPr="00FF6A37">
              <w:rPr>
                <w:rFonts w:ascii="Cambria" w:hAnsi="Cambria" w:cs="Arial"/>
                <w:iCs/>
                <w:color w:val="00B0F0"/>
                <w:sz w:val="22"/>
                <w:szCs w:val="22"/>
              </w:rPr>
              <w:t>vyplní uchádzač</w:t>
            </w:r>
          </w:p>
        </w:tc>
        <w:tc>
          <w:tcPr>
            <w:tcW w:w="688" w:type="pct"/>
            <w:tcBorders>
              <w:top w:val="single" w:sz="4" w:space="0" w:color="auto"/>
              <w:left w:val="single" w:sz="4" w:space="0" w:color="auto"/>
              <w:bottom w:val="single" w:sz="4" w:space="0" w:color="auto"/>
              <w:right w:val="single" w:sz="4" w:space="0" w:color="auto"/>
            </w:tcBorders>
          </w:tcPr>
          <w:p w14:paraId="16FF89F5" w14:textId="1CE98850" w:rsidR="00631116" w:rsidRPr="00B62D6E" w:rsidRDefault="00631116" w:rsidP="002D41CD">
            <w:pPr>
              <w:rPr>
                <w:b/>
                <w:sz w:val="20"/>
              </w:rPr>
            </w:pPr>
            <w:r w:rsidRPr="00FF6A37">
              <w:rPr>
                <w:rFonts w:ascii="Cambria" w:hAnsi="Cambria" w:cs="Arial"/>
                <w:iCs/>
                <w:color w:val="00B0F0"/>
                <w:sz w:val="22"/>
                <w:szCs w:val="22"/>
              </w:rPr>
              <w:t>vyplní uchádzač</w:t>
            </w:r>
          </w:p>
        </w:tc>
      </w:tr>
    </w:tbl>
    <w:p w14:paraId="36F85454" w14:textId="77777777" w:rsidR="00AF3E44" w:rsidRDefault="00AF3E44" w:rsidP="00AF3E44">
      <w:pPr>
        <w:rPr>
          <w:rFonts w:ascii="Cambria" w:hAnsi="Cambria"/>
          <w:b/>
          <w:i/>
          <w:iCs/>
          <w:sz w:val="22"/>
          <w:szCs w:val="22"/>
        </w:rPr>
      </w:pPr>
    </w:p>
    <w:p w14:paraId="4FBF9FED" w14:textId="0FCFAB5D" w:rsidR="002C375A" w:rsidRPr="00AF3E44" w:rsidRDefault="0026290A" w:rsidP="00AF3E44">
      <w:pPr>
        <w:rPr>
          <w:rFonts w:ascii="Cambria" w:hAnsi="Cambria"/>
          <w:b/>
          <w:i/>
          <w:iCs/>
          <w:sz w:val="22"/>
          <w:szCs w:val="22"/>
        </w:rPr>
      </w:pPr>
      <w:r w:rsidRPr="00AF3E44">
        <w:rPr>
          <w:rFonts w:ascii="Cambria" w:hAnsi="Cambria"/>
          <w:b/>
          <w:i/>
          <w:iCs/>
          <w:sz w:val="22"/>
          <w:szCs w:val="22"/>
        </w:rPr>
        <w:t xml:space="preserve">B. </w:t>
      </w:r>
      <w:r w:rsidR="009A66E1">
        <w:rPr>
          <w:rFonts w:ascii="Cambria" w:hAnsi="Cambria"/>
          <w:b/>
          <w:i/>
          <w:iCs/>
          <w:sz w:val="22"/>
          <w:szCs w:val="22"/>
        </w:rPr>
        <w:t>P</w:t>
      </w:r>
      <w:r w:rsidR="00AF3E44" w:rsidRPr="00AF3E44">
        <w:rPr>
          <w:rFonts w:ascii="Cambria" w:hAnsi="Cambria"/>
          <w:b/>
          <w:i/>
          <w:iCs/>
          <w:sz w:val="22"/>
          <w:szCs w:val="22"/>
        </w:rPr>
        <w:t>oužitý SW 3. strán</w:t>
      </w:r>
    </w:p>
    <w:tbl>
      <w:tblPr>
        <w:tblStyle w:val="TableGrid"/>
        <w:tblW w:w="5000" w:type="pct"/>
        <w:tblLook w:val="04A0" w:firstRow="1" w:lastRow="0" w:firstColumn="1" w:lastColumn="0" w:noHBand="0" w:noVBand="1"/>
      </w:tblPr>
      <w:tblGrid>
        <w:gridCol w:w="926"/>
        <w:gridCol w:w="1314"/>
        <w:gridCol w:w="1472"/>
        <w:gridCol w:w="1312"/>
        <w:gridCol w:w="1313"/>
        <w:gridCol w:w="1411"/>
        <w:gridCol w:w="1312"/>
      </w:tblGrid>
      <w:tr w:rsidR="0074463A" w14:paraId="475B1B5C" w14:textId="77777777" w:rsidTr="0074463A">
        <w:tc>
          <w:tcPr>
            <w:tcW w:w="524" w:type="pct"/>
          </w:tcPr>
          <w:p w14:paraId="5E95378F" w14:textId="77777777" w:rsidR="0074463A" w:rsidRPr="00B62D6E" w:rsidRDefault="0074463A" w:rsidP="00505859">
            <w:pPr>
              <w:rPr>
                <w:b/>
                <w:sz w:val="20"/>
              </w:rPr>
            </w:pPr>
            <w:r>
              <w:rPr>
                <w:b/>
                <w:sz w:val="20"/>
              </w:rPr>
              <w:t>Poradie</w:t>
            </w:r>
          </w:p>
        </w:tc>
        <w:tc>
          <w:tcPr>
            <w:tcW w:w="737" w:type="pct"/>
          </w:tcPr>
          <w:p w14:paraId="1D816389" w14:textId="2A249540" w:rsidR="0074463A" w:rsidRPr="00B62D6E" w:rsidRDefault="0074463A" w:rsidP="00505859">
            <w:pPr>
              <w:rPr>
                <w:b/>
                <w:sz w:val="20"/>
              </w:rPr>
            </w:pPr>
            <w:r w:rsidRPr="00B62D6E">
              <w:rPr>
                <w:b/>
                <w:sz w:val="20"/>
              </w:rPr>
              <w:br w:type="page"/>
              <w:t>Názov</w:t>
            </w:r>
            <w:r>
              <w:rPr>
                <w:b/>
                <w:sz w:val="20"/>
              </w:rPr>
              <w:t xml:space="preserve"> s popisom</w:t>
            </w:r>
          </w:p>
          <w:p w14:paraId="07D4388B" w14:textId="77777777" w:rsidR="0074463A" w:rsidRPr="00B62D6E" w:rsidRDefault="0074463A" w:rsidP="00505859">
            <w:pPr>
              <w:rPr>
                <w:b/>
                <w:sz w:val="20"/>
              </w:rPr>
            </w:pPr>
          </w:p>
        </w:tc>
        <w:tc>
          <w:tcPr>
            <w:tcW w:w="737" w:type="pct"/>
          </w:tcPr>
          <w:p w14:paraId="7389E1B1" w14:textId="4ECA9394" w:rsidR="0074463A" w:rsidRPr="00B62D6E" w:rsidRDefault="0074463A" w:rsidP="00505859">
            <w:pPr>
              <w:rPr>
                <w:b/>
                <w:sz w:val="20"/>
              </w:rPr>
            </w:pPr>
            <w:r w:rsidRPr="00B62D6E">
              <w:rPr>
                <w:b/>
                <w:sz w:val="20"/>
              </w:rPr>
              <w:t>Výrobca</w:t>
            </w:r>
            <w:r w:rsidR="00BD1E42">
              <w:rPr>
                <w:b/>
                <w:sz w:val="20"/>
              </w:rPr>
              <w:t>/autor</w:t>
            </w:r>
            <w:r w:rsidR="00CC4BCA">
              <w:rPr>
                <w:b/>
                <w:sz w:val="20"/>
              </w:rPr>
              <w:t xml:space="preserve"> a typ použitého SW</w:t>
            </w:r>
          </w:p>
        </w:tc>
        <w:tc>
          <w:tcPr>
            <w:tcW w:w="737" w:type="pct"/>
          </w:tcPr>
          <w:p w14:paraId="292C654E" w14:textId="5A7EE4C2" w:rsidR="0074463A" w:rsidRPr="00B62D6E" w:rsidRDefault="0074463A" w:rsidP="00505859">
            <w:pPr>
              <w:rPr>
                <w:b/>
                <w:sz w:val="20"/>
              </w:rPr>
            </w:pPr>
            <w:r>
              <w:rPr>
                <w:b/>
                <w:sz w:val="20"/>
              </w:rPr>
              <w:t>Licencia k SW</w:t>
            </w:r>
          </w:p>
        </w:tc>
        <w:tc>
          <w:tcPr>
            <w:tcW w:w="737" w:type="pct"/>
          </w:tcPr>
          <w:p w14:paraId="0BA44228" w14:textId="4816AE60" w:rsidR="0074463A" w:rsidRPr="00B62D6E" w:rsidRDefault="0074463A" w:rsidP="00505859">
            <w:pPr>
              <w:rPr>
                <w:b/>
                <w:sz w:val="20"/>
              </w:rPr>
            </w:pPr>
            <w:r w:rsidRPr="00B62D6E">
              <w:rPr>
                <w:b/>
                <w:sz w:val="20"/>
              </w:rPr>
              <w:t>Počet ks</w:t>
            </w:r>
          </w:p>
        </w:tc>
        <w:tc>
          <w:tcPr>
            <w:tcW w:w="791" w:type="pct"/>
          </w:tcPr>
          <w:p w14:paraId="378ABFF0" w14:textId="77777777" w:rsidR="0074463A" w:rsidRPr="00B62D6E" w:rsidRDefault="0074463A" w:rsidP="00505859">
            <w:pPr>
              <w:rPr>
                <w:b/>
                <w:sz w:val="20"/>
              </w:rPr>
            </w:pPr>
            <w:r w:rsidRPr="00B62D6E">
              <w:rPr>
                <w:b/>
                <w:sz w:val="20"/>
              </w:rPr>
              <w:t>Jednotková cena</w:t>
            </w:r>
          </w:p>
        </w:tc>
        <w:tc>
          <w:tcPr>
            <w:tcW w:w="737" w:type="pct"/>
          </w:tcPr>
          <w:p w14:paraId="60F237FF" w14:textId="77777777" w:rsidR="0074463A" w:rsidRPr="00B62D6E" w:rsidRDefault="0074463A" w:rsidP="00505859">
            <w:pPr>
              <w:rPr>
                <w:b/>
                <w:sz w:val="20"/>
              </w:rPr>
            </w:pPr>
            <w:r w:rsidRPr="00B62D6E">
              <w:rPr>
                <w:b/>
                <w:sz w:val="20"/>
              </w:rPr>
              <w:t>Celková cena</w:t>
            </w:r>
          </w:p>
        </w:tc>
      </w:tr>
      <w:tr w:rsidR="0074463A" w14:paraId="3CEDF81D" w14:textId="77777777" w:rsidTr="0074463A">
        <w:tc>
          <w:tcPr>
            <w:tcW w:w="524" w:type="pct"/>
          </w:tcPr>
          <w:p w14:paraId="0D357D94" w14:textId="77777777" w:rsidR="0074463A" w:rsidRPr="00183CF9" w:rsidRDefault="0074463A" w:rsidP="00505859">
            <w:pPr>
              <w:jc w:val="center"/>
              <w:rPr>
                <w:rFonts w:ascii="Cambria" w:hAnsi="Cambria" w:cs="Arial"/>
                <w:iCs/>
                <w:color w:val="00B0F0"/>
                <w:sz w:val="22"/>
                <w:szCs w:val="22"/>
              </w:rPr>
            </w:pPr>
            <w:r w:rsidRPr="00DA1416">
              <w:rPr>
                <w:rFonts w:ascii="Cambria" w:hAnsi="Cambria" w:cs="Arial"/>
                <w:iCs/>
                <w:sz w:val="22"/>
                <w:szCs w:val="22"/>
              </w:rPr>
              <w:t>1</w:t>
            </w:r>
          </w:p>
        </w:tc>
        <w:tc>
          <w:tcPr>
            <w:tcW w:w="737" w:type="pct"/>
          </w:tcPr>
          <w:p w14:paraId="581F527B" w14:textId="77777777" w:rsidR="0074463A" w:rsidRDefault="0074463A" w:rsidP="00505859">
            <w:pPr>
              <w:rPr>
                <w:sz w:val="20"/>
              </w:rPr>
            </w:pPr>
            <w:r w:rsidRPr="00183CF9">
              <w:rPr>
                <w:rFonts w:ascii="Cambria" w:hAnsi="Cambria" w:cs="Arial"/>
                <w:iCs/>
                <w:color w:val="00B0F0"/>
                <w:sz w:val="22"/>
                <w:szCs w:val="22"/>
              </w:rPr>
              <w:t>vyplní uchádzač</w:t>
            </w:r>
          </w:p>
        </w:tc>
        <w:tc>
          <w:tcPr>
            <w:tcW w:w="737" w:type="pct"/>
          </w:tcPr>
          <w:p w14:paraId="44AC2FF8" w14:textId="77777777" w:rsidR="0074463A" w:rsidRDefault="0074463A" w:rsidP="00505859">
            <w:pPr>
              <w:rPr>
                <w:sz w:val="20"/>
              </w:rPr>
            </w:pPr>
            <w:r w:rsidRPr="00183CF9">
              <w:rPr>
                <w:rFonts w:ascii="Cambria" w:hAnsi="Cambria" w:cs="Arial"/>
                <w:iCs/>
                <w:color w:val="00B0F0"/>
                <w:sz w:val="22"/>
                <w:szCs w:val="22"/>
              </w:rPr>
              <w:t>vyplní uchádzač</w:t>
            </w:r>
          </w:p>
        </w:tc>
        <w:tc>
          <w:tcPr>
            <w:tcW w:w="737" w:type="pct"/>
          </w:tcPr>
          <w:p w14:paraId="57AF000C" w14:textId="0A2EE197" w:rsidR="0074463A" w:rsidRPr="00183CF9" w:rsidRDefault="0074463A" w:rsidP="00505859">
            <w:pPr>
              <w:rPr>
                <w:rFonts w:ascii="Cambria" w:hAnsi="Cambria" w:cs="Arial"/>
                <w:iCs/>
                <w:color w:val="00B0F0"/>
                <w:sz w:val="22"/>
                <w:szCs w:val="22"/>
              </w:rPr>
            </w:pPr>
            <w:r w:rsidRPr="00183CF9">
              <w:rPr>
                <w:rFonts w:ascii="Cambria" w:hAnsi="Cambria" w:cs="Arial"/>
                <w:iCs/>
                <w:color w:val="00B0F0"/>
                <w:sz w:val="22"/>
                <w:szCs w:val="22"/>
              </w:rPr>
              <w:t>vyplní uchádzač</w:t>
            </w:r>
          </w:p>
        </w:tc>
        <w:tc>
          <w:tcPr>
            <w:tcW w:w="737" w:type="pct"/>
          </w:tcPr>
          <w:p w14:paraId="1CB91D87" w14:textId="30235CE1" w:rsidR="0074463A" w:rsidRDefault="0074463A" w:rsidP="00505859">
            <w:pPr>
              <w:rPr>
                <w:sz w:val="20"/>
              </w:rPr>
            </w:pPr>
            <w:r w:rsidRPr="00183CF9">
              <w:rPr>
                <w:rFonts w:ascii="Cambria" w:hAnsi="Cambria" w:cs="Arial"/>
                <w:iCs/>
                <w:color w:val="00B0F0"/>
                <w:sz w:val="22"/>
                <w:szCs w:val="22"/>
              </w:rPr>
              <w:t>vyplní uchádzač</w:t>
            </w:r>
          </w:p>
        </w:tc>
        <w:tc>
          <w:tcPr>
            <w:tcW w:w="791" w:type="pct"/>
          </w:tcPr>
          <w:p w14:paraId="04AE951F" w14:textId="77777777" w:rsidR="0074463A" w:rsidRDefault="0074463A" w:rsidP="00505859">
            <w:pPr>
              <w:rPr>
                <w:sz w:val="20"/>
              </w:rPr>
            </w:pPr>
            <w:r w:rsidRPr="00183CF9">
              <w:rPr>
                <w:rFonts w:ascii="Cambria" w:hAnsi="Cambria" w:cs="Arial"/>
                <w:iCs/>
                <w:color w:val="00B0F0"/>
                <w:sz w:val="22"/>
                <w:szCs w:val="22"/>
              </w:rPr>
              <w:t>vyplní uchádzač</w:t>
            </w:r>
          </w:p>
        </w:tc>
        <w:tc>
          <w:tcPr>
            <w:tcW w:w="737" w:type="pct"/>
          </w:tcPr>
          <w:p w14:paraId="389B67E8" w14:textId="77777777" w:rsidR="0074463A" w:rsidRDefault="0074463A" w:rsidP="00505859">
            <w:pPr>
              <w:rPr>
                <w:sz w:val="20"/>
              </w:rPr>
            </w:pPr>
            <w:r w:rsidRPr="00183CF9">
              <w:rPr>
                <w:rFonts w:ascii="Cambria" w:hAnsi="Cambria" w:cs="Arial"/>
                <w:iCs/>
                <w:color w:val="00B0F0"/>
                <w:sz w:val="22"/>
                <w:szCs w:val="22"/>
              </w:rPr>
              <w:t>vyplní uchádzač</w:t>
            </w:r>
          </w:p>
        </w:tc>
      </w:tr>
      <w:tr w:rsidR="0074463A" w14:paraId="45E1288E" w14:textId="77777777" w:rsidTr="0074463A">
        <w:tc>
          <w:tcPr>
            <w:tcW w:w="524" w:type="pct"/>
          </w:tcPr>
          <w:p w14:paraId="1054394B" w14:textId="77777777" w:rsidR="0074463A" w:rsidRDefault="0074463A" w:rsidP="00505859">
            <w:pPr>
              <w:jc w:val="center"/>
              <w:rPr>
                <w:rFonts w:ascii="Cambria" w:hAnsi="Cambria" w:cs="Arial"/>
                <w:iCs/>
                <w:color w:val="00B0F0"/>
                <w:sz w:val="22"/>
                <w:szCs w:val="22"/>
              </w:rPr>
            </w:pPr>
            <w:r>
              <w:rPr>
                <w:rFonts w:ascii="Cambria" w:hAnsi="Cambria" w:cs="Arial"/>
                <w:iCs/>
                <w:color w:val="00B0F0"/>
                <w:sz w:val="22"/>
                <w:szCs w:val="22"/>
              </w:rPr>
              <w:t>x</w:t>
            </w:r>
          </w:p>
        </w:tc>
        <w:tc>
          <w:tcPr>
            <w:tcW w:w="737" w:type="pct"/>
          </w:tcPr>
          <w:p w14:paraId="0A26B409" w14:textId="77777777" w:rsidR="0074463A" w:rsidRDefault="0074463A" w:rsidP="00505859">
            <w:pPr>
              <w:rPr>
                <w:sz w:val="20"/>
              </w:rPr>
            </w:pPr>
            <w:r>
              <w:rPr>
                <w:rFonts w:ascii="Cambria" w:hAnsi="Cambria" w:cs="Arial"/>
                <w:iCs/>
                <w:color w:val="00B0F0"/>
                <w:sz w:val="22"/>
                <w:szCs w:val="22"/>
              </w:rPr>
              <w:t>...</w:t>
            </w:r>
          </w:p>
        </w:tc>
        <w:tc>
          <w:tcPr>
            <w:tcW w:w="737" w:type="pct"/>
          </w:tcPr>
          <w:p w14:paraId="09D5832E" w14:textId="77777777" w:rsidR="0074463A" w:rsidRDefault="0074463A" w:rsidP="00505859">
            <w:pPr>
              <w:rPr>
                <w:sz w:val="20"/>
              </w:rPr>
            </w:pPr>
            <w:r w:rsidRPr="00E94AF5">
              <w:rPr>
                <w:rFonts w:ascii="Cambria" w:hAnsi="Cambria" w:cs="Arial"/>
                <w:iCs/>
                <w:color w:val="00B0F0"/>
                <w:sz w:val="22"/>
                <w:szCs w:val="22"/>
              </w:rPr>
              <w:t>...</w:t>
            </w:r>
          </w:p>
        </w:tc>
        <w:tc>
          <w:tcPr>
            <w:tcW w:w="737" w:type="pct"/>
          </w:tcPr>
          <w:p w14:paraId="55796371" w14:textId="4B24AD1C" w:rsidR="0074463A" w:rsidRPr="00E94AF5" w:rsidRDefault="0074463A" w:rsidP="00505859">
            <w:pPr>
              <w:rPr>
                <w:rFonts w:ascii="Cambria" w:hAnsi="Cambria" w:cs="Arial"/>
                <w:iCs/>
                <w:color w:val="00B0F0"/>
                <w:sz w:val="22"/>
                <w:szCs w:val="22"/>
              </w:rPr>
            </w:pPr>
            <w:r>
              <w:rPr>
                <w:rFonts w:ascii="Cambria" w:hAnsi="Cambria" w:cs="Arial"/>
                <w:iCs/>
                <w:color w:val="00B0F0"/>
                <w:sz w:val="22"/>
                <w:szCs w:val="22"/>
              </w:rPr>
              <w:t>...</w:t>
            </w:r>
          </w:p>
        </w:tc>
        <w:tc>
          <w:tcPr>
            <w:tcW w:w="737" w:type="pct"/>
          </w:tcPr>
          <w:p w14:paraId="5F16413E" w14:textId="20862656" w:rsidR="0074463A" w:rsidRDefault="0074463A" w:rsidP="00505859">
            <w:pPr>
              <w:rPr>
                <w:sz w:val="20"/>
              </w:rPr>
            </w:pPr>
            <w:r w:rsidRPr="00E94AF5">
              <w:rPr>
                <w:rFonts w:ascii="Cambria" w:hAnsi="Cambria" w:cs="Arial"/>
                <w:iCs/>
                <w:color w:val="00B0F0"/>
                <w:sz w:val="22"/>
                <w:szCs w:val="22"/>
              </w:rPr>
              <w:t>...</w:t>
            </w:r>
          </w:p>
        </w:tc>
        <w:tc>
          <w:tcPr>
            <w:tcW w:w="791" w:type="pct"/>
          </w:tcPr>
          <w:p w14:paraId="73D1D6F0" w14:textId="77777777" w:rsidR="0074463A" w:rsidRDefault="0074463A" w:rsidP="00505859">
            <w:pPr>
              <w:rPr>
                <w:sz w:val="20"/>
              </w:rPr>
            </w:pPr>
            <w:r w:rsidRPr="00E94AF5">
              <w:rPr>
                <w:rFonts w:ascii="Cambria" w:hAnsi="Cambria" w:cs="Arial"/>
                <w:iCs/>
                <w:color w:val="00B0F0"/>
                <w:sz w:val="22"/>
                <w:szCs w:val="22"/>
              </w:rPr>
              <w:t>...</w:t>
            </w:r>
          </w:p>
        </w:tc>
        <w:tc>
          <w:tcPr>
            <w:tcW w:w="737" w:type="pct"/>
          </w:tcPr>
          <w:p w14:paraId="542FB936" w14:textId="77777777" w:rsidR="0074463A" w:rsidRDefault="0074463A" w:rsidP="00505859">
            <w:pPr>
              <w:rPr>
                <w:sz w:val="20"/>
              </w:rPr>
            </w:pPr>
            <w:r w:rsidRPr="00E94AF5">
              <w:rPr>
                <w:rFonts w:ascii="Cambria" w:hAnsi="Cambria" w:cs="Arial"/>
                <w:iCs/>
                <w:color w:val="00B0F0"/>
                <w:sz w:val="22"/>
                <w:szCs w:val="22"/>
              </w:rPr>
              <w:t>...</w:t>
            </w:r>
          </w:p>
        </w:tc>
      </w:tr>
      <w:tr w:rsidR="0074463A" w:rsidRPr="00B62D6E" w14:paraId="3D831998" w14:textId="77777777" w:rsidTr="0074463A">
        <w:tc>
          <w:tcPr>
            <w:tcW w:w="1262" w:type="pct"/>
            <w:gridSpan w:val="2"/>
            <w:tcBorders>
              <w:top w:val="single" w:sz="4" w:space="0" w:color="auto"/>
              <w:left w:val="single" w:sz="4" w:space="0" w:color="auto"/>
              <w:bottom w:val="single" w:sz="4" w:space="0" w:color="auto"/>
              <w:right w:val="single" w:sz="4" w:space="0" w:color="auto"/>
            </w:tcBorders>
          </w:tcPr>
          <w:p w14:paraId="69DDA48D" w14:textId="77777777" w:rsidR="0074463A" w:rsidRPr="00B62D6E" w:rsidRDefault="0074463A" w:rsidP="00505859">
            <w:pPr>
              <w:jc w:val="center"/>
              <w:rPr>
                <w:b/>
                <w:sz w:val="20"/>
              </w:rPr>
            </w:pPr>
          </w:p>
          <w:p w14:paraId="76FEB4AC" w14:textId="77777777" w:rsidR="0074463A" w:rsidRPr="00B62D6E" w:rsidRDefault="0074463A" w:rsidP="00505859">
            <w:pPr>
              <w:jc w:val="center"/>
              <w:rPr>
                <w:b/>
                <w:sz w:val="20"/>
              </w:rPr>
            </w:pPr>
            <w:r w:rsidRPr="00B62D6E">
              <w:rPr>
                <w:b/>
                <w:sz w:val="20"/>
              </w:rPr>
              <w:t>Spolu:</w:t>
            </w:r>
          </w:p>
        </w:tc>
        <w:tc>
          <w:tcPr>
            <w:tcW w:w="737" w:type="pct"/>
            <w:tcBorders>
              <w:top w:val="single" w:sz="4" w:space="0" w:color="auto"/>
              <w:left w:val="single" w:sz="4" w:space="0" w:color="auto"/>
              <w:bottom w:val="single" w:sz="4" w:space="0" w:color="auto"/>
              <w:right w:val="single" w:sz="4" w:space="0" w:color="auto"/>
            </w:tcBorders>
          </w:tcPr>
          <w:p w14:paraId="24662991" w14:textId="43610FB1" w:rsidR="0074463A" w:rsidRPr="0074463A" w:rsidRDefault="0074463A" w:rsidP="00505859">
            <w:pPr>
              <w:rPr>
                <w:b/>
                <w:sz w:val="20"/>
              </w:rPr>
            </w:pPr>
            <w:r w:rsidRPr="0074463A">
              <w:rPr>
                <w:rFonts w:ascii="Cambria" w:hAnsi="Cambria" w:cs="Arial"/>
                <w:iCs/>
                <w:sz w:val="22"/>
                <w:szCs w:val="22"/>
              </w:rPr>
              <w:t>-</w:t>
            </w:r>
          </w:p>
        </w:tc>
        <w:tc>
          <w:tcPr>
            <w:tcW w:w="737" w:type="pct"/>
            <w:tcBorders>
              <w:top w:val="single" w:sz="4" w:space="0" w:color="auto"/>
              <w:left w:val="single" w:sz="4" w:space="0" w:color="auto"/>
              <w:bottom w:val="single" w:sz="4" w:space="0" w:color="auto"/>
              <w:right w:val="single" w:sz="4" w:space="0" w:color="auto"/>
            </w:tcBorders>
          </w:tcPr>
          <w:p w14:paraId="024743B9" w14:textId="5911F3C5" w:rsidR="0074463A" w:rsidRPr="0074463A" w:rsidRDefault="0074463A" w:rsidP="00505859">
            <w:pPr>
              <w:rPr>
                <w:rFonts w:ascii="Cambria" w:hAnsi="Cambria" w:cs="Arial"/>
                <w:iCs/>
                <w:sz w:val="22"/>
                <w:szCs w:val="22"/>
              </w:rPr>
            </w:pPr>
            <w:r w:rsidRPr="0074463A">
              <w:rPr>
                <w:rFonts w:ascii="Cambria" w:hAnsi="Cambria" w:cs="Arial"/>
                <w:iCs/>
                <w:sz w:val="22"/>
                <w:szCs w:val="22"/>
              </w:rPr>
              <w:t>-</w:t>
            </w:r>
          </w:p>
        </w:tc>
        <w:tc>
          <w:tcPr>
            <w:tcW w:w="737" w:type="pct"/>
            <w:tcBorders>
              <w:top w:val="single" w:sz="4" w:space="0" w:color="auto"/>
              <w:left w:val="single" w:sz="4" w:space="0" w:color="auto"/>
              <w:bottom w:val="single" w:sz="4" w:space="0" w:color="auto"/>
              <w:right w:val="single" w:sz="4" w:space="0" w:color="auto"/>
            </w:tcBorders>
          </w:tcPr>
          <w:p w14:paraId="7E55558C" w14:textId="43D29FBF" w:rsidR="0074463A" w:rsidRPr="00B62D6E" w:rsidRDefault="0074463A" w:rsidP="00505859">
            <w:pPr>
              <w:rPr>
                <w:b/>
                <w:sz w:val="20"/>
              </w:rPr>
            </w:pPr>
            <w:r w:rsidRPr="00FF6A37">
              <w:rPr>
                <w:rFonts w:ascii="Cambria" w:hAnsi="Cambria" w:cs="Arial"/>
                <w:iCs/>
                <w:color w:val="00B0F0"/>
                <w:sz w:val="22"/>
                <w:szCs w:val="22"/>
              </w:rPr>
              <w:t>vyplní uchádzač</w:t>
            </w:r>
          </w:p>
        </w:tc>
        <w:tc>
          <w:tcPr>
            <w:tcW w:w="791" w:type="pct"/>
            <w:tcBorders>
              <w:top w:val="single" w:sz="4" w:space="0" w:color="auto"/>
              <w:left w:val="single" w:sz="4" w:space="0" w:color="auto"/>
              <w:bottom w:val="single" w:sz="4" w:space="0" w:color="auto"/>
              <w:right w:val="single" w:sz="4" w:space="0" w:color="auto"/>
            </w:tcBorders>
          </w:tcPr>
          <w:p w14:paraId="2ABFCCB4" w14:textId="77777777" w:rsidR="0074463A" w:rsidRPr="00B62D6E" w:rsidRDefault="0074463A" w:rsidP="00505859">
            <w:pPr>
              <w:rPr>
                <w:b/>
                <w:sz w:val="20"/>
              </w:rPr>
            </w:pPr>
            <w:r w:rsidRPr="00FF6A37">
              <w:rPr>
                <w:rFonts w:ascii="Cambria" w:hAnsi="Cambria" w:cs="Arial"/>
                <w:iCs/>
                <w:color w:val="00B0F0"/>
                <w:sz w:val="22"/>
                <w:szCs w:val="22"/>
              </w:rPr>
              <w:t>vyplní uchádzač</w:t>
            </w:r>
          </w:p>
        </w:tc>
        <w:tc>
          <w:tcPr>
            <w:tcW w:w="737" w:type="pct"/>
            <w:tcBorders>
              <w:top w:val="single" w:sz="4" w:space="0" w:color="auto"/>
              <w:left w:val="single" w:sz="4" w:space="0" w:color="auto"/>
              <w:bottom w:val="single" w:sz="4" w:space="0" w:color="auto"/>
              <w:right w:val="single" w:sz="4" w:space="0" w:color="auto"/>
            </w:tcBorders>
          </w:tcPr>
          <w:p w14:paraId="1B1CDE26" w14:textId="77777777" w:rsidR="0074463A" w:rsidRPr="00B62D6E" w:rsidRDefault="0074463A" w:rsidP="00505859">
            <w:pPr>
              <w:rPr>
                <w:b/>
                <w:sz w:val="20"/>
              </w:rPr>
            </w:pPr>
            <w:r w:rsidRPr="00FF6A37">
              <w:rPr>
                <w:rFonts w:ascii="Cambria" w:hAnsi="Cambria" w:cs="Arial"/>
                <w:iCs/>
                <w:color w:val="00B0F0"/>
                <w:sz w:val="22"/>
                <w:szCs w:val="22"/>
              </w:rPr>
              <w:t>vyplní uchádzač</w:t>
            </w:r>
          </w:p>
        </w:tc>
      </w:tr>
    </w:tbl>
    <w:p w14:paraId="609566CA" w14:textId="77777777" w:rsidR="002C375A" w:rsidRDefault="002C375A" w:rsidP="00F37AA9">
      <w:pPr>
        <w:tabs>
          <w:tab w:val="left" w:pos="567"/>
        </w:tabs>
        <w:spacing w:before="240" w:after="120"/>
        <w:ind w:left="1134" w:hanging="1134"/>
        <w:rPr>
          <w:rFonts w:ascii="Cambria" w:hAnsi="Cambria" w:cs="Arial"/>
          <w:b/>
          <w:sz w:val="22"/>
          <w:szCs w:val="22"/>
          <w:highlight w:val="yellow"/>
        </w:rPr>
      </w:pPr>
    </w:p>
    <w:p w14:paraId="6A3817AD" w14:textId="7FE4514D" w:rsidR="008C029D" w:rsidRPr="00CE6C12" w:rsidRDefault="009D7E3E" w:rsidP="00CE6C12">
      <w:pPr>
        <w:jc w:val="both"/>
        <w:rPr>
          <w:rFonts w:ascii="Cambria" w:hAnsi="Cambria"/>
          <w:bCs/>
          <w:sz w:val="22"/>
          <w:szCs w:val="22"/>
        </w:rPr>
      </w:pPr>
      <w:r w:rsidRPr="00CE6C12">
        <w:rPr>
          <w:rFonts w:ascii="Cambria" w:hAnsi="Cambria"/>
          <w:bCs/>
          <w:sz w:val="22"/>
          <w:szCs w:val="22"/>
        </w:rPr>
        <w:t xml:space="preserve">Zoznam SW, ktoré </w:t>
      </w:r>
      <w:r w:rsidR="00E16C65" w:rsidRPr="00CE6C12">
        <w:rPr>
          <w:rFonts w:ascii="Cambria" w:hAnsi="Cambria"/>
          <w:bCs/>
          <w:sz w:val="22"/>
          <w:szCs w:val="22"/>
        </w:rPr>
        <w:t>plánuje zhotoviteľ použiť pri vytváraní, zhotovovaní a dodaní Diela (dodávaného informačného systému)</w:t>
      </w:r>
      <w:r w:rsidR="00D72FAC" w:rsidRPr="00CE6C12">
        <w:rPr>
          <w:rFonts w:ascii="Cambria" w:hAnsi="Cambria"/>
          <w:bCs/>
          <w:sz w:val="22"/>
          <w:szCs w:val="22"/>
        </w:rPr>
        <w:t xml:space="preserve"> a ktoré sú mu známe ku dňu podpisu tejto zmluvy o dielo).</w:t>
      </w:r>
    </w:p>
    <w:p w14:paraId="7FC9B3AE" w14:textId="77777777" w:rsidR="00D72FAC" w:rsidRPr="00CE6C12" w:rsidRDefault="00D72FAC" w:rsidP="00CE6C12">
      <w:pPr>
        <w:jc w:val="both"/>
        <w:rPr>
          <w:rFonts w:ascii="Cambria" w:hAnsi="Cambria"/>
          <w:b/>
          <w:sz w:val="22"/>
          <w:szCs w:val="22"/>
        </w:rPr>
      </w:pPr>
    </w:p>
    <w:p w14:paraId="49962DFE" w14:textId="48C646D6" w:rsidR="00213C5E" w:rsidRDefault="00A95206" w:rsidP="00CE6C12">
      <w:pPr>
        <w:jc w:val="both"/>
        <w:rPr>
          <w:rFonts w:ascii="Cambria" w:hAnsi="Cambria"/>
          <w:b/>
          <w:position w:val="4"/>
          <w:sz w:val="22"/>
          <w:szCs w:val="22"/>
        </w:rPr>
      </w:pPr>
      <w:r w:rsidRPr="00CE6C12">
        <w:rPr>
          <w:rFonts w:ascii="Cambria" w:hAnsi="Cambria"/>
          <w:sz w:val="22"/>
          <w:szCs w:val="22"/>
        </w:rPr>
        <w:t>Obsah tohto zoznamu je možné meniť na projektovej úrovni, schválen</w:t>
      </w:r>
      <w:r w:rsidR="008E2A43">
        <w:rPr>
          <w:rFonts w:ascii="Cambria" w:hAnsi="Cambria"/>
          <w:sz w:val="22"/>
          <w:szCs w:val="22"/>
        </w:rPr>
        <w:t>ím</w:t>
      </w:r>
      <w:r w:rsidRPr="00CE6C12">
        <w:rPr>
          <w:rFonts w:ascii="Cambria" w:hAnsi="Cambria"/>
          <w:sz w:val="22"/>
          <w:szCs w:val="22"/>
        </w:rPr>
        <w:t xml:space="preserve"> Riadiacou radou bez nutnosti </w:t>
      </w:r>
      <w:r w:rsidR="00CE6C12" w:rsidRPr="00CE6C12">
        <w:rPr>
          <w:rFonts w:ascii="Cambria" w:hAnsi="Cambria"/>
          <w:sz w:val="22"/>
          <w:szCs w:val="22"/>
        </w:rPr>
        <w:t>osobitného písomného dodatkovania tejto zmluvy o dielo.</w:t>
      </w:r>
      <w:r w:rsidR="00CE6C12">
        <w:rPr>
          <w:rFonts w:ascii="Cambria" w:hAnsi="Cambria"/>
          <w:sz w:val="22"/>
          <w:szCs w:val="22"/>
        </w:rPr>
        <w:t xml:space="preserve"> </w:t>
      </w:r>
      <w:r w:rsidR="00213C5E">
        <w:rPr>
          <w:rFonts w:ascii="Cambria" w:hAnsi="Cambria"/>
          <w:sz w:val="22"/>
          <w:szCs w:val="22"/>
        </w:rPr>
        <w:br w:type="page"/>
      </w:r>
    </w:p>
    <w:p w14:paraId="05071A6E" w14:textId="07DD230C" w:rsidR="008C029D" w:rsidRPr="00913D31" w:rsidRDefault="008C029D" w:rsidP="00913D31">
      <w:pPr>
        <w:pStyle w:val="Heading1"/>
        <w:keepNext w:val="0"/>
        <w:ind w:left="2410" w:hanging="2268"/>
        <w:jc w:val="both"/>
        <w:rPr>
          <w:rFonts w:ascii="Cambria" w:hAnsi="Cambria"/>
          <w:sz w:val="22"/>
          <w:szCs w:val="22"/>
        </w:rPr>
      </w:pPr>
      <w:r w:rsidRPr="00913D31">
        <w:rPr>
          <w:rFonts w:ascii="Cambria" w:hAnsi="Cambria"/>
          <w:sz w:val="22"/>
          <w:szCs w:val="22"/>
        </w:rPr>
        <w:lastRenderedPageBreak/>
        <w:t xml:space="preserve">Príloha č. 8 </w:t>
      </w:r>
    </w:p>
    <w:p w14:paraId="7C8DA28F" w14:textId="4875A3C2" w:rsidR="008C029D" w:rsidRDefault="00B540A4" w:rsidP="00913D31">
      <w:pPr>
        <w:pStyle w:val="Heading1"/>
        <w:keepNext w:val="0"/>
        <w:ind w:left="142"/>
        <w:jc w:val="both"/>
        <w:rPr>
          <w:rFonts w:ascii="Cambria" w:hAnsi="Cambria"/>
          <w:sz w:val="22"/>
          <w:szCs w:val="22"/>
        </w:rPr>
      </w:pPr>
      <w:r>
        <w:rPr>
          <w:rFonts w:ascii="Cambria" w:hAnsi="Cambria"/>
          <w:sz w:val="22"/>
          <w:szCs w:val="22"/>
        </w:rPr>
        <w:t>Klasifikácia</w:t>
      </w:r>
      <w:r w:rsidR="008C029D" w:rsidRPr="00913D31">
        <w:rPr>
          <w:rFonts w:ascii="Cambria" w:hAnsi="Cambria"/>
          <w:sz w:val="22"/>
          <w:szCs w:val="22"/>
        </w:rPr>
        <w:t xml:space="preserve"> vád </w:t>
      </w:r>
      <w:r w:rsidR="00FE4274">
        <w:rPr>
          <w:rFonts w:ascii="Cambria" w:hAnsi="Cambria"/>
          <w:sz w:val="22"/>
          <w:szCs w:val="22"/>
        </w:rPr>
        <w:t xml:space="preserve">dodaného </w:t>
      </w:r>
      <w:r w:rsidR="001E08B2">
        <w:rPr>
          <w:rFonts w:ascii="Cambria" w:hAnsi="Cambria"/>
          <w:sz w:val="22"/>
          <w:szCs w:val="22"/>
        </w:rPr>
        <w:t>i</w:t>
      </w:r>
      <w:r w:rsidR="008C029D" w:rsidRPr="00913D31">
        <w:rPr>
          <w:rFonts w:ascii="Cambria" w:hAnsi="Cambria"/>
          <w:sz w:val="22"/>
          <w:szCs w:val="22"/>
        </w:rPr>
        <w:t>nformačného systému, lehoty na ich odstránenie</w:t>
      </w:r>
    </w:p>
    <w:p w14:paraId="641829D5" w14:textId="0E09CF3C" w:rsidR="0075327C" w:rsidRDefault="0075327C" w:rsidP="0075327C"/>
    <w:p w14:paraId="295FF821" w14:textId="2A227B0F" w:rsidR="0075327C" w:rsidRPr="006D39DD" w:rsidRDefault="0075327C" w:rsidP="009A3D19">
      <w:pPr>
        <w:pStyle w:val="ListParagraph"/>
        <w:numPr>
          <w:ilvl w:val="1"/>
          <w:numId w:val="30"/>
        </w:numPr>
        <w:rPr>
          <w:rFonts w:ascii="Cambria" w:hAnsi="Cambria"/>
          <w:i/>
          <w:iCs/>
          <w:sz w:val="20"/>
          <w:szCs w:val="20"/>
        </w:rPr>
      </w:pPr>
      <w:r w:rsidRPr="006D39DD">
        <w:rPr>
          <w:rFonts w:ascii="Cambria" w:hAnsi="Cambria"/>
          <w:i/>
          <w:iCs/>
          <w:sz w:val="20"/>
          <w:szCs w:val="20"/>
        </w:rPr>
        <w:t>Klasifikácia vád dodaného informačného systému</w:t>
      </w:r>
    </w:p>
    <w:p w14:paraId="60A2356B" w14:textId="67B756F2" w:rsidR="008C029D" w:rsidRPr="001D7C1C" w:rsidRDefault="008C029D" w:rsidP="00C3291F">
      <w:pPr>
        <w:pStyle w:val="MLOdsek"/>
        <w:numPr>
          <w:ilvl w:val="1"/>
          <w:numId w:val="0"/>
        </w:numPr>
        <w:spacing w:before="120" w:after="0" w:line="240" w:lineRule="auto"/>
        <w:ind w:left="142" w:firstLine="425"/>
        <w:rPr>
          <w:rFonts w:ascii="Cambria" w:hAnsi="Cambria" w:cs="Arial"/>
          <w:sz w:val="20"/>
          <w:szCs w:val="20"/>
        </w:rPr>
      </w:pPr>
      <w:r w:rsidRPr="001D7C1C">
        <w:rPr>
          <w:rFonts w:ascii="Cambria" w:hAnsi="Cambria" w:cs="Arial"/>
          <w:sz w:val="20"/>
          <w:szCs w:val="20"/>
        </w:rPr>
        <w:t xml:space="preserve">Ak je výsledkom vykonania akceptačných testov zistenie, že Dielo alebo jeho časť nespĺňa dohodnutú funkčnosť Diela v zmysle Prílohy č. 2 tejto zmluvy o dielo a tým nenapĺňa účel a cieľ tejto zmluvy o dielo, a to z dôvodov, za ktoré zodpovedá zhotoviteľ, Dielo má vady. Zhotoviteľ zodpovedá za vady Diela v čase jeho odovzdania objednávateľovi. Vady Diela sú </w:t>
      </w:r>
      <w:r w:rsidR="00F43F26">
        <w:rPr>
          <w:rFonts w:ascii="Cambria" w:hAnsi="Cambria" w:cs="Arial"/>
          <w:sz w:val="20"/>
          <w:szCs w:val="20"/>
        </w:rPr>
        <w:t>klasifikované</w:t>
      </w:r>
      <w:r w:rsidRPr="001D7C1C">
        <w:rPr>
          <w:rFonts w:ascii="Cambria" w:hAnsi="Cambria" w:cs="Arial"/>
          <w:sz w:val="20"/>
          <w:szCs w:val="20"/>
        </w:rPr>
        <w:t xml:space="preserve"> nasledovne:</w:t>
      </w:r>
    </w:p>
    <w:p w14:paraId="49E8323F" w14:textId="4104BF97" w:rsidR="008C029D" w:rsidRPr="00CF5410" w:rsidRDefault="008C029D" w:rsidP="009A3D19">
      <w:pPr>
        <w:pStyle w:val="MLOdsek"/>
        <w:numPr>
          <w:ilvl w:val="0"/>
          <w:numId w:val="27"/>
        </w:numPr>
        <w:spacing w:before="120" w:after="0" w:line="240" w:lineRule="auto"/>
        <w:ind w:left="0" w:firstLine="0"/>
        <w:rPr>
          <w:rFonts w:ascii="Cambria" w:hAnsi="Cambria" w:cs="Arial"/>
          <w:b/>
          <w:sz w:val="20"/>
          <w:szCs w:val="20"/>
        </w:rPr>
      </w:pPr>
      <w:r w:rsidRPr="00CF5410">
        <w:rPr>
          <w:rFonts w:ascii="Cambria" w:hAnsi="Cambria" w:cs="Arial"/>
          <w:b/>
          <w:sz w:val="20"/>
          <w:szCs w:val="20"/>
        </w:rPr>
        <w:t>„</w:t>
      </w:r>
      <w:r w:rsidR="00DE6DEE" w:rsidRPr="00CF5410">
        <w:rPr>
          <w:rFonts w:ascii="Cambria" w:hAnsi="Cambria" w:cs="Arial"/>
          <w:b/>
          <w:sz w:val="20"/>
          <w:szCs w:val="20"/>
        </w:rPr>
        <w:t>Zásadná</w:t>
      </w:r>
      <w:r w:rsidRPr="00CF5410">
        <w:rPr>
          <w:rFonts w:ascii="Cambria" w:hAnsi="Cambria" w:cs="Arial"/>
          <w:b/>
          <w:sz w:val="20"/>
          <w:szCs w:val="20"/>
        </w:rPr>
        <w:t xml:space="preserve"> </w:t>
      </w:r>
      <w:r w:rsidR="00DE6DEE" w:rsidRPr="00CF5410">
        <w:rPr>
          <w:rFonts w:ascii="Cambria" w:hAnsi="Cambria" w:cs="Arial"/>
          <w:b/>
          <w:sz w:val="20"/>
          <w:szCs w:val="20"/>
        </w:rPr>
        <w:t>vada</w:t>
      </w:r>
      <w:r w:rsidRPr="00CF5410">
        <w:rPr>
          <w:rFonts w:ascii="Cambria" w:hAnsi="Cambria" w:cs="Arial"/>
          <w:b/>
          <w:sz w:val="20"/>
          <w:szCs w:val="20"/>
        </w:rPr>
        <w:t xml:space="preserve"> (A)“ </w:t>
      </w:r>
    </w:p>
    <w:p w14:paraId="2E8A35E9" w14:textId="539E5C9F" w:rsidR="001D7C1C" w:rsidRPr="00113459" w:rsidRDefault="001D7C1C" w:rsidP="00C50113">
      <w:pPr>
        <w:pStyle w:val="MLOdsek"/>
        <w:numPr>
          <w:ilvl w:val="1"/>
          <w:numId w:val="0"/>
        </w:numPr>
        <w:spacing w:before="120" w:after="0" w:line="240" w:lineRule="auto"/>
        <w:ind w:left="142"/>
        <w:rPr>
          <w:rFonts w:ascii="Cambria" w:hAnsi="Cambria" w:cs="Arial"/>
          <w:sz w:val="20"/>
          <w:szCs w:val="20"/>
        </w:rPr>
      </w:pPr>
      <w:r w:rsidRPr="00D13EAA">
        <w:rPr>
          <w:rFonts w:ascii="Cambria" w:hAnsi="Cambria" w:cs="Arial"/>
          <w:sz w:val="20"/>
          <w:szCs w:val="20"/>
        </w:rPr>
        <w:t xml:space="preserve">je </w:t>
      </w:r>
      <w:r w:rsidRPr="00113459">
        <w:rPr>
          <w:rFonts w:ascii="Cambria" w:hAnsi="Cambria" w:cs="Arial"/>
          <w:sz w:val="20"/>
          <w:szCs w:val="20"/>
        </w:rPr>
        <w:t>spôsobený chybou alebo nedostatkom Diela a táto chyba a/alebo nedostatok zabraňuje jeho riadnemu používaniu v</w:t>
      </w:r>
      <w:r w:rsidR="0053411B" w:rsidRPr="00113459">
        <w:rPr>
          <w:rFonts w:ascii="Cambria" w:hAnsi="Cambria" w:cs="Arial"/>
          <w:sz w:val="20"/>
          <w:szCs w:val="20"/>
        </w:rPr>
        <w:t> </w:t>
      </w:r>
      <w:r w:rsidRPr="00113459">
        <w:rPr>
          <w:rFonts w:ascii="Cambria" w:hAnsi="Cambria" w:cs="Arial"/>
          <w:sz w:val="20"/>
          <w:szCs w:val="20"/>
        </w:rPr>
        <w:t>prevádzke</w:t>
      </w:r>
      <w:r w:rsidR="0053411B" w:rsidRPr="00113459">
        <w:rPr>
          <w:rFonts w:ascii="Cambria" w:hAnsi="Cambria" w:cs="Arial"/>
          <w:sz w:val="20"/>
          <w:szCs w:val="20"/>
        </w:rPr>
        <w:t xml:space="preserve"> (neschopnosť spracovať bežnú prevádzkovú záťaž)</w:t>
      </w:r>
      <w:r w:rsidR="004D3D36" w:rsidRPr="00113459">
        <w:rPr>
          <w:rFonts w:ascii="Cambria" w:hAnsi="Cambria" w:cs="Arial"/>
          <w:sz w:val="20"/>
          <w:szCs w:val="20"/>
        </w:rPr>
        <w:t xml:space="preserve"> a dodržanie predpokladaného časového plánu</w:t>
      </w:r>
      <w:r w:rsidR="00E84487" w:rsidRPr="00113459">
        <w:rPr>
          <w:rFonts w:ascii="Cambria" w:hAnsi="Cambria" w:cs="Arial"/>
          <w:sz w:val="20"/>
          <w:szCs w:val="20"/>
        </w:rPr>
        <w:t xml:space="preserve"> </w:t>
      </w:r>
      <w:r w:rsidR="004D3D36" w:rsidRPr="00113459">
        <w:rPr>
          <w:rFonts w:ascii="Cambria" w:hAnsi="Cambria" w:cs="Arial"/>
          <w:sz w:val="20"/>
          <w:szCs w:val="20"/>
        </w:rPr>
        <w:t>akceptačných testov nie je možné,</w:t>
      </w:r>
      <w:r w:rsidRPr="00113459">
        <w:rPr>
          <w:rFonts w:ascii="Cambria" w:hAnsi="Cambria" w:cs="Arial"/>
          <w:sz w:val="20"/>
          <w:szCs w:val="20"/>
        </w:rPr>
        <w:t xml:space="preserve"> </w:t>
      </w:r>
      <w:r w:rsidR="004F5D57" w:rsidRPr="00113459">
        <w:rPr>
          <w:rFonts w:ascii="Cambria" w:hAnsi="Cambria" w:cs="Arial"/>
          <w:sz w:val="20"/>
          <w:szCs w:val="20"/>
        </w:rPr>
        <w:t xml:space="preserve">pričom </w:t>
      </w:r>
      <w:r w:rsidR="004D3D36" w:rsidRPr="00113459">
        <w:rPr>
          <w:rFonts w:ascii="Cambria" w:hAnsi="Cambria" w:cs="Arial"/>
          <w:sz w:val="20"/>
          <w:szCs w:val="20"/>
        </w:rPr>
        <w:t>spôsobuje že</w:t>
      </w:r>
      <w:r w:rsidRPr="00113459">
        <w:rPr>
          <w:rFonts w:ascii="Cambria" w:hAnsi="Cambria" w:cs="Arial"/>
          <w:sz w:val="20"/>
          <w:szCs w:val="20"/>
        </w:rPr>
        <w:t>:</w:t>
      </w:r>
    </w:p>
    <w:p w14:paraId="0742F4DA" w14:textId="359F1918" w:rsidR="001D7C1C" w:rsidRPr="00113459" w:rsidRDefault="00113459" w:rsidP="009A3D19">
      <w:pPr>
        <w:pStyle w:val="BodyTextIndent3"/>
        <w:numPr>
          <w:ilvl w:val="0"/>
          <w:numId w:val="26"/>
        </w:numPr>
        <w:spacing w:before="60" w:after="20"/>
        <w:rPr>
          <w:rFonts w:ascii="Cambria" w:hAnsi="Cambria"/>
          <w:sz w:val="20"/>
        </w:rPr>
      </w:pPr>
      <w:r w:rsidRPr="00113459">
        <w:rPr>
          <w:rFonts w:ascii="Cambria" w:hAnsi="Cambria"/>
          <w:sz w:val="20"/>
        </w:rPr>
        <w:t>a</w:t>
      </w:r>
      <w:r w:rsidR="001D7C1C" w:rsidRPr="00113459">
        <w:rPr>
          <w:rFonts w:ascii="Cambria" w:hAnsi="Cambria"/>
          <w:sz w:val="20"/>
        </w:rPr>
        <w:t xml:space="preserve">plikačné funkcie Diela nie sú funkčné ako celok, alebo ide o takú chybu alebo nedostatok Diela, ktorý neumožní úspešne realizovať bankové procesy v NBS podporované Dielom alebo </w:t>
      </w:r>
    </w:p>
    <w:p w14:paraId="2EB8146E" w14:textId="1702AF26" w:rsidR="001D7C1C" w:rsidRPr="00113459" w:rsidRDefault="00113459" w:rsidP="009A3D19">
      <w:pPr>
        <w:pStyle w:val="BodyTextIndent3"/>
        <w:numPr>
          <w:ilvl w:val="0"/>
          <w:numId w:val="26"/>
        </w:numPr>
        <w:spacing w:before="60" w:after="20"/>
        <w:rPr>
          <w:rFonts w:ascii="Cambria" w:hAnsi="Cambria"/>
          <w:sz w:val="20"/>
        </w:rPr>
      </w:pPr>
      <w:r w:rsidRPr="00113459">
        <w:rPr>
          <w:rFonts w:ascii="Cambria" w:hAnsi="Cambria"/>
          <w:sz w:val="20"/>
        </w:rPr>
        <w:t>a</w:t>
      </w:r>
      <w:r w:rsidR="001D7C1C" w:rsidRPr="00113459">
        <w:rPr>
          <w:rFonts w:ascii="Cambria" w:hAnsi="Cambria"/>
          <w:sz w:val="20"/>
        </w:rPr>
        <w:t>plikačné funkcie Diela, prostredníctvom ktorých sa realizujú časovo závislé bankové procesy súvisiace najmä s hotovostnými, majetkovými prevodmi a účtovnými procedúrami, nie sú úplne funkčné, alebo</w:t>
      </w:r>
    </w:p>
    <w:p w14:paraId="66F49381" w14:textId="4D5FA24C" w:rsidR="001D7C1C" w:rsidRPr="00113459" w:rsidRDefault="00113459" w:rsidP="009A3D19">
      <w:pPr>
        <w:pStyle w:val="BodyTextIndent3"/>
        <w:numPr>
          <w:ilvl w:val="0"/>
          <w:numId w:val="26"/>
        </w:numPr>
        <w:spacing w:before="60" w:after="20"/>
        <w:rPr>
          <w:rFonts w:ascii="Cambria" w:hAnsi="Cambria"/>
          <w:sz w:val="20"/>
        </w:rPr>
      </w:pPr>
      <w:r w:rsidRPr="00113459">
        <w:rPr>
          <w:rFonts w:ascii="Cambria" w:hAnsi="Cambria"/>
          <w:sz w:val="20"/>
        </w:rPr>
        <w:t>a</w:t>
      </w:r>
      <w:r w:rsidR="001D7C1C" w:rsidRPr="00113459">
        <w:rPr>
          <w:rFonts w:ascii="Cambria" w:hAnsi="Cambria"/>
          <w:sz w:val="20"/>
        </w:rPr>
        <w:t>plikačné funkcie Diela, ktoré majú priamy dopad na riadny chod NBS, nie sú funkčné.</w:t>
      </w:r>
    </w:p>
    <w:p w14:paraId="6448798B" w14:textId="77777777" w:rsidR="001D7C1C" w:rsidRPr="00113459" w:rsidRDefault="001D7C1C" w:rsidP="001D7C1C">
      <w:pPr>
        <w:pStyle w:val="BodyTextIndent3"/>
        <w:spacing w:before="60" w:after="20"/>
        <w:ind w:left="720" w:firstLine="0"/>
        <w:rPr>
          <w:rFonts w:ascii="Cambria" w:hAnsi="Cambria"/>
          <w:sz w:val="20"/>
        </w:rPr>
      </w:pPr>
    </w:p>
    <w:p w14:paraId="2BF9D357" w14:textId="42DA9644" w:rsidR="00C50113" w:rsidRPr="00113459" w:rsidRDefault="005B3C6F" w:rsidP="009A3D19">
      <w:pPr>
        <w:pStyle w:val="MLOdsek"/>
        <w:numPr>
          <w:ilvl w:val="0"/>
          <w:numId w:val="27"/>
        </w:numPr>
        <w:spacing w:before="120" w:after="0" w:line="240" w:lineRule="auto"/>
        <w:ind w:left="0" w:firstLine="0"/>
        <w:rPr>
          <w:rFonts w:ascii="Cambria" w:hAnsi="Cambria" w:cs="Arial"/>
          <w:b/>
          <w:sz w:val="20"/>
          <w:szCs w:val="20"/>
        </w:rPr>
      </w:pPr>
      <w:r w:rsidRPr="00113459">
        <w:rPr>
          <w:rFonts w:ascii="Cambria" w:hAnsi="Cambria" w:cs="Arial"/>
          <w:b/>
          <w:sz w:val="20"/>
          <w:szCs w:val="20"/>
        </w:rPr>
        <w:t xml:space="preserve">„Závažná vada (B)“ </w:t>
      </w:r>
    </w:p>
    <w:p w14:paraId="592C30CA" w14:textId="775BB20E" w:rsidR="00B540A4" w:rsidRPr="00AE5D66" w:rsidRDefault="00B540A4" w:rsidP="00B540A4">
      <w:pPr>
        <w:pStyle w:val="MLOdsek"/>
        <w:numPr>
          <w:ilvl w:val="1"/>
          <w:numId w:val="0"/>
        </w:numPr>
        <w:spacing w:before="120" w:after="0" w:line="240" w:lineRule="auto"/>
        <w:ind w:left="142"/>
        <w:rPr>
          <w:rFonts w:ascii="Cambria" w:hAnsi="Cambria" w:cs="Arial"/>
          <w:sz w:val="20"/>
          <w:szCs w:val="20"/>
        </w:rPr>
      </w:pPr>
      <w:r w:rsidRPr="00113459">
        <w:rPr>
          <w:rFonts w:ascii="Cambria" w:hAnsi="Cambria" w:cs="Arial"/>
          <w:sz w:val="20"/>
          <w:szCs w:val="20"/>
        </w:rPr>
        <w:t xml:space="preserve">je spôsobený chybou alebo nedostatkom </w:t>
      </w:r>
      <w:r w:rsidR="00F04DBD" w:rsidRPr="00113459">
        <w:rPr>
          <w:rFonts w:ascii="Cambria" w:hAnsi="Cambria" w:cs="Arial"/>
          <w:sz w:val="20"/>
          <w:szCs w:val="20"/>
        </w:rPr>
        <w:t>Diela</w:t>
      </w:r>
      <w:r w:rsidRPr="00113459">
        <w:rPr>
          <w:rFonts w:ascii="Cambria" w:hAnsi="Cambria" w:cs="Arial"/>
          <w:sz w:val="20"/>
          <w:szCs w:val="20"/>
        </w:rPr>
        <w:t xml:space="preserve"> a táto chyba a/alebo nedostatok zabraňuje jeho plnohodnotné používaniu v</w:t>
      </w:r>
      <w:r w:rsidR="00D0092F" w:rsidRPr="00113459">
        <w:rPr>
          <w:rFonts w:ascii="Cambria" w:hAnsi="Cambria" w:cs="Arial"/>
          <w:sz w:val="20"/>
          <w:szCs w:val="20"/>
        </w:rPr>
        <w:t> </w:t>
      </w:r>
      <w:r w:rsidRPr="00113459">
        <w:rPr>
          <w:rFonts w:ascii="Cambria" w:hAnsi="Cambria" w:cs="Arial"/>
          <w:sz w:val="20"/>
          <w:szCs w:val="20"/>
        </w:rPr>
        <w:t>prevádzke</w:t>
      </w:r>
      <w:r w:rsidR="00D0092F" w:rsidRPr="00113459">
        <w:rPr>
          <w:rFonts w:ascii="Cambria" w:hAnsi="Cambria" w:cs="Arial"/>
          <w:sz w:val="20"/>
          <w:szCs w:val="20"/>
        </w:rPr>
        <w:t xml:space="preserve"> (neschopnosť spracovať maximálnu možnú prevádzkovú záťaž)</w:t>
      </w:r>
      <w:r w:rsidR="004F5D57" w:rsidRPr="00113459">
        <w:rPr>
          <w:rFonts w:ascii="Cambria" w:hAnsi="Cambria" w:cs="Arial"/>
          <w:sz w:val="20"/>
          <w:szCs w:val="20"/>
        </w:rPr>
        <w:t xml:space="preserve"> </w:t>
      </w:r>
      <w:r w:rsidR="004F5D57" w:rsidRPr="00AE5D66">
        <w:rPr>
          <w:rFonts w:ascii="Cambria" w:hAnsi="Cambria" w:cs="Arial"/>
          <w:sz w:val="20"/>
          <w:szCs w:val="20"/>
        </w:rPr>
        <w:t>a ohrozuje ďalšie pokračovania akceptačných testov, pričom spôsobuje, že</w:t>
      </w:r>
      <w:r w:rsidRPr="00AE5D66">
        <w:rPr>
          <w:rFonts w:ascii="Cambria" w:hAnsi="Cambria" w:cs="Arial"/>
          <w:sz w:val="20"/>
          <w:szCs w:val="20"/>
        </w:rPr>
        <w:t>:</w:t>
      </w:r>
    </w:p>
    <w:p w14:paraId="0F588C87" w14:textId="43C752AB" w:rsidR="00B540A4" w:rsidRPr="00AE5D66" w:rsidRDefault="00113459" w:rsidP="009A3D19">
      <w:pPr>
        <w:pStyle w:val="BodyTextIndent3"/>
        <w:numPr>
          <w:ilvl w:val="0"/>
          <w:numId w:val="28"/>
        </w:numPr>
        <w:spacing w:before="60" w:after="20"/>
        <w:rPr>
          <w:rFonts w:ascii="Cambria" w:hAnsi="Cambria"/>
          <w:sz w:val="20"/>
        </w:rPr>
      </w:pPr>
      <w:r w:rsidRPr="00AE5D66">
        <w:rPr>
          <w:rFonts w:ascii="Cambria" w:hAnsi="Cambria"/>
          <w:sz w:val="20"/>
        </w:rPr>
        <w:t>a</w:t>
      </w:r>
      <w:r w:rsidR="00B540A4" w:rsidRPr="00AE5D66">
        <w:rPr>
          <w:rFonts w:ascii="Cambria" w:hAnsi="Cambria"/>
          <w:sz w:val="20"/>
        </w:rPr>
        <w:t xml:space="preserve">plikačné funkcie </w:t>
      </w:r>
      <w:r w:rsidR="00F04DBD" w:rsidRPr="00AE5D66">
        <w:rPr>
          <w:rFonts w:ascii="Cambria" w:hAnsi="Cambria"/>
          <w:sz w:val="20"/>
        </w:rPr>
        <w:t>Diela</w:t>
      </w:r>
      <w:r w:rsidR="00B540A4" w:rsidRPr="00AE5D66">
        <w:rPr>
          <w:rFonts w:ascii="Cambria" w:hAnsi="Cambria"/>
          <w:sz w:val="20"/>
        </w:rPr>
        <w:t xml:space="preserve"> neumožňujú vykonanie činnosti a/alebo vytvorenie výstupov, ktoré NBS potrebuje na splnenie svojich záväzkov voči externým subjektom,</w:t>
      </w:r>
    </w:p>
    <w:p w14:paraId="5313D409" w14:textId="7DC94456" w:rsidR="00B540A4" w:rsidRPr="00AE5D66" w:rsidRDefault="00113459" w:rsidP="009A3D19">
      <w:pPr>
        <w:pStyle w:val="BodyTextIndent3"/>
        <w:numPr>
          <w:ilvl w:val="0"/>
          <w:numId w:val="28"/>
        </w:numPr>
        <w:spacing w:before="60" w:after="20"/>
        <w:rPr>
          <w:rFonts w:ascii="Cambria" w:hAnsi="Cambria"/>
          <w:sz w:val="20"/>
        </w:rPr>
      </w:pPr>
      <w:r w:rsidRPr="00AE5D66">
        <w:rPr>
          <w:rFonts w:ascii="Cambria" w:hAnsi="Cambria"/>
          <w:sz w:val="20"/>
        </w:rPr>
        <w:t>a</w:t>
      </w:r>
      <w:r w:rsidR="00B540A4" w:rsidRPr="00AE5D66">
        <w:rPr>
          <w:rFonts w:ascii="Cambria" w:hAnsi="Cambria"/>
          <w:sz w:val="20"/>
        </w:rPr>
        <w:t xml:space="preserve">plikačné funkcie </w:t>
      </w:r>
      <w:r w:rsidR="00F04DBD" w:rsidRPr="00AE5D66">
        <w:rPr>
          <w:rFonts w:ascii="Cambria" w:hAnsi="Cambria"/>
          <w:sz w:val="20"/>
        </w:rPr>
        <w:t>Diela</w:t>
      </w:r>
      <w:r w:rsidR="00B540A4" w:rsidRPr="00AE5D66">
        <w:rPr>
          <w:rFonts w:ascii="Cambria" w:hAnsi="Cambria"/>
          <w:sz w:val="20"/>
        </w:rPr>
        <w:t>, prostredníctvom ktorých sa realizujú časovo závislé bankové procesy súvisiace najmä s</w:t>
      </w:r>
      <w:r w:rsidR="00AE5D66" w:rsidRPr="00AE5D66">
        <w:rPr>
          <w:rFonts w:ascii="Cambria" w:hAnsi="Cambria"/>
          <w:sz w:val="20"/>
        </w:rPr>
        <w:t> využívaním dát z dátového skladu, napr. v procese výkonu verejnej moci</w:t>
      </w:r>
      <w:r w:rsidR="00B540A4" w:rsidRPr="00AE5D66">
        <w:rPr>
          <w:rFonts w:ascii="Cambria" w:hAnsi="Cambria"/>
          <w:sz w:val="20"/>
        </w:rPr>
        <w:t xml:space="preserve"> nie sú čiastočne funkčné.</w:t>
      </w:r>
    </w:p>
    <w:p w14:paraId="19775CD2" w14:textId="3E5A76DD" w:rsidR="001A4BBA" w:rsidRPr="001A4BBA" w:rsidRDefault="008C029D" w:rsidP="009A3D19">
      <w:pPr>
        <w:pStyle w:val="MLOdsek"/>
        <w:numPr>
          <w:ilvl w:val="0"/>
          <w:numId w:val="27"/>
        </w:numPr>
        <w:spacing w:before="120" w:after="0" w:line="240" w:lineRule="auto"/>
        <w:ind w:left="0" w:firstLine="0"/>
        <w:rPr>
          <w:rFonts w:ascii="Cambria" w:hAnsi="Cambria" w:cs="Arial"/>
          <w:b/>
          <w:sz w:val="20"/>
          <w:szCs w:val="20"/>
        </w:rPr>
      </w:pPr>
      <w:r w:rsidRPr="001A4BBA">
        <w:rPr>
          <w:rFonts w:ascii="Cambria" w:hAnsi="Cambria" w:cs="Arial"/>
          <w:b/>
          <w:sz w:val="20"/>
          <w:szCs w:val="20"/>
        </w:rPr>
        <w:t>„</w:t>
      </w:r>
      <w:r w:rsidR="001A4BBA">
        <w:rPr>
          <w:rFonts w:ascii="Cambria" w:hAnsi="Cambria" w:cs="Arial"/>
          <w:b/>
          <w:sz w:val="20"/>
          <w:szCs w:val="20"/>
        </w:rPr>
        <w:t>Nepodstatná vada</w:t>
      </w:r>
      <w:r w:rsidRPr="001A4BBA">
        <w:rPr>
          <w:rFonts w:ascii="Cambria" w:hAnsi="Cambria" w:cs="Arial"/>
          <w:b/>
          <w:sz w:val="20"/>
          <w:szCs w:val="20"/>
        </w:rPr>
        <w:t xml:space="preserve"> (C)“ </w:t>
      </w:r>
    </w:p>
    <w:p w14:paraId="75223447" w14:textId="0F2B99FD" w:rsidR="007E30F8" w:rsidRPr="000340AE" w:rsidRDefault="000340AE" w:rsidP="000340AE">
      <w:pPr>
        <w:pStyle w:val="MLOdsek"/>
        <w:numPr>
          <w:ilvl w:val="1"/>
          <w:numId w:val="0"/>
        </w:numPr>
        <w:spacing w:before="120" w:after="0" w:line="240" w:lineRule="auto"/>
        <w:ind w:left="142"/>
        <w:rPr>
          <w:rFonts w:ascii="Cambria" w:hAnsi="Cambria" w:cs="Arial"/>
          <w:sz w:val="20"/>
          <w:szCs w:val="20"/>
        </w:rPr>
      </w:pPr>
      <w:r>
        <w:rPr>
          <w:rFonts w:ascii="Cambria" w:hAnsi="Cambria" w:cs="Arial"/>
          <w:sz w:val="20"/>
          <w:szCs w:val="20"/>
        </w:rPr>
        <w:t>d</w:t>
      </w:r>
      <w:r w:rsidR="007E30F8" w:rsidRPr="000340AE">
        <w:rPr>
          <w:rFonts w:ascii="Cambria" w:hAnsi="Cambria" w:cs="Arial"/>
          <w:sz w:val="20"/>
          <w:szCs w:val="20"/>
        </w:rPr>
        <w:t>o tejto klasifikácie spadajú všetky chyby alebo nedostatky prevádzky Diela, ktoré nie sú klasifikované ako Zásadná vada (A) alebo Závažná vada (B)</w:t>
      </w:r>
      <w:r w:rsidR="00F54AB6">
        <w:rPr>
          <w:rFonts w:ascii="Cambria" w:hAnsi="Cambria" w:cs="Arial"/>
          <w:sz w:val="20"/>
          <w:szCs w:val="20"/>
        </w:rPr>
        <w:t>, pričom sa jedná o vadu, ktorá spôsobí čiastočný neúspech akceptačných testov</w:t>
      </w:r>
      <w:r w:rsidR="00C101BE">
        <w:rPr>
          <w:rFonts w:ascii="Cambria" w:hAnsi="Cambria" w:cs="Arial"/>
          <w:sz w:val="20"/>
          <w:szCs w:val="20"/>
        </w:rPr>
        <w:t xml:space="preserve"> a</w:t>
      </w:r>
      <w:r w:rsidR="00F54AB6">
        <w:rPr>
          <w:rFonts w:ascii="Cambria" w:hAnsi="Cambria" w:cs="Arial"/>
          <w:sz w:val="20"/>
          <w:szCs w:val="20"/>
        </w:rPr>
        <w:t xml:space="preserve"> ktorá sa prejaví iba niekedy</w:t>
      </w:r>
      <w:r w:rsidR="003040BD">
        <w:rPr>
          <w:rFonts w:ascii="Cambria" w:hAnsi="Cambria" w:cs="Arial"/>
          <w:sz w:val="20"/>
          <w:szCs w:val="20"/>
        </w:rPr>
        <w:t xml:space="preserve">, </w:t>
      </w:r>
      <w:r w:rsidR="00F54AB6">
        <w:rPr>
          <w:rFonts w:ascii="Cambria" w:hAnsi="Cambria" w:cs="Arial"/>
          <w:sz w:val="20"/>
          <w:szCs w:val="20"/>
        </w:rPr>
        <w:t>pričom:</w:t>
      </w:r>
      <w:r w:rsidR="007E30F8" w:rsidRPr="000340AE">
        <w:rPr>
          <w:rFonts w:ascii="Cambria" w:hAnsi="Cambria" w:cs="Arial"/>
          <w:sz w:val="20"/>
          <w:szCs w:val="20"/>
        </w:rPr>
        <w:t xml:space="preserve"> </w:t>
      </w:r>
    </w:p>
    <w:p w14:paraId="2CE8AECD" w14:textId="682D16DF" w:rsidR="00493509" w:rsidRDefault="000A4B84" w:rsidP="009A3D19">
      <w:pPr>
        <w:pStyle w:val="BodyTextIndent3"/>
        <w:numPr>
          <w:ilvl w:val="0"/>
          <w:numId w:val="29"/>
        </w:numPr>
        <w:spacing w:before="60" w:after="20"/>
        <w:rPr>
          <w:rFonts w:ascii="Cambria" w:hAnsi="Cambria"/>
          <w:sz w:val="20"/>
        </w:rPr>
      </w:pPr>
      <w:r>
        <w:rPr>
          <w:rFonts w:ascii="Cambria" w:hAnsi="Cambria"/>
          <w:sz w:val="20"/>
        </w:rPr>
        <w:t>i</w:t>
      </w:r>
      <w:r w:rsidR="007E30F8" w:rsidRPr="00356A76">
        <w:rPr>
          <w:rFonts w:ascii="Cambria" w:hAnsi="Cambria"/>
          <w:sz w:val="20"/>
        </w:rPr>
        <w:t>ncidenty tejto klasifikácie síce obmedzujú používanie Diela, ale v zásade neobmedzujú základné funkcie a prevádzku tohto Diela</w:t>
      </w:r>
      <w:r w:rsidR="00356A76" w:rsidRPr="00356A76">
        <w:rPr>
          <w:rFonts w:ascii="Cambria" w:hAnsi="Cambria"/>
          <w:sz w:val="20"/>
        </w:rPr>
        <w:t>.</w:t>
      </w:r>
    </w:p>
    <w:p w14:paraId="24D35F1A" w14:textId="5BF4261C" w:rsidR="0075327C" w:rsidRDefault="0075327C" w:rsidP="0075327C">
      <w:pPr>
        <w:pStyle w:val="BodyTextIndent3"/>
        <w:spacing w:before="60" w:after="20"/>
        <w:rPr>
          <w:rFonts w:ascii="Cambria" w:hAnsi="Cambria"/>
          <w:sz w:val="20"/>
        </w:rPr>
      </w:pPr>
    </w:p>
    <w:p w14:paraId="34703B6E" w14:textId="6C060EB1" w:rsidR="0075327C" w:rsidRDefault="006D39DD" w:rsidP="009A3D19">
      <w:pPr>
        <w:pStyle w:val="ListParagraph"/>
        <w:numPr>
          <w:ilvl w:val="1"/>
          <w:numId w:val="30"/>
        </w:numPr>
        <w:rPr>
          <w:rFonts w:ascii="Cambria" w:hAnsi="Cambria"/>
          <w:i/>
          <w:iCs/>
          <w:sz w:val="20"/>
          <w:szCs w:val="20"/>
        </w:rPr>
      </w:pPr>
      <w:r>
        <w:rPr>
          <w:rFonts w:ascii="Cambria" w:hAnsi="Cambria"/>
          <w:i/>
          <w:iCs/>
          <w:sz w:val="20"/>
          <w:szCs w:val="20"/>
        </w:rPr>
        <w:t xml:space="preserve">Doby, </w:t>
      </w:r>
      <w:r w:rsidR="0075327C" w:rsidRPr="0075327C">
        <w:rPr>
          <w:rFonts w:ascii="Cambria" w:hAnsi="Cambria"/>
          <w:i/>
          <w:iCs/>
          <w:sz w:val="20"/>
          <w:szCs w:val="20"/>
        </w:rPr>
        <w:t>Lehoty v súvislosti s odstraňovaním vád</w:t>
      </w:r>
    </w:p>
    <w:p w14:paraId="3914CBE6" w14:textId="331FD3D2" w:rsidR="006D39DD" w:rsidRPr="006D39DD" w:rsidRDefault="006D39DD" w:rsidP="006D39DD">
      <w:pPr>
        <w:pStyle w:val="MLOdsek"/>
        <w:numPr>
          <w:ilvl w:val="1"/>
          <w:numId w:val="0"/>
        </w:numPr>
        <w:spacing w:before="120" w:after="0" w:line="240" w:lineRule="auto"/>
        <w:ind w:left="142"/>
        <w:rPr>
          <w:rFonts w:ascii="Cambria" w:hAnsi="Cambria" w:cs="Arial"/>
          <w:sz w:val="20"/>
          <w:szCs w:val="20"/>
        </w:rPr>
      </w:pPr>
      <w:r w:rsidRPr="00855135">
        <w:rPr>
          <w:rFonts w:ascii="Cambria" w:hAnsi="Cambria" w:cs="Arial"/>
          <w:b/>
          <w:bCs/>
          <w:sz w:val="20"/>
          <w:szCs w:val="20"/>
        </w:rPr>
        <w:t>Reakčná doba</w:t>
      </w:r>
      <w:r w:rsidRPr="00855135">
        <w:rPr>
          <w:rFonts w:ascii="Cambria" w:hAnsi="Cambria" w:cs="Arial"/>
          <w:sz w:val="20"/>
          <w:szCs w:val="20"/>
        </w:rPr>
        <w:t xml:space="preserve"> je pre </w:t>
      </w:r>
      <w:r w:rsidR="003E41F9" w:rsidRPr="00855135">
        <w:rPr>
          <w:rFonts w:ascii="Cambria" w:hAnsi="Cambria" w:cs="Arial"/>
          <w:sz w:val="20"/>
          <w:szCs w:val="20"/>
        </w:rPr>
        <w:t>z</w:t>
      </w:r>
      <w:r w:rsidRPr="00855135">
        <w:rPr>
          <w:rFonts w:ascii="Cambria" w:hAnsi="Cambria" w:cs="Arial"/>
          <w:sz w:val="20"/>
          <w:szCs w:val="20"/>
        </w:rPr>
        <w:t xml:space="preserve">hotoviteľa stanovený čas, do ktorého vykoná prevzatie, potvrdenie prevzatia a preverenie nahlásenej </w:t>
      </w:r>
      <w:r w:rsidR="003A5FBA" w:rsidRPr="00855135">
        <w:rPr>
          <w:rFonts w:ascii="Cambria" w:hAnsi="Cambria" w:cs="Arial"/>
          <w:sz w:val="20"/>
          <w:szCs w:val="20"/>
        </w:rPr>
        <w:t>v</w:t>
      </w:r>
      <w:r w:rsidRPr="00855135">
        <w:rPr>
          <w:rFonts w:ascii="Cambria" w:hAnsi="Cambria" w:cs="Arial"/>
          <w:sz w:val="20"/>
          <w:szCs w:val="20"/>
        </w:rPr>
        <w:t>ady a zaháji jej riešenie konkrétnym riešiteľom a ktorá začína plynúť nahlásením vady postupom v zmysle čl</w:t>
      </w:r>
      <w:r w:rsidR="00855135" w:rsidRPr="00855135">
        <w:rPr>
          <w:rFonts w:ascii="Cambria" w:hAnsi="Cambria" w:cs="Arial"/>
          <w:sz w:val="20"/>
          <w:szCs w:val="20"/>
        </w:rPr>
        <w:t>ánku VII</w:t>
      </w:r>
      <w:r w:rsidRPr="00855135">
        <w:rPr>
          <w:rFonts w:ascii="Cambria" w:hAnsi="Cambria" w:cs="Arial"/>
          <w:sz w:val="20"/>
          <w:szCs w:val="20"/>
        </w:rPr>
        <w:t xml:space="preserve"> bod 7.</w:t>
      </w:r>
      <w:r w:rsidR="00855135" w:rsidRPr="00855135">
        <w:rPr>
          <w:rFonts w:ascii="Cambria" w:hAnsi="Cambria" w:cs="Arial"/>
          <w:sz w:val="20"/>
          <w:szCs w:val="20"/>
        </w:rPr>
        <w:t>8.</w:t>
      </w:r>
      <w:r w:rsidRPr="00855135">
        <w:rPr>
          <w:rFonts w:ascii="Cambria" w:hAnsi="Cambria" w:cs="Arial"/>
          <w:sz w:val="20"/>
          <w:szCs w:val="20"/>
        </w:rPr>
        <w:t xml:space="preserve"> tejto </w:t>
      </w:r>
      <w:r w:rsidR="00855135" w:rsidRPr="00855135">
        <w:rPr>
          <w:rFonts w:ascii="Cambria" w:hAnsi="Cambria" w:cs="Arial"/>
          <w:sz w:val="20"/>
          <w:szCs w:val="20"/>
        </w:rPr>
        <w:t>z</w:t>
      </w:r>
      <w:r w:rsidRPr="00855135">
        <w:rPr>
          <w:rFonts w:ascii="Cambria" w:hAnsi="Cambria" w:cs="Arial"/>
          <w:sz w:val="20"/>
          <w:szCs w:val="20"/>
        </w:rPr>
        <w:t>mluvy</w:t>
      </w:r>
      <w:r w:rsidR="00855135" w:rsidRPr="00855135">
        <w:rPr>
          <w:rFonts w:ascii="Cambria" w:hAnsi="Cambria" w:cs="Arial"/>
          <w:sz w:val="20"/>
          <w:szCs w:val="20"/>
        </w:rPr>
        <w:t xml:space="preserve"> o dielo</w:t>
      </w:r>
      <w:r w:rsidRPr="00855135">
        <w:rPr>
          <w:rFonts w:ascii="Cambria" w:hAnsi="Cambria" w:cs="Arial"/>
          <w:sz w:val="20"/>
          <w:szCs w:val="20"/>
        </w:rPr>
        <w:t xml:space="preserve">. Do reakčnej doby sa nezapočítava čas, kedy nie je možné zo strany </w:t>
      </w:r>
      <w:r w:rsidR="003E41F9" w:rsidRPr="00855135">
        <w:rPr>
          <w:rFonts w:ascii="Cambria" w:hAnsi="Cambria" w:cs="Arial"/>
          <w:sz w:val="20"/>
          <w:szCs w:val="20"/>
        </w:rPr>
        <w:t>o</w:t>
      </w:r>
      <w:r w:rsidRPr="00855135">
        <w:rPr>
          <w:rFonts w:ascii="Cambria" w:hAnsi="Cambria" w:cs="Arial"/>
          <w:sz w:val="20"/>
          <w:szCs w:val="20"/>
        </w:rPr>
        <w:t xml:space="preserve">bjednávateľa sprístupnenie </w:t>
      </w:r>
      <w:r w:rsidR="003A5FBA" w:rsidRPr="00855135">
        <w:rPr>
          <w:rFonts w:ascii="Cambria" w:hAnsi="Cambria" w:cs="Arial"/>
          <w:sz w:val="20"/>
          <w:szCs w:val="20"/>
        </w:rPr>
        <w:t>Diela</w:t>
      </w:r>
      <w:r w:rsidRPr="00855135">
        <w:rPr>
          <w:rFonts w:ascii="Cambria" w:hAnsi="Cambria" w:cs="Arial"/>
          <w:sz w:val="20"/>
          <w:szCs w:val="20"/>
        </w:rPr>
        <w:t xml:space="preserve"> za účelom odstránenia vady.</w:t>
      </w:r>
    </w:p>
    <w:p w14:paraId="6DDF0108" w14:textId="5086E6EE" w:rsidR="006D39DD" w:rsidRPr="006D39DD" w:rsidRDefault="006D39DD" w:rsidP="006D39DD">
      <w:pPr>
        <w:pStyle w:val="MLOdsek"/>
        <w:numPr>
          <w:ilvl w:val="1"/>
          <w:numId w:val="0"/>
        </w:numPr>
        <w:spacing w:before="120" w:after="0" w:line="240" w:lineRule="auto"/>
        <w:ind w:left="142"/>
        <w:rPr>
          <w:rFonts w:ascii="Cambria" w:hAnsi="Cambria" w:cs="Arial"/>
          <w:sz w:val="20"/>
          <w:szCs w:val="20"/>
        </w:rPr>
      </w:pPr>
      <w:r w:rsidRPr="003E41F9">
        <w:rPr>
          <w:rFonts w:ascii="Cambria" w:hAnsi="Cambria" w:cs="Arial"/>
          <w:b/>
          <w:bCs/>
          <w:sz w:val="20"/>
          <w:szCs w:val="20"/>
        </w:rPr>
        <w:t>Doba neutralizácie vady</w:t>
      </w:r>
      <w:r w:rsidRPr="006D39DD">
        <w:rPr>
          <w:rFonts w:ascii="Cambria" w:hAnsi="Cambria" w:cs="Arial"/>
          <w:sz w:val="20"/>
          <w:szCs w:val="20"/>
        </w:rPr>
        <w:t xml:space="preserve"> je čas, do ktorého je </w:t>
      </w:r>
      <w:r w:rsidR="003E41F9">
        <w:rPr>
          <w:rFonts w:ascii="Cambria" w:hAnsi="Cambria" w:cs="Arial"/>
          <w:sz w:val="20"/>
          <w:szCs w:val="20"/>
        </w:rPr>
        <w:t>z</w:t>
      </w:r>
      <w:r w:rsidRPr="006D39DD">
        <w:rPr>
          <w:rFonts w:ascii="Cambria" w:hAnsi="Cambria" w:cs="Arial"/>
          <w:sz w:val="20"/>
          <w:szCs w:val="20"/>
        </w:rPr>
        <w:t xml:space="preserve">hotoviteľa povinný zabezpečiť, resp. dosiahnuť dočasný režim funkčnosti </w:t>
      </w:r>
      <w:r w:rsidR="0052587E">
        <w:rPr>
          <w:rFonts w:ascii="Cambria" w:hAnsi="Cambria" w:cs="Arial"/>
          <w:sz w:val="20"/>
          <w:szCs w:val="20"/>
        </w:rPr>
        <w:t>Diela</w:t>
      </w:r>
      <w:r w:rsidRPr="006D39DD">
        <w:rPr>
          <w:rFonts w:ascii="Cambria" w:hAnsi="Cambria" w:cs="Arial"/>
          <w:sz w:val="20"/>
          <w:szCs w:val="20"/>
        </w:rPr>
        <w:t xml:space="preserve"> </w:t>
      </w:r>
      <w:r w:rsidR="0052587E">
        <w:rPr>
          <w:rFonts w:ascii="Cambria" w:hAnsi="Cambria" w:cs="Arial"/>
          <w:sz w:val="20"/>
          <w:szCs w:val="20"/>
        </w:rPr>
        <w:t>o</w:t>
      </w:r>
      <w:r w:rsidRPr="006D39DD">
        <w:rPr>
          <w:rFonts w:ascii="Cambria" w:hAnsi="Cambria" w:cs="Arial"/>
          <w:sz w:val="20"/>
          <w:szCs w:val="20"/>
        </w:rPr>
        <w:t xml:space="preserve">bjednávateľa (funkcia a plánovaná použiteľnosť </w:t>
      </w:r>
      <w:r w:rsidR="003E41F9">
        <w:rPr>
          <w:rFonts w:ascii="Cambria" w:hAnsi="Cambria" w:cs="Arial"/>
          <w:sz w:val="20"/>
          <w:szCs w:val="20"/>
        </w:rPr>
        <w:t>Diela</w:t>
      </w:r>
      <w:r w:rsidRPr="006D39DD">
        <w:rPr>
          <w:rFonts w:ascii="Cambria" w:hAnsi="Cambria" w:cs="Arial"/>
          <w:sz w:val="20"/>
          <w:szCs w:val="20"/>
        </w:rPr>
        <w:t xml:space="preserve"> </w:t>
      </w:r>
      <w:r w:rsidR="003E41F9">
        <w:rPr>
          <w:rFonts w:ascii="Cambria" w:hAnsi="Cambria" w:cs="Arial"/>
          <w:sz w:val="20"/>
          <w:szCs w:val="20"/>
        </w:rPr>
        <w:t>o</w:t>
      </w:r>
      <w:r w:rsidRPr="006D39DD">
        <w:rPr>
          <w:rFonts w:ascii="Cambria" w:hAnsi="Cambria" w:cs="Arial"/>
          <w:sz w:val="20"/>
          <w:szCs w:val="20"/>
        </w:rPr>
        <w:t xml:space="preserve">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w:t>
      </w:r>
      <w:r w:rsidR="003E41F9">
        <w:rPr>
          <w:rFonts w:ascii="Cambria" w:hAnsi="Cambria" w:cs="Arial"/>
          <w:sz w:val="20"/>
          <w:szCs w:val="20"/>
        </w:rPr>
        <w:t>o</w:t>
      </w:r>
      <w:r w:rsidRPr="006D39DD">
        <w:rPr>
          <w:rFonts w:ascii="Cambria" w:hAnsi="Cambria" w:cs="Arial"/>
          <w:sz w:val="20"/>
          <w:szCs w:val="20"/>
        </w:rPr>
        <w:t xml:space="preserve">bjednávateľom. </w:t>
      </w:r>
    </w:p>
    <w:p w14:paraId="1F377EE1" w14:textId="7E3A3BBE" w:rsidR="006D39DD" w:rsidRPr="006D39DD" w:rsidRDefault="006D39DD" w:rsidP="006D39DD">
      <w:pPr>
        <w:pStyle w:val="MLOdsek"/>
        <w:numPr>
          <w:ilvl w:val="1"/>
          <w:numId w:val="0"/>
        </w:numPr>
        <w:spacing w:before="120" w:after="0" w:line="240" w:lineRule="auto"/>
        <w:ind w:left="142"/>
        <w:rPr>
          <w:rFonts w:ascii="Cambria" w:hAnsi="Cambria" w:cs="Arial"/>
          <w:sz w:val="20"/>
          <w:szCs w:val="20"/>
        </w:rPr>
      </w:pPr>
      <w:r w:rsidRPr="003E41F9">
        <w:rPr>
          <w:rFonts w:ascii="Cambria" w:hAnsi="Cambria" w:cs="Arial"/>
          <w:b/>
          <w:bCs/>
          <w:sz w:val="20"/>
          <w:szCs w:val="20"/>
        </w:rPr>
        <w:t>Doba trvalého vyriešenia</w:t>
      </w:r>
      <w:r w:rsidRPr="006D39DD">
        <w:rPr>
          <w:rFonts w:ascii="Cambria" w:hAnsi="Cambria" w:cs="Arial"/>
          <w:sz w:val="20"/>
          <w:szCs w:val="20"/>
        </w:rPr>
        <w:t xml:space="preserve"> je čas, do ktorého je Zhotoviteľ povinný zabezpečiť, resp. uplatniť trvalé riešenie do </w:t>
      </w:r>
      <w:r w:rsidR="003A5FBA">
        <w:rPr>
          <w:rFonts w:ascii="Cambria" w:hAnsi="Cambria" w:cs="Arial"/>
          <w:sz w:val="20"/>
          <w:szCs w:val="20"/>
        </w:rPr>
        <w:t>Diela</w:t>
      </w:r>
      <w:r w:rsidRPr="006D39DD">
        <w:rPr>
          <w:rFonts w:ascii="Cambria" w:hAnsi="Cambria" w:cs="Arial"/>
          <w:sz w:val="20"/>
          <w:szCs w:val="20"/>
        </w:rPr>
        <w:t xml:space="preserve"> </w:t>
      </w:r>
      <w:r w:rsidR="003A5FBA">
        <w:rPr>
          <w:rFonts w:ascii="Cambria" w:hAnsi="Cambria" w:cs="Arial"/>
          <w:sz w:val="20"/>
          <w:szCs w:val="20"/>
        </w:rPr>
        <w:t>o</w:t>
      </w:r>
      <w:r w:rsidRPr="006D39DD">
        <w:rPr>
          <w:rFonts w:ascii="Cambria" w:hAnsi="Cambria" w:cs="Arial"/>
          <w:sz w:val="20"/>
          <w:szCs w:val="20"/>
        </w:rPr>
        <w:t xml:space="preserve">bjednávateľa (funkčnosť </w:t>
      </w:r>
      <w:r w:rsidR="00151859">
        <w:rPr>
          <w:rFonts w:ascii="Cambria" w:hAnsi="Cambria" w:cs="Arial"/>
          <w:sz w:val="20"/>
          <w:szCs w:val="20"/>
        </w:rPr>
        <w:t>Diela</w:t>
      </w:r>
      <w:r w:rsidRPr="006D39DD">
        <w:rPr>
          <w:rFonts w:ascii="Cambria" w:hAnsi="Cambria" w:cs="Arial"/>
          <w:sz w:val="20"/>
          <w:szCs w:val="20"/>
        </w:rPr>
        <w:t xml:space="preserve"> </w:t>
      </w:r>
      <w:r w:rsidR="00151859">
        <w:rPr>
          <w:rFonts w:ascii="Cambria" w:hAnsi="Cambria" w:cs="Arial"/>
          <w:sz w:val="20"/>
          <w:szCs w:val="20"/>
        </w:rPr>
        <w:t>o</w:t>
      </w:r>
      <w:r w:rsidRPr="006D39DD">
        <w:rPr>
          <w:rFonts w:ascii="Cambria" w:hAnsi="Cambria" w:cs="Arial"/>
          <w:sz w:val="20"/>
          <w:szCs w:val="20"/>
        </w:rPr>
        <w:t xml:space="preserve">bjednávateľa, resp. jeho jednotlivých funkčností alebo služieb v zmysle dokumentácie </w:t>
      </w:r>
      <w:r w:rsidR="00151859">
        <w:rPr>
          <w:rFonts w:ascii="Cambria" w:hAnsi="Cambria" w:cs="Arial"/>
          <w:sz w:val="20"/>
          <w:szCs w:val="20"/>
        </w:rPr>
        <w:t>Diela</w:t>
      </w:r>
      <w:r w:rsidRPr="006D39DD">
        <w:rPr>
          <w:rFonts w:ascii="Cambria" w:hAnsi="Cambria" w:cs="Arial"/>
          <w:sz w:val="20"/>
          <w:szCs w:val="20"/>
        </w:rPr>
        <w:t xml:space="preserve"> </w:t>
      </w:r>
      <w:r w:rsidR="00151859">
        <w:rPr>
          <w:rFonts w:ascii="Cambria" w:hAnsi="Cambria" w:cs="Arial"/>
          <w:sz w:val="20"/>
          <w:szCs w:val="20"/>
        </w:rPr>
        <w:t>o</w:t>
      </w:r>
      <w:r w:rsidRPr="006D39DD">
        <w:rPr>
          <w:rFonts w:ascii="Cambria" w:hAnsi="Cambria" w:cs="Arial"/>
          <w:sz w:val="20"/>
          <w:szCs w:val="20"/>
        </w:rPr>
        <w:t xml:space="preserve">bjednávateľa bola plne obnovená), pričom čas je počítaný iba v rámci pracovných hodín uvedených nižšie od okamihu nahlásenia vady Oprávnenou osobou </w:t>
      </w:r>
      <w:r w:rsidR="004B3480">
        <w:rPr>
          <w:rFonts w:ascii="Cambria" w:hAnsi="Cambria" w:cs="Arial"/>
          <w:sz w:val="20"/>
          <w:szCs w:val="20"/>
        </w:rPr>
        <w:t>o</w:t>
      </w:r>
      <w:r w:rsidRPr="006D39DD">
        <w:rPr>
          <w:rFonts w:ascii="Cambria" w:hAnsi="Cambria" w:cs="Arial"/>
          <w:sz w:val="20"/>
          <w:szCs w:val="20"/>
        </w:rPr>
        <w:t>bjednávateľa.</w:t>
      </w:r>
    </w:p>
    <w:p w14:paraId="2BFB9C38" w14:textId="77777777" w:rsidR="006D39DD" w:rsidRPr="006D39DD" w:rsidRDefault="006D39DD" w:rsidP="006D39DD">
      <w:pPr>
        <w:rPr>
          <w:rFonts w:ascii="Cambria" w:hAnsi="Cambria"/>
          <w:i/>
          <w:iCs/>
          <w:sz w:val="20"/>
        </w:rPr>
      </w:pPr>
    </w:p>
    <w:p w14:paraId="262FE875" w14:textId="77777777" w:rsidR="00356A76" w:rsidRPr="007E30F8" w:rsidRDefault="00356A76" w:rsidP="00356A76">
      <w:pPr>
        <w:pStyle w:val="BodyTextIndent3"/>
        <w:spacing w:before="60" w:after="20"/>
        <w:ind w:left="720" w:firstLine="0"/>
        <w:rPr>
          <w:rFonts w:ascii="Cambria" w:hAnsi="Cambria"/>
          <w:sz w:val="20"/>
          <w:highlight w:val="yellow"/>
        </w:rPr>
      </w:pP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75327C" w:rsidRPr="006645ED" w14:paraId="5774B0B9" w14:textId="77777777" w:rsidTr="00505859">
        <w:tc>
          <w:tcPr>
            <w:tcW w:w="1417" w:type="dxa"/>
            <w:shd w:val="clear" w:color="auto" w:fill="BFBFBF"/>
          </w:tcPr>
          <w:p w14:paraId="095C2F6B" w14:textId="42ABCF2C" w:rsidR="0075327C" w:rsidRPr="002421F3" w:rsidRDefault="001A6FA5" w:rsidP="00085A6E">
            <w:pPr>
              <w:spacing w:line="264" w:lineRule="auto"/>
              <w:jc w:val="center"/>
              <w:rPr>
                <w:rFonts w:ascii="Cambria" w:hAnsi="Cambria" w:cs="Arial"/>
                <w:b/>
                <w:sz w:val="20"/>
              </w:rPr>
            </w:pPr>
            <w:r w:rsidRPr="002421F3">
              <w:rPr>
                <w:rFonts w:ascii="Cambria" w:hAnsi="Cambria" w:cs="Arial"/>
                <w:b/>
                <w:sz w:val="20"/>
              </w:rPr>
              <w:t>Klasifikácia vady</w:t>
            </w:r>
          </w:p>
        </w:tc>
        <w:tc>
          <w:tcPr>
            <w:tcW w:w="3353" w:type="dxa"/>
            <w:shd w:val="clear" w:color="auto" w:fill="BFBFBF"/>
          </w:tcPr>
          <w:p w14:paraId="3093C994" w14:textId="2C696750" w:rsidR="0075327C" w:rsidRPr="002421F3" w:rsidRDefault="001A6FA5" w:rsidP="00085A6E">
            <w:pPr>
              <w:spacing w:line="264" w:lineRule="auto"/>
              <w:jc w:val="center"/>
              <w:rPr>
                <w:rFonts w:ascii="Cambria" w:hAnsi="Cambria" w:cs="Arial"/>
                <w:b/>
                <w:sz w:val="20"/>
              </w:rPr>
            </w:pPr>
            <w:r w:rsidRPr="002421F3">
              <w:rPr>
                <w:rFonts w:ascii="Cambria" w:hAnsi="Cambria" w:cs="Arial"/>
                <w:b/>
                <w:sz w:val="20"/>
              </w:rPr>
              <w:t>Typ doby</w:t>
            </w:r>
          </w:p>
        </w:tc>
        <w:tc>
          <w:tcPr>
            <w:tcW w:w="2898" w:type="dxa"/>
            <w:shd w:val="clear" w:color="auto" w:fill="BFBFBF"/>
          </w:tcPr>
          <w:p w14:paraId="30A904F7" w14:textId="6DBF9B67" w:rsidR="0075327C" w:rsidRPr="002421F3" w:rsidRDefault="0075327C" w:rsidP="00085A6E">
            <w:pPr>
              <w:spacing w:line="264" w:lineRule="auto"/>
              <w:jc w:val="center"/>
              <w:rPr>
                <w:rFonts w:ascii="Cambria" w:hAnsi="Cambria" w:cs="Arial"/>
                <w:b/>
                <w:sz w:val="20"/>
              </w:rPr>
            </w:pPr>
            <w:r w:rsidRPr="002421F3">
              <w:rPr>
                <w:rFonts w:ascii="Cambria" w:hAnsi="Cambria" w:cs="Arial"/>
                <w:b/>
                <w:sz w:val="20"/>
              </w:rPr>
              <w:t xml:space="preserve">Požadované </w:t>
            </w:r>
            <w:r w:rsidR="001A6FA5" w:rsidRPr="002421F3">
              <w:rPr>
                <w:rFonts w:ascii="Cambria" w:hAnsi="Cambria" w:cs="Arial"/>
                <w:b/>
                <w:sz w:val="20"/>
              </w:rPr>
              <w:t>lehoty</w:t>
            </w:r>
          </w:p>
          <w:p w14:paraId="5F30352C" w14:textId="77777777" w:rsidR="0075327C" w:rsidRPr="002421F3" w:rsidRDefault="0075327C" w:rsidP="00085A6E">
            <w:pPr>
              <w:spacing w:line="264" w:lineRule="auto"/>
              <w:jc w:val="center"/>
              <w:rPr>
                <w:rFonts w:ascii="Cambria" w:hAnsi="Cambria" w:cs="Arial"/>
                <w:b/>
                <w:sz w:val="20"/>
              </w:rPr>
            </w:pPr>
          </w:p>
        </w:tc>
      </w:tr>
      <w:tr w:rsidR="0075327C" w:rsidRPr="006645ED" w14:paraId="4CD5A3A1" w14:textId="77777777" w:rsidTr="00DB7E0C">
        <w:trPr>
          <w:trHeight w:val="420"/>
        </w:trPr>
        <w:tc>
          <w:tcPr>
            <w:tcW w:w="1417" w:type="dxa"/>
            <w:vMerge w:val="restart"/>
            <w:shd w:val="clear" w:color="auto" w:fill="auto"/>
            <w:vAlign w:val="center"/>
          </w:tcPr>
          <w:p w14:paraId="32AC9DF2" w14:textId="1A8BBC94" w:rsidR="0075327C" w:rsidRPr="002421F3" w:rsidRDefault="00B62239" w:rsidP="00505859">
            <w:pPr>
              <w:pStyle w:val="Heading1"/>
              <w:keepNext w:val="0"/>
              <w:autoSpaceDE w:val="0"/>
              <w:autoSpaceDN w:val="0"/>
              <w:adjustRightInd w:val="0"/>
              <w:jc w:val="center"/>
              <w:rPr>
                <w:rFonts w:ascii="Cambria" w:hAnsi="Cambria" w:cs="Arial"/>
                <w:sz w:val="20"/>
              </w:rPr>
            </w:pPr>
            <w:r w:rsidRPr="002421F3">
              <w:rPr>
                <w:rFonts w:ascii="Cambria" w:hAnsi="Cambria" w:cs="Arial"/>
                <w:sz w:val="20"/>
              </w:rPr>
              <w:t>Zásadná vada</w:t>
            </w:r>
            <w:r w:rsidR="0075327C" w:rsidRPr="002421F3">
              <w:rPr>
                <w:rFonts w:ascii="Cambria" w:hAnsi="Cambria" w:cs="Arial"/>
                <w:sz w:val="20"/>
              </w:rPr>
              <w:t xml:space="preserve"> (A)</w:t>
            </w:r>
          </w:p>
        </w:tc>
        <w:tc>
          <w:tcPr>
            <w:tcW w:w="3353" w:type="dxa"/>
            <w:shd w:val="clear" w:color="auto" w:fill="auto"/>
            <w:vAlign w:val="center"/>
          </w:tcPr>
          <w:p w14:paraId="2334269B" w14:textId="77777777" w:rsidR="0075327C" w:rsidRPr="002421F3" w:rsidRDefault="0075327C" w:rsidP="00505859">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Reakčná doba</w:t>
            </w:r>
          </w:p>
        </w:tc>
        <w:tc>
          <w:tcPr>
            <w:tcW w:w="2898" w:type="dxa"/>
            <w:shd w:val="clear" w:color="auto" w:fill="auto"/>
            <w:vAlign w:val="center"/>
          </w:tcPr>
          <w:p w14:paraId="22B9CC0C" w14:textId="41DCAC62" w:rsidR="0075327C" w:rsidRPr="002421F3" w:rsidRDefault="0076255C" w:rsidP="00505859">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4 pracovných hodín</w:t>
            </w:r>
          </w:p>
        </w:tc>
      </w:tr>
      <w:tr w:rsidR="0075327C" w:rsidRPr="006645ED" w14:paraId="738320C8" w14:textId="77777777" w:rsidTr="00DB7E0C">
        <w:trPr>
          <w:trHeight w:val="420"/>
        </w:trPr>
        <w:tc>
          <w:tcPr>
            <w:tcW w:w="1417" w:type="dxa"/>
            <w:vMerge/>
            <w:shd w:val="clear" w:color="auto" w:fill="auto"/>
            <w:vAlign w:val="center"/>
          </w:tcPr>
          <w:p w14:paraId="3AF324F7"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CDDEA87"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neutralizácie vady</w:t>
            </w:r>
          </w:p>
        </w:tc>
        <w:tc>
          <w:tcPr>
            <w:tcW w:w="2898" w:type="dxa"/>
            <w:shd w:val="clear" w:color="auto" w:fill="auto"/>
            <w:vAlign w:val="center"/>
          </w:tcPr>
          <w:p w14:paraId="087B0BDF" w14:textId="6FD7FBE3" w:rsidR="0075327C" w:rsidRPr="002421F3" w:rsidRDefault="0076255C" w:rsidP="00DB7E0C">
            <w:pPr>
              <w:pStyle w:val="Heading1"/>
              <w:keepNext w:val="0"/>
              <w:autoSpaceDE w:val="0"/>
              <w:autoSpaceDN w:val="0"/>
              <w:adjustRightInd w:val="0"/>
              <w:jc w:val="center"/>
              <w:rPr>
                <w:rFonts w:ascii="Cambria" w:hAnsi="Cambria" w:cs="Arial"/>
                <w:sz w:val="20"/>
              </w:rPr>
            </w:pPr>
            <w:r w:rsidRPr="002421F3">
              <w:rPr>
                <w:rFonts w:ascii="Cambria" w:hAnsi="Cambria" w:cs="Arial"/>
                <w:b w:val="0"/>
                <w:sz w:val="20"/>
              </w:rPr>
              <w:t>do 8 pracovných hodín</w:t>
            </w:r>
          </w:p>
        </w:tc>
      </w:tr>
      <w:tr w:rsidR="0075327C" w:rsidRPr="006645ED" w14:paraId="558E84C4" w14:textId="77777777" w:rsidTr="00DB7E0C">
        <w:trPr>
          <w:trHeight w:val="420"/>
        </w:trPr>
        <w:tc>
          <w:tcPr>
            <w:tcW w:w="1417" w:type="dxa"/>
            <w:vMerge/>
            <w:shd w:val="clear" w:color="auto" w:fill="auto"/>
            <w:vAlign w:val="center"/>
          </w:tcPr>
          <w:p w14:paraId="088D9065"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39E9305C" w14:textId="6E168122"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trvalého vyriešenia</w:t>
            </w:r>
          </w:p>
        </w:tc>
        <w:tc>
          <w:tcPr>
            <w:tcW w:w="2898" w:type="dxa"/>
            <w:shd w:val="clear" w:color="auto" w:fill="auto"/>
            <w:vAlign w:val="center"/>
          </w:tcPr>
          <w:p w14:paraId="41F0FFB4" w14:textId="127057E2" w:rsidR="0075327C" w:rsidRPr="002421F3" w:rsidRDefault="0076255C" w:rsidP="00DB7E0C">
            <w:pPr>
              <w:pStyle w:val="Heading1"/>
              <w:keepNext w:val="0"/>
              <w:autoSpaceDE w:val="0"/>
              <w:autoSpaceDN w:val="0"/>
              <w:adjustRightInd w:val="0"/>
              <w:jc w:val="center"/>
              <w:rPr>
                <w:rFonts w:ascii="Cambria" w:hAnsi="Cambria" w:cs="Arial"/>
                <w:sz w:val="20"/>
              </w:rPr>
            </w:pPr>
            <w:r w:rsidRPr="002421F3">
              <w:rPr>
                <w:rFonts w:ascii="Cambria" w:hAnsi="Cambria" w:cs="Arial"/>
                <w:b w:val="0"/>
                <w:sz w:val="20"/>
              </w:rPr>
              <w:t>do 2 pracovných dní</w:t>
            </w:r>
          </w:p>
        </w:tc>
      </w:tr>
      <w:tr w:rsidR="0075327C" w:rsidRPr="006645ED" w14:paraId="3DF7C774" w14:textId="77777777" w:rsidTr="00505859">
        <w:tc>
          <w:tcPr>
            <w:tcW w:w="1417" w:type="dxa"/>
            <w:shd w:val="clear" w:color="auto" w:fill="F2F2F2"/>
            <w:vAlign w:val="center"/>
          </w:tcPr>
          <w:p w14:paraId="57882E04"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1E5A2EFD"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04C96A18" w14:textId="77777777" w:rsidR="0075327C" w:rsidRPr="002421F3" w:rsidRDefault="0075327C" w:rsidP="00DB7E0C">
            <w:pPr>
              <w:pStyle w:val="Heading1"/>
              <w:keepNext w:val="0"/>
              <w:autoSpaceDE w:val="0"/>
              <w:autoSpaceDN w:val="0"/>
              <w:adjustRightInd w:val="0"/>
              <w:jc w:val="center"/>
              <w:rPr>
                <w:rFonts w:ascii="Cambria" w:hAnsi="Cambria" w:cs="Arial"/>
                <w:b w:val="0"/>
              </w:rPr>
            </w:pPr>
          </w:p>
        </w:tc>
      </w:tr>
      <w:tr w:rsidR="0075327C" w:rsidRPr="006645ED" w14:paraId="264E0C76" w14:textId="77777777" w:rsidTr="00DB7E0C">
        <w:trPr>
          <w:trHeight w:val="420"/>
        </w:trPr>
        <w:tc>
          <w:tcPr>
            <w:tcW w:w="1417" w:type="dxa"/>
            <w:vMerge w:val="restart"/>
            <w:shd w:val="clear" w:color="auto" w:fill="auto"/>
            <w:vAlign w:val="center"/>
          </w:tcPr>
          <w:p w14:paraId="65AB7179" w14:textId="1B3FA856" w:rsidR="0075327C" w:rsidRPr="002421F3" w:rsidRDefault="00085A6E" w:rsidP="00505859">
            <w:pPr>
              <w:pStyle w:val="Heading1"/>
              <w:keepNext w:val="0"/>
              <w:autoSpaceDE w:val="0"/>
              <w:autoSpaceDN w:val="0"/>
              <w:adjustRightInd w:val="0"/>
              <w:jc w:val="center"/>
              <w:rPr>
                <w:rFonts w:ascii="Cambria" w:hAnsi="Cambria" w:cs="Arial"/>
                <w:sz w:val="20"/>
              </w:rPr>
            </w:pPr>
            <w:r w:rsidRPr="002421F3">
              <w:rPr>
                <w:rFonts w:ascii="Cambria" w:hAnsi="Cambria" w:cs="Arial"/>
                <w:sz w:val="20"/>
              </w:rPr>
              <w:t>Závažná vada</w:t>
            </w:r>
            <w:r w:rsidR="0075327C" w:rsidRPr="002421F3">
              <w:rPr>
                <w:rFonts w:ascii="Cambria" w:hAnsi="Cambria" w:cs="Arial"/>
                <w:sz w:val="20"/>
              </w:rPr>
              <w:t xml:space="preserve"> (B)</w:t>
            </w:r>
          </w:p>
        </w:tc>
        <w:tc>
          <w:tcPr>
            <w:tcW w:w="3353" w:type="dxa"/>
            <w:shd w:val="clear" w:color="auto" w:fill="auto"/>
            <w:vAlign w:val="center"/>
          </w:tcPr>
          <w:p w14:paraId="7D2D21F8"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Reakčná doba</w:t>
            </w:r>
          </w:p>
        </w:tc>
        <w:tc>
          <w:tcPr>
            <w:tcW w:w="2898" w:type="dxa"/>
            <w:shd w:val="clear" w:color="auto" w:fill="auto"/>
            <w:vAlign w:val="center"/>
          </w:tcPr>
          <w:p w14:paraId="477D2054" w14:textId="212C69FB" w:rsidR="0075327C" w:rsidRPr="002421F3" w:rsidRDefault="0077043E"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4 pracovných hodín</w:t>
            </w:r>
          </w:p>
        </w:tc>
      </w:tr>
      <w:tr w:rsidR="0075327C" w:rsidRPr="006645ED" w14:paraId="36D886CE" w14:textId="77777777" w:rsidTr="00DB7E0C">
        <w:trPr>
          <w:trHeight w:val="420"/>
        </w:trPr>
        <w:tc>
          <w:tcPr>
            <w:tcW w:w="1417" w:type="dxa"/>
            <w:vMerge/>
            <w:shd w:val="clear" w:color="auto" w:fill="auto"/>
            <w:vAlign w:val="center"/>
          </w:tcPr>
          <w:p w14:paraId="1B40CB75"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1FCA1103" w14:textId="7064E2D2"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neutralizácie vady</w:t>
            </w:r>
          </w:p>
        </w:tc>
        <w:tc>
          <w:tcPr>
            <w:tcW w:w="2898" w:type="dxa"/>
            <w:shd w:val="clear" w:color="auto" w:fill="auto"/>
            <w:vAlign w:val="center"/>
          </w:tcPr>
          <w:p w14:paraId="25FB5AD6" w14:textId="7821B319" w:rsidR="0075327C" w:rsidRPr="002421F3" w:rsidRDefault="0077043E"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8 pracovných hodín</w:t>
            </w:r>
          </w:p>
        </w:tc>
      </w:tr>
      <w:tr w:rsidR="0075327C" w:rsidRPr="006645ED" w14:paraId="24B4282B" w14:textId="77777777" w:rsidTr="00DB7E0C">
        <w:trPr>
          <w:trHeight w:val="420"/>
        </w:trPr>
        <w:tc>
          <w:tcPr>
            <w:tcW w:w="1417" w:type="dxa"/>
            <w:vMerge/>
            <w:shd w:val="clear" w:color="auto" w:fill="auto"/>
            <w:vAlign w:val="center"/>
          </w:tcPr>
          <w:p w14:paraId="2BB8561E"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auto"/>
            <w:vAlign w:val="center"/>
          </w:tcPr>
          <w:p w14:paraId="59CC8919"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trvalého vyriešenia</w:t>
            </w:r>
          </w:p>
        </w:tc>
        <w:tc>
          <w:tcPr>
            <w:tcW w:w="2898" w:type="dxa"/>
            <w:shd w:val="clear" w:color="auto" w:fill="auto"/>
            <w:vAlign w:val="center"/>
          </w:tcPr>
          <w:p w14:paraId="16B479DF" w14:textId="38478AFF" w:rsidR="0075327C" w:rsidRPr="002421F3" w:rsidRDefault="0077043E"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5 pracovných dní</w:t>
            </w:r>
          </w:p>
        </w:tc>
      </w:tr>
      <w:tr w:rsidR="0075327C" w:rsidRPr="006645ED" w14:paraId="16B7B498" w14:textId="77777777" w:rsidTr="00505859">
        <w:tc>
          <w:tcPr>
            <w:tcW w:w="1417" w:type="dxa"/>
            <w:shd w:val="clear" w:color="auto" w:fill="F2F2F2"/>
            <w:vAlign w:val="center"/>
          </w:tcPr>
          <w:p w14:paraId="2E75D064" w14:textId="77777777" w:rsidR="0075327C" w:rsidRPr="002421F3" w:rsidRDefault="0075327C" w:rsidP="00505859">
            <w:pPr>
              <w:pStyle w:val="Heading1"/>
              <w:keepNext w:val="0"/>
              <w:autoSpaceDE w:val="0"/>
              <w:autoSpaceDN w:val="0"/>
              <w:adjustRightInd w:val="0"/>
              <w:jc w:val="center"/>
              <w:rPr>
                <w:rFonts w:ascii="Cambria" w:hAnsi="Cambria" w:cs="Arial"/>
                <w:sz w:val="20"/>
              </w:rPr>
            </w:pPr>
          </w:p>
        </w:tc>
        <w:tc>
          <w:tcPr>
            <w:tcW w:w="3353" w:type="dxa"/>
            <w:shd w:val="clear" w:color="auto" w:fill="F2F2F2"/>
            <w:vAlign w:val="center"/>
          </w:tcPr>
          <w:p w14:paraId="78C84CD7"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p>
        </w:tc>
        <w:tc>
          <w:tcPr>
            <w:tcW w:w="2898" w:type="dxa"/>
            <w:shd w:val="clear" w:color="auto" w:fill="F2F2F2"/>
            <w:vAlign w:val="center"/>
          </w:tcPr>
          <w:p w14:paraId="3738BD02"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p>
        </w:tc>
      </w:tr>
      <w:tr w:rsidR="0075327C" w:rsidRPr="006645ED" w14:paraId="21593E3E" w14:textId="77777777" w:rsidTr="00DB7E0C">
        <w:trPr>
          <w:trHeight w:val="420"/>
        </w:trPr>
        <w:tc>
          <w:tcPr>
            <w:tcW w:w="1417" w:type="dxa"/>
            <w:vMerge w:val="restart"/>
            <w:shd w:val="clear" w:color="auto" w:fill="auto"/>
            <w:vAlign w:val="center"/>
          </w:tcPr>
          <w:p w14:paraId="2097EDE8" w14:textId="26293F30" w:rsidR="0075327C" w:rsidRPr="002421F3" w:rsidRDefault="00085A6E" w:rsidP="00505859">
            <w:pPr>
              <w:pStyle w:val="Heading1"/>
              <w:keepNext w:val="0"/>
              <w:autoSpaceDE w:val="0"/>
              <w:autoSpaceDN w:val="0"/>
              <w:adjustRightInd w:val="0"/>
              <w:jc w:val="center"/>
              <w:rPr>
                <w:rFonts w:ascii="Cambria" w:hAnsi="Cambria" w:cs="Arial"/>
                <w:sz w:val="20"/>
              </w:rPr>
            </w:pPr>
            <w:r w:rsidRPr="002421F3">
              <w:rPr>
                <w:rFonts w:ascii="Cambria" w:hAnsi="Cambria" w:cs="Arial"/>
                <w:sz w:val="20"/>
              </w:rPr>
              <w:t>Nepodstatná vada</w:t>
            </w:r>
            <w:r w:rsidR="0075327C" w:rsidRPr="002421F3">
              <w:rPr>
                <w:rFonts w:ascii="Cambria" w:hAnsi="Cambria" w:cs="Arial"/>
                <w:sz w:val="20"/>
              </w:rPr>
              <w:t xml:space="preserve"> (C) </w:t>
            </w:r>
          </w:p>
        </w:tc>
        <w:tc>
          <w:tcPr>
            <w:tcW w:w="3353" w:type="dxa"/>
            <w:shd w:val="clear" w:color="auto" w:fill="auto"/>
            <w:vAlign w:val="center"/>
          </w:tcPr>
          <w:p w14:paraId="7F8EAA14"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Reakčná doba</w:t>
            </w:r>
          </w:p>
        </w:tc>
        <w:tc>
          <w:tcPr>
            <w:tcW w:w="2898" w:type="dxa"/>
            <w:shd w:val="clear" w:color="auto" w:fill="auto"/>
            <w:vAlign w:val="center"/>
          </w:tcPr>
          <w:p w14:paraId="1F1FC870" w14:textId="2CE19524" w:rsidR="0075327C" w:rsidRPr="002421F3" w:rsidRDefault="008C1112"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3 pracovných dní</w:t>
            </w:r>
          </w:p>
        </w:tc>
      </w:tr>
      <w:tr w:rsidR="0075327C" w:rsidRPr="006645ED" w14:paraId="448F5F45" w14:textId="77777777" w:rsidTr="00DB7E0C">
        <w:trPr>
          <w:trHeight w:val="420"/>
        </w:trPr>
        <w:tc>
          <w:tcPr>
            <w:tcW w:w="1417" w:type="dxa"/>
            <w:vMerge/>
            <w:shd w:val="clear" w:color="auto" w:fill="auto"/>
            <w:vAlign w:val="center"/>
          </w:tcPr>
          <w:p w14:paraId="77B583EC" w14:textId="77777777" w:rsidR="0075327C" w:rsidRPr="002421F3"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0992E5CE" w14:textId="695E7AA9"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neutralizácie vady</w:t>
            </w:r>
          </w:p>
        </w:tc>
        <w:tc>
          <w:tcPr>
            <w:tcW w:w="2898" w:type="dxa"/>
            <w:shd w:val="clear" w:color="auto" w:fill="auto"/>
            <w:vAlign w:val="center"/>
          </w:tcPr>
          <w:p w14:paraId="6386C70E" w14:textId="277F5AFF" w:rsidR="0075327C" w:rsidRPr="002421F3" w:rsidRDefault="002B2518"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 xml:space="preserve">do </w:t>
            </w:r>
            <w:r w:rsidR="008C1112" w:rsidRPr="002421F3">
              <w:rPr>
                <w:rFonts w:ascii="Cambria" w:hAnsi="Cambria" w:cs="Arial"/>
                <w:b w:val="0"/>
                <w:sz w:val="20"/>
              </w:rPr>
              <w:t>6 pracovných dní</w:t>
            </w:r>
          </w:p>
        </w:tc>
      </w:tr>
      <w:tr w:rsidR="0075327C" w:rsidRPr="006645ED" w14:paraId="2CE69777" w14:textId="77777777" w:rsidTr="00DB7E0C">
        <w:trPr>
          <w:trHeight w:val="417"/>
        </w:trPr>
        <w:tc>
          <w:tcPr>
            <w:tcW w:w="1417" w:type="dxa"/>
            <w:vMerge/>
            <w:shd w:val="clear" w:color="auto" w:fill="auto"/>
            <w:vAlign w:val="center"/>
          </w:tcPr>
          <w:p w14:paraId="4B46A538" w14:textId="77777777" w:rsidR="0075327C" w:rsidRPr="002421F3" w:rsidRDefault="0075327C" w:rsidP="00505859">
            <w:pPr>
              <w:pStyle w:val="Heading1"/>
              <w:keepNext w:val="0"/>
              <w:autoSpaceDE w:val="0"/>
              <w:autoSpaceDN w:val="0"/>
              <w:adjustRightInd w:val="0"/>
              <w:jc w:val="center"/>
              <w:rPr>
                <w:rFonts w:ascii="Cambria" w:hAnsi="Cambria" w:cs="Arial"/>
              </w:rPr>
            </w:pPr>
          </w:p>
        </w:tc>
        <w:tc>
          <w:tcPr>
            <w:tcW w:w="3353" w:type="dxa"/>
            <w:shd w:val="clear" w:color="auto" w:fill="auto"/>
            <w:vAlign w:val="center"/>
          </w:tcPr>
          <w:p w14:paraId="703D364C" w14:textId="77777777" w:rsidR="0075327C" w:rsidRPr="002421F3" w:rsidRDefault="0075327C"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Doba trvalého vyriešenia</w:t>
            </w:r>
          </w:p>
        </w:tc>
        <w:tc>
          <w:tcPr>
            <w:tcW w:w="2898" w:type="dxa"/>
            <w:shd w:val="clear" w:color="auto" w:fill="auto"/>
            <w:vAlign w:val="center"/>
          </w:tcPr>
          <w:p w14:paraId="77590375" w14:textId="073D7BDF" w:rsidR="0075327C" w:rsidRPr="002421F3" w:rsidRDefault="008C1112" w:rsidP="00DB7E0C">
            <w:pPr>
              <w:pStyle w:val="Heading1"/>
              <w:keepNext w:val="0"/>
              <w:autoSpaceDE w:val="0"/>
              <w:autoSpaceDN w:val="0"/>
              <w:adjustRightInd w:val="0"/>
              <w:jc w:val="center"/>
              <w:rPr>
                <w:rFonts w:ascii="Cambria" w:hAnsi="Cambria" w:cs="Arial"/>
                <w:b w:val="0"/>
                <w:sz w:val="20"/>
              </w:rPr>
            </w:pPr>
            <w:r w:rsidRPr="002421F3">
              <w:rPr>
                <w:rFonts w:ascii="Cambria" w:hAnsi="Cambria" w:cs="Arial"/>
                <w:b w:val="0"/>
                <w:sz w:val="20"/>
              </w:rPr>
              <w:t>do 10 pracovných dní</w:t>
            </w:r>
          </w:p>
        </w:tc>
      </w:tr>
    </w:tbl>
    <w:p w14:paraId="6767EB11" w14:textId="18B1E3E3" w:rsidR="00213C5E" w:rsidRDefault="00213C5E" w:rsidP="00213C5E">
      <w:pPr>
        <w:rPr>
          <w:rFonts w:eastAsia="Calibri"/>
        </w:rPr>
      </w:pPr>
    </w:p>
    <w:p w14:paraId="3432B416" w14:textId="77777777" w:rsidR="00493509" w:rsidRPr="008F1475" w:rsidRDefault="00493509" w:rsidP="00493509">
      <w:pPr>
        <w:pStyle w:val="BodyTextIndent"/>
        <w:spacing w:before="120"/>
        <w:ind w:left="540" w:firstLine="0"/>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D37BA" w14:textId="77777777" w:rsidR="00F000A0" w:rsidRDefault="00F000A0">
      <w:r>
        <w:separator/>
      </w:r>
    </w:p>
  </w:endnote>
  <w:endnote w:type="continuationSeparator" w:id="0">
    <w:p w14:paraId="5F4A47BE" w14:textId="77777777" w:rsidR="00F000A0" w:rsidRDefault="00F000A0">
      <w:r>
        <w:continuationSeparator/>
      </w:r>
    </w:p>
  </w:endnote>
  <w:endnote w:type="continuationNotice" w:id="1">
    <w:p w14:paraId="409A2519" w14:textId="77777777" w:rsidR="00F000A0" w:rsidRDefault="00F00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5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7B3DC" w14:textId="77777777" w:rsidR="00F000A0" w:rsidRDefault="00F000A0">
      <w:r>
        <w:separator/>
      </w:r>
    </w:p>
  </w:footnote>
  <w:footnote w:type="continuationSeparator" w:id="0">
    <w:p w14:paraId="292D89D2" w14:textId="77777777" w:rsidR="00F000A0" w:rsidRDefault="00F000A0">
      <w:r>
        <w:continuationSeparator/>
      </w:r>
    </w:p>
  </w:footnote>
  <w:footnote w:type="continuationNotice" w:id="1">
    <w:p w14:paraId="352AF208" w14:textId="77777777" w:rsidR="00F000A0" w:rsidRDefault="00F000A0"/>
  </w:footnote>
  <w:footnote w:id="2">
    <w:p w14:paraId="1618CB43" w14:textId="77777777" w:rsidR="00D42B04" w:rsidRDefault="00D42B04" w:rsidP="00D42B04">
      <w:pPr>
        <w:pStyle w:val="FootnoteText"/>
      </w:pPr>
      <w:r>
        <w:rPr>
          <w:rStyle w:val="FootnoteReference"/>
        </w:rPr>
        <w:footnoteRef/>
      </w:r>
      <w:r>
        <w:t xml:space="preserve"> </w:t>
      </w:r>
      <w:r w:rsidRPr="00BE1B8F">
        <w:t>Daniel Linstedt, Michael Olschimke</w:t>
      </w:r>
      <w:r>
        <w:t xml:space="preserve"> (2015). </w:t>
      </w:r>
      <w:r w:rsidRPr="0025244B">
        <w:t>Building a Scalable Data Warehouse with Data Vault 2.0</w:t>
      </w:r>
      <w:r>
        <w:t xml:space="preserve">. </w:t>
      </w:r>
      <w:r w:rsidRPr="008D4342">
        <w:t>Morgan Kaufmann</w:t>
      </w:r>
      <w:r>
        <w:t xml:space="preserve">. ISBN: </w:t>
      </w:r>
      <w:r w:rsidRPr="00382059">
        <w:t>978-0</w:t>
      </w:r>
      <w:r>
        <w:t>-</w:t>
      </w:r>
      <w:r w:rsidRPr="00382059">
        <w:t>12</w:t>
      </w:r>
      <w:r>
        <w:t>-</w:t>
      </w:r>
      <w:r w:rsidRPr="00382059">
        <w:t>802510</w:t>
      </w:r>
      <w:r>
        <w:t>-</w:t>
      </w:r>
      <w:r w:rsidRPr="00382059">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02E9CB20" w:rsidR="00C50805" w:rsidRPr="00E74AC4" w:rsidRDefault="00380C33" w:rsidP="00380C33">
    <w:pPr>
      <w:pStyle w:val="BodyTextIndent"/>
      <w:tabs>
        <w:tab w:val="left" w:pos="5812"/>
      </w:tabs>
      <w:ind w:left="4111" w:right="-2" w:hanging="1757"/>
      <w:rPr>
        <w:rFonts w:ascii="Cambria" w:hAnsi="Cambria" w:cs="Arial"/>
        <w:color w:val="FF0000"/>
        <w:sz w:val="18"/>
        <w:szCs w:val="18"/>
      </w:rPr>
    </w:pPr>
    <w:r>
      <w:rPr>
        <w:rFonts w:ascii="Cambria" w:hAnsi="Cambria" w:cs="Arial"/>
        <w:sz w:val="18"/>
        <w:szCs w:val="18"/>
      </w:rPr>
      <w:tab/>
    </w:r>
    <w:r w:rsidR="00C50805" w:rsidRPr="00E74AC4">
      <w:rPr>
        <w:rFonts w:ascii="Cambria" w:hAnsi="Cambria" w:cs="Arial"/>
        <w:sz w:val="18"/>
        <w:szCs w:val="18"/>
      </w:rPr>
      <w:t xml:space="preserve">Zmluva o dielo č. </w:t>
    </w:r>
    <w:r w:rsidR="00202B1D" w:rsidRPr="00202B1D">
      <w:rPr>
        <w:rFonts w:ascii="Cambria" w:hAnsi="Cambria" w:cs="Arial"/>
        <w:sz w:val="18"/>
        <w:szCs w:val="18"/>
      </w:rPr>
      <w:t>C-NBS1-000-073-444</w:t>
    </w:r>
    <w:r w:rsidR="00D731E3">
      <w:rPr>
        <w:rFonts w:ascii="Cambria" w:hAnsi="Cambria" w:cs="Arial"/>
        <w:sz w:val="18"/>
        <w:szCs w:val="18"/>
      </w:rPr>
      <w:t xml:space="preserve"> na IS DWH </w:t>
    </w:r>
    <w:r w:rsidR="004E004E">
      <w:rPr>
        <w:rFonts w:ascii="Arial" w:hAnsi="Arial" w:cs="Arial"/>
        <w:color w:val="202122"/>
        <w:sz w:val="21"/>
        <w:szCs w:val="21"/>
        <w:shd w:val="clear" w:color="auto" w:fill="FFFFFF"/>
      </w:rPr>
      <w:t xml:space="preserve">– </w:t>
    </w:r>
    <w:r w:rsidR="00D731E3">
      <w:rPr>
        <w:rFonts w:ascii="Cambria" w:hAnsi="Cambria" w:cs="Arial"/>
        <w:sz w:val="18"/>
        <w:szCs w:val="18"/>
      </w:rPr>
      <w:t>Dátový sklad</w:t>
    </w:r>
  </w:p>
  <w:p w14:paraId="5399E2FE" w14:textId="1C3F6676" w:rsidR="00C50805" w:rsidRPr="00E74AC4" w:rsidRDefault="00C50805">
    <w:pPr>
      <w:pStyle w:val="Header"/>
      <w:rPr>
        <w:rFonts w:ascii="Arial" w:hAnsi="Arial" w:cs="Arial"/>
        <w:sz w:val="16"/>
        <w:szCs w:val="16"/>
      </w:rPr>
    </w:pPr>
    <w:r>
      <w:rPr>
        <w:rFonts w:ascii="Arial" w:hAnsi="Arial" w:cs="Arial"/>
        <w:noProof/>
        <w:sz w:val="16"/>
        <w:szCs w:val="16"/>
        <w:lang w:eastAsia="sk-SK"/>
      </w:rPr>
      <mc:AlternateContent>
        <mc:Choice Requires="wps">
          <w:drawing>
            <wp:anchor distT="0" distB="0" distL="114300" distR="114300" simplePos="0" relativeHeight="251658240" behindDoc="0" locked="0" layoutInCell="1" allowOverlap="1" wp14:anchorId="3EFDC05F" wp14:editId="3A62C101">
              <wp:simplePos x="0" y="0"/>
              <wp:positionH relativeFrom="column">
                <wp:posOffset>0</wp:posOffset>
              </wp:positionH>
              <wp:positionV relativeFrom="paragraph">
                <wp:posOffset>51435</wp:posOffset>
              </wp:positionV>
              <wp:extent cx="5829300" cy="0"/>
              <wp:effectExtent l="5080" t="10795" r="1397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5C58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5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853F5"/>
    <w:multiLevelType w:val="hybridMultilevel"/>
    <w:tmpl w:val="47CCAF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B32B4E"/>
    <w:multiLevelType w:val="hybridMultilevel"/>
    <w:tmpl w:val="751637B6"/>
    <w:lvl w:ilvl="0" w:tplc="041B0003">
      <w:start w:val="1"/>
      <w:numFmt w:val="bullet"/>
      <w:lvlText w:val="o"/>
      <w:lvlJc w:val="left"/>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Tahoma" w:hAnsi="Tahoma" w:hint="default"/>
      </w:rPr>
    </w:lvl>
    <w:lvl w:ilvl="3" w:tplc="041B0001">
      <w:start w:val="1"/>
      <w:numFmt w:val="bullet"/>
      <w:lvlText w:val=""/>
      <w:lvlJc w:val="left"/>
      <w:pPr>
        <w:ind w:left="2520" w:hanging="360"/>
      </w:pPr>
      <w:rPr>
        <w:rFonts w:ascii="ArialMT" w:hAnsi="ArialMT" w:hint="default"/>
      </w:rPr>
    </w:lvl>
    <w:lvl w:ilvl="4" w:tplc="041B0003">
      <w:start w:val="1"/>
      <w:numFmt w:val="bullet"/>
      <w:lvlText w:val="o"/>
      <w:lvlJc w:val="left"/>
      <w:pPr>
        <w:ind w:left="3240" w:hanging="360"/>
      </w:pPr>
      <w:rPr>
        <w:rFonts w:ascii="Wingdings" w:hAnsi="Wingdings" w:cs="Wingdings" w:hint="default"/>
      </w:rPr>
    </w:lvl>
    <w:lvl w:ilvl="5" w:tplc="041B0005">
      <w:start w:val="1"/>
      <w:numFmt w:val="bullet"/>
      <w:lvlText w:val=""/>
      <w:lvlJc w:val="left"/>
      <w:pPr>
        <w:ind w:left="3960" w:hanging="360"/>
      </w:pPr>
      <w:rPr>
        <w:rFonts w:ascii="Tahoma" w:hAnsi="Tahoma" w:hint="default"/>
      </w:rPr>
    </w:lvl>
    <w:lvl w:ilvl="6" w:tplc="041B0001">
      <w:start w:val="1"/>
      <w:numFmt w:val="bullet"/>
      <w:lvlText w:val=""/>
      <w:lvlJc w:val="left"/>
      <w:pPr>
        <w:ind w:left="4680" w:hanging="360"/>
      </w:pPr>
      <w:rPr>
        <w:rFonts w:ascii="ArialMT" w:hAnsi="ArialMT" w:hint="default"/>
      </w:rPr>
    </w:lvl>
    <w:lvl w:ilvl="7" w:tplc="041B0003">
      <w:start w:val="1"/>
      <w:numFmt w:val="bullet"/>
      <w:lvlText w:val="o"/>
      <w:lvlJc w:val="left"/>
      <w:pPr>
        <w:ind w:left="5400" w:hanging="360"/>
      </w:pPr>
      <w:rPr>
        <w:rFonts w:ascii="Wingdings" w:hAnsi="Wingdings" w:cs="Wingdings" w:hint="default"/>
      </w:rPr>
    </w:lvl>
    <w:lvl w:ilvl="8" w:tplc="041B0005">
      <w:start w:val="1"/>
      <w:numFmt w:val="bullet"/>
      <w:lvlText w:val=""/>
      <w:lvlJc w:val="left"/>
      <w:pPr>
        <w:ind w:left="6120" w:hanging="360"/>
      </w:pPr>
      <w:rPr>
        <w:rFonts w:ascii="Tahoma" w:hAnsi="Tahoma" w:hint="default"/>
      </w:rPr>
    </w:lvl>
  </w:abstractNum>
  <w:abstractNum w:abstractNumId="6"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7EC0765"/>
    <w:multiLevelType w:val="hybridMultilevel"/>
    <w:tmpl w:val="C16009A8"/>
    <w:lvl w:ilvl="0" w:tplc="041B0001">
      <w:start w:val="1"/>
      <w:numFmt w:val="bullet"/>
      <w:lvlText w:val=""/>
      <w:lvlJc w:val="left"/>
      <w:rPr>
        <w:rFonts w:ascii="Symbol" w:hAnsi="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8"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DF7F3C"/>
    <w:multiLevelType w:val="hybridMultilevel"/>
    <w:tmpl w:val="01D0F0F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510DBB"/>
    <w:multiLevelType w:val="hybridMultilevel"/>
    <w:tmpl w:val="886863EC"/>
    <w:lvl w:ilvl="0" w:tplc="FFFFFFFF">
      <w:start w:val="1"/>
      <w:numFmt w:val="bullet"/>
      <w:lvlText w:val=""/>
      <w:lvlJc w:val="left"/>
      <w:pPr>
        <w:ind w:left="1068" w:hanging="708"/>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2"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C9F600E"/>
    <w:multiLevelType w:val="hybridMultilevel"/>
    <w:tmpl w:val="A3F09D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CC5008B"/>
    <w:multiLevelType w:val="hybridMultilevel"/>
    <w:tmpl w:val="0D223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DB57873"/>
    <w:multiLevelType w:val="hybridMultilevel"/>
    <w:tmpl w:val="6DEED276"/>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6" w15:restartNumberingAfterBreak="0">
    <w:nsid w:val="0E811A77"/>
    <w:multiLevelType w:val="hybridMultilevel"/>
    <w:tmpl w:val="15BE9906"/>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E8F3A50"/>
    <w:multiLevelType w:val="hybridMultilevel"/>
    <w:tmpl w:val="8BC8DA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11EB139B"/>
    <w:multiLevelType w:val="hybridMultilevel"/>
    <w:tmpl w:val="99722F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1EE7A79"/>
    <w:multiLevelType w:val="hybridMultilevel"/>
    <w:tmpl w:val="904067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125E4BBB"/>
    <w:multiLevelType w:val="hybridMultilevel"/>
    <w:tmpl w:val="376A3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24"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58709D4"/>
    <w:multiLevelType w:val="hybridMultilevel"/>
    <w:tmpl w:val="887440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8A2281"/>
    <w:multiLevelType w:val="hybridMultilevel"/>
    <w:tmpl w:val="1DD02B86"/>
    <w:lvl w:ilvl="0" w:tplc="F8624FE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BC87F0E"/>
    <w:multiLevelType w:val="hybridMultilevel"/>
    <w:tmpl w:val="1E32B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30" w15:restartNumberingAfterBreak="0">
    <w:nsid w:val="1F997AC1"/>
    <w:multiLevelType w:val="hybridMultilevel"/>
    <w:tmpl w:val="05A26F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04B0DC9"/>
    <w:multiLevelType w:val="hybridMultilevel"/>
    <w:tmpl w:val="FDA64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0F80B2A"/>
    <w:multiLevelType w:val="hybridMultilevel"/>
    <w:tmpl w:val="D6B42E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2AD0DDD"/>
    <w:multiLevelType w:val="hybridMultilevel"/>
    <w:tmpl w:val="FBCED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4580DDF"/>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37" w15:restartNumberingAfterBreak="0">
    <w:nsid w:val="25904916"/>
    <w:multiLevelType w:val="hybridMultilevel"/>
    <w:tmpl w:val="242AD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7CA1763"/>
    <w:multiLevelType w:val="hybridMultilevel"/>
    <w:tmpl w:val="D65ADD5C"/>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39" w15:restartNumberingAfterBreak="0">
    <w:nsid w:val="286A2BDE"/>
    <w:multiLevelType w:val="hybridMultilevel"/>
    <w:tmpl w:val="50BC913E"/>
    <w:lvl w:ilvl="0" w:tplc="041B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Wingdings" w:hAnsi="Wingdings" w:cs="Wingdings" w:hint="default"/>
      </w:rPr>
    </w:lvl>
    <w:lvl w:ilvl="2" w:tplc="FFFFFFFF">
      <w:start w:val="1"/>
      <w:numFmt w:val="bullet"/>
      <w:lvlText w:val=""/>
      <w:lvlJc w:val="left"/>
      <w:pPr>
        <w:ind w:left="2880" w:hanging="360"/>
      </w:pPr>
      <w:rPr>
        <w:rFonts w:ascii="Tahoma" w:hAnsi="Tahoma" w:hint="default"/>
      </w:rPr>
    </w:lvl>
    <w:lvl w:ilvl="3" w:tplc="FFFFFFFF">
      <w:start w:val="1"/>
      <w:numFmt w:val="bullet"/>
      <w:lvlText w:val=""/>
      <w:lvlJc w:val="left"/>
      <w:pPr>
        <w:ind w:left="3600" w:hanging="360"/>
      </w:pPr>
      <w:rPr>
        <w:rFonts w:ascii="ArialMT" w:hAnsi="ArialMT" w:hint="default"/>
      </w:rPr>
    </w:lvl>
    <w:lvl w:ilvl="4" w:tplc="FFFFFFFF">
      <w:start w:val="1"/>
      <w:numFmt w:val="bullet"/>
      <w:lvlText w:val="o"/>
      <w:lvlJc w:val="left"/>
      <w:pPr>
        <w:ind w:left="4320" w:hanging="360"/>
      </w:pPr>
      <w:rPr>
        <w:rFonts w:ascii="Wingdings" w:hAnsi="Wingdings" w:cs="Wingdings" w:hint="default"/>
      </w:rPr>
    </w:lvl>
    <w:lvl w:ilvl="5" w:tplc="FFFFFFFF">
      <w:start w:val="1"/>
      <w:numFmt w:val="bullet"/>
      <w:lvlText w:val=""/>
      <w:lvlJc w:val="left"/>
      <w:pPr>
        <w:ind w:left="5040" w:hanging="360"/>
      </w:pPr>
      <w:rPr>
        <w:rFonts w:ascii="Tahoma" w:hAnsi="Tahoma" w:hint="default"/>
      </w:rPr>
    </w:lvl>
    <w:lvl w:ilvl="6" w:tplc="FFFFFFFF">
      <w:start w:val="1"/>
      <w:numFmt w:val="bullet"/>
      <w:lvlText w:val=""/>
      <w:lvlJc w:val="left"/>
      <w:pPr>
        <w:ind w:left="5760" w:hanging="360"/>
      </w:pPr>
      <w:rPr>
        <w:rFonts w:ascii="ArialMT" w:hAnsi="ArialMT" w:hint="default"/>
      </w:rPr>
    </w:lvl>
    <w:lvl w:ilvl="7" w:tplc="FFFFFFFF">
      <w:start w:val="1"/>
      <w:numFmt w:val="bullet"/>
      <w:lvlText w:val="o"/>
      <w:lvlJc w:val="left"/>
      <w:pPr>
        <w:ind w:left="6480" w:hanging="360"/>
      </w:pPr>
      <w:rPr>
        <w:rFonts w:ascii="Wingdings" w:hAnsi="Wingdings" w:cs="Wingdings" w:hint="default"/>
      </w:rPr>
    </w:lvl>
    <w:lvl w:ilvl="8" w:tplc="FFFFFFFF">
      <w:start w:val="1"/>
      <w:numFmt w:val="bullet"/>
      <w:lvlText w:val=""/>
      <w:lvlJc w:val="left"/>
      <w:pPr>
        <w:ind w:left="7200" w:hanging="360"/>
      </w:pPr>
      <w:rPr>
        <w:rFonts w:ascii="Tahoma" w:hAnsi="Tahoma" w:hint="default"/>
      </w:rPr>
    </w:lvl>
  </w:abstractNum>
  <w:abstractNum w:abstractNumId="4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41" w15:restartNumberingAfterBreak="0">
    <w:nsid w:val="2A3D27D2"/>
    <w:multiLevelType w:val="hybridMultilevel"/>
    <w:tmpl w:val="C51C759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43" w15:restartNumberingAfterBreak="0">
    <w:nsid w:val="2CC65BC4"/>
    <w:multiLevelType w:val="hybridMultilevel"/>
    <w:tmpl w:val="95CC16C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44"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33087"/>
    <w:multiLevelType w:val="hybridMultilevel"/>
    <w:tmpl w:val="D06425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013176F"/>
    <w:multiLevelType w:val="hybridMultilevel"/>
    <w:tmpl w:val="894E001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Wingdings" w:hAnsi="Wingdings" w:cs="Wingdings" w:hint="default"/>
      </w:rPr>
    </w:lvl>
    <w:lvl w:ilvl="2" w:tplc="FFFFFFFF">
      <w:start w:val="1"/>
      <w:numFmt w:val="bullet"/>
      <w:lvlText w:val=""/>
      <w:lvlJc w:val="left"/>
      <w:pPr>
        <w:ind w:left="2160" w:hanging="360"/>
      </w:pPr>
      <w:rPr>
        <w:rFonts w:ascii="Tahoma" w:hAnsi="Tahoma" w:hint="default"/>
      </w:rPr>
    </w:lvl>
    <w:lvl w:ilvl="3" w:tplc="FFFFFFFF">
      <w:start w:val="1"/>
      <w:numFmt w:val="bullet"/>
      <w:lvlText w:val=""/>
      <w:lvlJc w:val="left"/>
      <w:pPr>
        <w:ind w:left="2880" w:hanging="360"/>
      </w:pPr>
      <w:rPr>
        <w:rFonts w:ascii="ArialMT" w:hAnsi="ArialMT" w:hint="default"/>
      </w:rPr>
    </w:lvl>
    <w:lvl w:ilvl="4" w:tplc="FFFFFFFF">
      <w:start w:val="1"/>
      <w:numFmt w:val="bullet"/>
      <w:lvlText w:val="o"/>
      <w:lvlJc w:val="left"/>
      <w:pPr>
        <w:ind w:left="3600" w:hanging="360"/>
      </w:pPr>
      <w:rPr>
        <w:rFonts w:ascii="Wingdings" w:hAnsi="Wingdings" w:cs="Wingdings" w:hint="default"/>
      </w:rPr>
    </w:lvl>
    <w:lvl w:ilvl="5" w:tplc="FFFFFFFF">
      <w:start w:val="1"/>
      <w:numFmt w:val="bullet"/>
      <w:lvlText w:val=""/>
      <w:lvlJc w:val="left"/>
      <w:pPr>
        <w:ind w:left="4320" w:hanging="360"/>
      </w:pPr>
      <w:rPr>
        <w:rFonts w:ascii="Tahoma" w:hAnsi="Tahoma" w:hint="default"/>
      </w:rPr>
    </w:lvl>
    <w:lvl w:ilvl="6" w:tplc="FFFFFFFF">
      <w:start w:val="1"/>
      <w:numFmt w:val="bullet"/>
      <w:lvlText w:val=""/>
      <w:lvlJc w:val="left"/>
      <w:pPr>
        <w:ind w:left="5040" w:hanging="360"/>
      </w:pPr>
      <w:rPr>
        <w:rFonts w:ascii="ArialMT" w:hAnsi="ArialMT" w:hint="default"/>
      </w:rPr>
    </w:lvl>
    <w:lvl w:ilvl="7" w:tplc="FFFFFFFF">
      <w:start w:val="1"/>
      <w:numFmt w:val="bullet"/>
      <w:lvlText w:val="o"/>
      <w:lvlJc w:val="left"/>
      <w:pPr>
        <w:ind w:left="5760" w:hanging="360"/>
      </w:pPr>
      <w:rPr>
        <w:rFonts w:ascii="Wingdings" w:hAnsi="Wingdings" w:cs="Wingdings" w:hint="default"/>
      </w:rPr>
    </w:lvl>
    <w:lvl w:ilvl="8" w:tplc="FFFFFFFF">
      <w:start w:val="1"/>
      <w:numFmt w:val="bullet"/>
      <w:lvlText w:val=""/>
      <w:lvlJc w:val="left"/>
      <w:pPr>
        <w:ind w:left="6480" w:hanging="360"/>
      </w:pPr>
      <w:rPr>
        <w:rFonts w:ascii="Tahoma" w:hAnsi="Tahoma" w:hint="default"/>
      </w:rPr>
    </w:lvl>
  </w:abstractNum>
  <w:abstractNum w:abstractNumId="47" w15:restartNumberingAfterBreak="0">
    <w:nsid w:val="30501B1D"/>
    <w:multiLevelType w:val="hybridMultilevel"/>
    <w:tmpl w:val="CE96ED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43A4F0E"/>
    <w:multiLevelType w:val="hybridMultilevel"/>
    <w:tmpl w:val="2F565C32"/>
    <w:lvl w:ilvl="0" w:tplc="041B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9" w15:restartNumberingAfterBreak="0">
    <w:nsid w:val="38152F42"/>
    <w:multiLevelType w:val="hybridMultilevel"/>
    <w:tmpl w:val="84AC38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A39664F"/>
    <w:multiLevelType w:val="hybridMultilevel"/>
    <w:tmpl w:val="3EACCD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A6C133C"/>
    <w:multiLevelType w:val="hybridMultilevel"/>
    <w:tmpl w:val="1520EA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C7D4C6B"/>
    <w:multiLevelType w:val="hybridMultilevel"/>
    <w:tmpl w:val="F350F4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CBD5E6A"/>
    <w:multiLevelType w:val="hybridMultilevel"/>
    <w:tmpl w:val="B4FC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7" w15:restartNumberingAfterBreak="0">
    <w:nsid w:val="3E806D86"/>
    <w:multiLevelType w:val="hybridMultilevel"/>
    <w:tmpl w:val="D730C44C"/>
    <w:lvl w:ilvl="0" w:tplc="041B0001">
      <w:start w:val="1"/>
      <w:numFmt w:val="bullet"/>
      <w:lvlText w:val=""/>
      <w:lvlJc w:val="left"/>
      <w:pPr>
        <w:ind w:left="766" w:hanging="360"/>
      </w:pPr>
      <w:rPr>
        <w:rFonts w:ascii="Symbol" w:hAnsi="Symbol" w:hint="default"/>
      </w:rPr>
    </w:lvl>
    <w:lvl w:ilvl="1" w:tplc="041B0003">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58"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59"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61" w15:restartNumberingAfterBreak="0">
    <w:nsid w:val="44123A23"/>
    <w:multiLevelType w:val="hybridMultilevel"/>
    <w:tmpl w:val="2B8AB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4CA3D5C"/>
    <w:multiLevelType w:val="hybridMultilevel"/>
    <w:tmpl w:val="405A10FA"/>
    <w:lvl w:ilvl="0" w:tplc="041B000F">
      <w:start w:val="1"/>
      <w:numFmt w:val="decimal"/>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63" w15:restartNumberingAfterBreak="0">
    <w:nsid w:val="44EA0CA3"/>
    <w:multiLevelType w:val="hybridMultilevel"/>
    <w:tmpl w:val="C3D0B36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5F804B7"/>
    <w:multiLevelType w:val="hybridMultilevel"/>
    <w:tmpl w:val="1714C25A"/>
    <w:lvl w:ilvl="0" w:tplc="041B0001">
      <w:start w:val="1"/>
      <w:numFmt w:val="bullet"/>
      <w:lvlText w:val=""/>
      <w:lvlJc w:val="left"/>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6A31033"/>
    <w:multiLevelType w:val="hybridMultilevel"/>
    <w:tmpl w:val="4ABCA4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3154F6"/>
    <w:multiLevelType w:val="hybridMultilevel"/>
    <w:tmpl w:val="67242D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7C80202"/>
    <w:multiLevelType w:val="hybridMultilevel"/>
    <w:tmpl w:val="618460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84C432E"/>
    <w:multiLevelType w:val="hybridMultilevel"/>
    <w:tmpl w:val="19CCFE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B1F334B"/>
    <w:multiLevelType w:val="hybridMultilevel"/>
    <w:tmpl w:val="06B23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F31A2E"/>
    <w:multiLevelType w:val="hybridMultilevel"/>
    <w:tmpl w:val="02D4E0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DF45F9A"/>
    <w:multiLevelType w:val="hybridMultilevel"/>
    <w:tmpl w:val="B78AD226"/>
    <w:lvl w:ilvl="0" w:tplc="9A261B52">
      <w:start w:val="1"/>
      <w:numFmt w:val="bullet"/>
      <w:lvlText w:val=""/>
      <w:lvlJc w:val="left"/>
      <w:pPr>
        <w:ind w:left="720" w:hanging="360"/>
      </w:pPr>
      <w:rPr>
        <w:rFonts w:ascii="Symbol" w:hAnsi="Symbol" w:hint="default"/>
      </w:rPr>
    </w:lvl>
    <w:lvl w:ilvl="1" w:tplc="A044D550">
      <w:start w:val="1"/>
      <w:numFmt w:val="bullet"/>
      <w:lvlText w:val="o"/>
      <w:lvlJc w:val="left"/>
      <w:pPr>
        <w:ind w:left="1440" w:hanging="360"/>
      </w:pPr>
      <w:rPr>
        <w:rFonts w:ascii="Courier New" w:hAnsi="Courier New" w:hint="default"/>
      </w:rPr>
    </w:lvl>
    <w:lvl w:ilvl="2" w:tplc="07964DF6">
      <w:start w:val="1"/>
      <w:numFmt w:val="bullet"/>
      <w:lvlText w:val=""/>
      <w:lvlJc w:val="left"/>
      <w:pPr>
        <w:ind w:left="2160" w:hanging="360"/>
      </w:pPr>
      <w:rPr>
        <w:rFonts w:ascii="Wingdings" w:hAnsi="Wingdings" w:hint="default"/>
      </w:rPr>
    </w:lvl>
    <w:lvl w:ilvl="3" w:tplc="43B03E06">
      <w:start w:val="1"/>
      <w:numFmt w:val="bullet"/>
      <w:lvlText w:val=""/>
      <w:lvlJc w:val="left"/>
      <w:pPr>
        <w:ind w:left="2880" w:hanging="360"/>
      </w:pPr>
      <w:rPr>
        <w:rFonts w:ascii="Symbol" w:hAnsi="Symbol" w:hint="default"/>
      </w:rPr>
    </w:lvl>
    <w:lvl w:ilvl="4" w:tplc="CEDC5F82">
      <w:start w:val="1"/>
      <w:numFmt w:val="bullet"/>
      <w:lvlText w:val="o"/>
      <w:lvlJc w:val="left"/>
      <w:pPr>
        <w:ind w:left="3600" w:hanging="360"/>
      </w:pPr>
      <w:rPr>
        <w:rFonts w:ascii="Courier New" w:hAnsi="Courier New" w:hint="default"/>
      </w:rPr>
    </w:lvl>
    <w:lvl w:ilvl="5" w:tplc="796A3FBE">
      <w:start w:val="1"/>
      <w:numFmt w:val="bullet"/>
      <w:lvlText w:val=""/>
      <w:lvlJc w:val="left"/>
      <w:pPr>
        <w:ind w:left="4320" w:hanging="360"/>
      </w:pPr>
      <w:rPr>
        <w:rFonts w:ascii="Wingdings" w:hAnsi="Wingdings" w:hint="default"/>
      </w:rPr>
    </w:lvl>
    <w:lvl w:ilvl="6" w:tplc="E9120FAC">
      <w:start w:val="1"/>
      <w:numFmt w:val="bullet"/>
      <w:lvlText w:val=""/>
      <w:lvlJc w:val="left"/>
      <w:pPr>
        <w:ind w:left="5040" w:hanging="360"/>
      </w:pPr>
      <w:rPr>
        <w:rFonts w:ascii="Symbol" w:hAnsi="Symbol" w:hint="default"/>
      </w:rPr>
    </w:lvl>
    <w:lvl w:ilvl="7" w:tplc="92F078A2">
      <w:start w:val="1"/>
      <w:numFmt w:val="bullet"/>
      <w:lvlText w:val="o"/>
      <w:lvlJc w:val="left"/>
      <w:pPr>
        <w:ind w:left="5760" w:hanging="360"/>
      </w:pPr>
      <w:rPr>
        <w:rFonts w:ascii="Courier New" w:hAnsi="Courier New" w:hint="default"/>
      </w:rPr>
    </w:lvl>
    <w:lvl w:ilvl="8" w:tplc="62BEAA04">
      <w:start w:val="1"/>
      <w:numFmt w:val="bullet"/>
      <w:lvlText w:val=""/>
      <w:lvlJc w:val="left"/>
      <w:pPr>
        <w:ind w:left="6480" w:hanging="360"/>
      </w:pPr>
      <w:rPr>
        <w:rFonts w:ascii="Wingdings" w:hAnsi="Wingdings" w:hint="default"/>
      </w:rPr>
    </w:lvl>
  </w:abstractNum>
  <w:abstractNum w:abstractNumId="72"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74"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FE96515"/>
    <w:multiLevelType w:val="hybridMultilevel"/>
    <w:tmpl w:val="35463A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7" w15:restartNumberingAfterBreak="0">
    <w:nsid w:val="527A4C6C"/>
    <w:multiLevelType w:val="hybridMultilevel"/>
    <w:tmpl w:val="452C0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5822592"/>
    <w:multiLevelType w:val="hybridMultilevel"/>
    <w:tmpl w:val="F2D811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74C4140"/>
    <w:multiLevelType w:val="hybridMultilevel"/>
    <w:tmpl w:val="0534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82"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3"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93B624F"/>
    <w:multiLevelType w:val="hybridMultilevel"/>
    <w:tmpl w:val="5EEE511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A355F9F"/>
    <w:multiLevelType w:val="hybridMultilevel"/>
    <w:tmpl w:val="43687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BA87C1A"/>
    <w:multiLevelType w:val="hybridMultilevel"/>
    <w:tmpl w:val="A20A04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5C144617"/>
    <w:multiLevelType w:val="hybridMultilevel"/>
    <w:tmpl w:val="D5329B0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C62549C"/>
    <w:multiLevelType w:val="hybridMultilevel"/>
    <w:tmpl w:val="FFFFFFFF"/>
    <w:lvl w:ilvl="0" w:tplc="487641B0">
      <w:start w:val="1"/>
      <w:numFmt w:val="bullet"/>
      <w:lvlText w:val=""/>
      <w:lvlJc w:val="left"/>
      <w:pPr>
        <w:ind w:left="720" w:hanging="360"/>
      </w:pPr>
      <w:rPr>
        <w:rFonts w:ascii="Symbol" w:hAnsi="Symbol" w:hint="default"/>
      </w:rPr>
    </w:lvl>
    <w:lvl w:ilvl="1" w:tplc="6E764532">
      <w:start w:val="1"/>
      <w:numFmt w:val="bullet"/>
      <w:lvlText w:val="o"/>
      <w:lvlJc w:val="left"/>
      <w:pPr>
        <w:ind w:left="1440" w:hanging="360"/>
      </w:pPr>
      <w:rPr>
        <w:rFonts w:ascii="Courier New" w:hAnsi="Courier New" w:hint="default"/>
      </w:rPr>
    </w:lvl>
    <w:lvl w:ilvl="2" w:tplc="EFAC29C4">
      <w:start w:val="1"/>
      <w:numFmt w:val="bullet"/>
      <w:lvlText w:val=""/>
      <w:lvlJc w:val="left"/>
      <w:pPr>
        <w:ind w:left="2160" w:hanging="360"/>
      </w:pPr>
      <w:rPr>
        <w:rFonts w:ascii="Wingdings" w:hAnsi="Wingdings" w:hint="default"/>
      </w:rPr>
    </w:lvl>
    <w:lvl w:ilvl="3" w:tplc="BDEE00B8">
      <w:start w:val="1"/>
      <w:numFmt w:val="bullet"/>
      <w:lvlText w:val=""/>
      <w:lvlJc w:val="left"/>
      <w:pPr>
        <w:ind w:left="2880" w:hanging="360"/>
      </w:pPr>
      <w:rPr>
        <w:rFonts w:ascii="Symbol" w:hAnsi="Symbol" w:hint="default"/>
      </w:rPr>
    </w:lvl>
    <w:lvl w:ilvl="4" w:tplc="D994AAA2">
      <w:start w:val="1"/>
      <w:numFmt w:val="bullet"/>
      <w:lvlText w:val="o"/>
      <w:lvlJc w:val="left"/>
      <w:pPr>
        <w:ind w:left="3600" w:hanging="360"/>
      </w:pPr>
      <w:rPr>
        <w:rFonts w:ascii="Courier New" w:hAnsi="Courier New" w:hint="default"/>
      </w:rPr>
    </w:lvl>
    <w:lvl w:ilvl="5" w:tplc="BE42A548">
      <w:start w:val="1"/>
      <w:numFmt w:val="bullet"/>
      <w:lvlText w:val=""/>
      <w:lvlJc w:val="left"/>
      <w:pPr>
        <w:ind w:left="4320" w:hanging="360"/>
      </w:pPr>
      <w:rPr>
        <w:rFonts w:ascii="Wingdings" w:hAnsi="Wingdings" w:hint="default"/>
      </w:rPr>
    </w:lvl>
    <w:lvl w:ilvl="6" w:tplc="6610148E">
      <w:start w:val="1"/>
      <w:numFmt w:val="bullet"/>
      <w:lvlText w:val=""/>
      <w:lvlJc w:val="left"/>
      <w:pPr>
        <w:ind w:left="5040" w:hanging="360"/>
      </w:pPr>
      <w:rPr>
        <w:rFonts w:ascii="Symbol" w:hAnsi="Symbol" w:hint="default"/>
      </w:rPr>
    </w:lvl>
    <w:lvl w:ilvl="7" w:tplc="F052047C">
      <w:start w:val="1"/>
      <w:numFmt w:val="bullet"/>
      <w:lvlText w:val="o"/>
      <w:lvlJc w:val="left"/>
      <w:pPr>
        <w:ind w:left="5760" w:hanging="360"/>
      </w:pPr>
      <w:rPr>
        <w:rFonts w:ascii="Courier New" w:hAnsi="Courier New" w:hint="default"/>
      </w:rPr>
    </w:lvl>
    <w:lvl w:ilvl="8" w:tplc="783402AE">
      <w:start w:val="1"/>
      <w:numFmt w:val="bullet"/>
      <w:lvlText w:val=""/>
      <w:lvlJc w:val="left"/>
      <w:pPr>
        <w:ind w:left="6480" w:hanging="360"/>
      </w:pPr>
      <w:rPr>
        <w:rFonts w:ascii="Wingdings" w:hAnsi="Wingdings" w:hint="default"/>
      </w:rPr>
    </w:lvl>
  </w:abstractNum>
  <w:abstractNum w:abstractNumId="90"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2" w15:restartNumberingAfterBreak="0">
    <w:nsid w:val="62065497"/>
    <w:multiLevelType w:val="hybridMultilevel"/>
    <w:tmpl w:val="D090B31A"/>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93" w15:restartNumberingAfterBreak="0">
    <w:nsid w:val="630746CA"/>
    <w:multiLevelType w:val="hybridMultilevel"/>
    <w:tmpl w:val="0BAAFB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5" w15:restartNumberingAfterBreak="0">
    <w:nsid w:val="658F7DC4"/>
    <w:multiLevelType w:val="hybridMultilevel"/>
    <w:tmpl w:val="41F248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5BF101F"/>
    <w:multiLevelType w:val="hybridMultilevel"/>
    <w:tmpl w:val="4AB222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5DC01B2"/>
    <w:multiLevelType w:val="hybridMultilevel"/>
    <w:tmpl w:val="D3AAD000"/>
    <w:lvl w:ilvl="0" w:tplc="041B0001">
      <w:start w:val="1"/>
      <w:numFmt w:val="bullet"/>
      <w:lvlText w:val=""/>
      <w:lvlJc w:val="left"/>
      <w:pPr>
        <w:ind w:left="720" w:hanging="360"/>
      </w:pPr>
      <w:rPr>
        <w:rFonts w:ascii="Symbol" w:hAnsi="Symbol" w:hint="default"/>
      </w:rPr>
    </w:lvl>
    <w:lvl w:ilvl="1" w:tplc="4526436E">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614511F"/>
    <w:multiLevelType w:val="hybridMultilevel"/>
    <w:tmpl w:val="AAD2C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66B62AAB"/>
    <w:multiLevelType w:val="hybridMultilevel"/>
    <w:tmpl w:val="3D228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6C726B4"/>
    <w:multiLevelType w:val="hybridMultilevel"/>
    <w:tmpl w:val="F6FE0912"/>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3" w15:restartNumberingAfterBreak="0">
    <w:nsid w:val="68827E7B"/>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A093128"/>
    <w:multiLevelType w:val="hybridMultilevel"/>
    <w:tmpl w:val="EF9008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7" w15:restartNumberingAfterBreak="0">
    <w:nsid w:val="6E3F3A8E"/>
    <w:multiLevelType w:val="hybridMultilevel"/>
    <w:tmpl w:val="320EBE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F33542B"/>
    <w:multiLevelType w:val="hybridMultilevel"/>
    <w:tmpl w:val="93A0E2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D63DFD"/>
    <w:multiLevelType w:val="hybridMultilevel"/>
    <w:tmpl w:val="B128ECE6"/>
    <w:lvl w:ilvl="0" w:tplc="BD585726">
      <w:start w:val="1"/>
      <w:numFmt w:val="bullet"/>
      <w:lvlText w:val=""/>
      <w:lvlJc w:val="left"/>
      <w:pPr>
        <w:ind w:left="720" w:hanging="360"/>
      </w:pPr>
      <w:rPr>
        <w:rFonts w:ascii="Symbol" w:hAnsi="Symbol" w:hint="default"/>
      </w:rPr>
    </w:lvl>
    <w:lvl w:ilvl="1" w:tplc="A00C5634">
      <w:start w:val="1"/>
      <w:numFmt w:val="bullet"/>
      <w:lvlText w:val="o"/>
      <w:lvlJc w:val="left"/>
      <w:pPr>
        <w:ind w:left="1440" w:hanging="360"/>
      </w:pPr>
      <w:rPr>
        <w:rFonts w:ascii="Courier New" w:hAnsi="Courier New" w:hint="default"/>
      </w:rPr>
    </w:lvl>
    <w:lvl w:ilvl="2" w:tplc="8110E134">
      <w:start w:val="1"/>
      <w:numFmt w:val="bullet"/>
      <w:lvlText w:val=""/>
      <w:lvlJc w:val="left"/>
      <w:pPr>
        <w:ind w:left="2160" w:hanging="360"/>
      </w:pPr>
      <w:rPr>
        <w:rFonts w:ascii="Wingdings" w:hAnsi="Wingdings" w:hint="default"/>
      </w:rPr>
    </w:lvl>
    <w:lvl w:ilvl="3" w:tplc="3C864CDC">
      <w:start w:val="1"/>
      <w:numFmt w:val="bullet"/>
      <w:lvlText w:val=""/>
      <w:lvlJc w:val="left"/>
      <w:pPr>
        <w:ind w:left="2880" w:hanging="360"/>
      </w:pPr>
      <w:rPr>
        <w:rFonts w:ascii="Symbol" w:hAnsi="Symbol" w:hint="default"/>
      </w:rPr>
    </w:lvl>
    <w:lvl w:ilvl="4" w:tplc="1AAA4516">
      <w:start w:val="1"/>
      <w:numFmt w:val="bullet"/>
      <w:lvlText w:val="o"/>
      <w:lvlJc w:val="left"/>
      <w:pPr>
        <w:ind w:left="3600" w:hanging="360"/>
      </w:pPr>
      <w:rPr>
        <w:rFonts w:ascii="Courier New" w:hAnsi="Courier New" w:hint="default"/>
      </w:rPr>
    </w:lvl>
    <w:lvl w:ilvl="5" w:tplc="CA747556">
      <w:start w:val="1"/>
      <w:numFmt w:val="bullet"/>
      <w:lvlText w:val=""/>
      <w:lvlJc w:val="left"/>
      <w:pPr>
        <w:ind w:left="4320" w:hanging="360"/>
      </w:pPr>
      <w:rPr>
        <w:rFonts w:ascii="Wingdings" w:hAnsi="Wingdings" w:hint="default"/>
      </w:rPr>
    </w:lvl>
    <w:lvl w:ilvl="6" w:tplc="D8F0EC0E">
      <w:start w:val="1"/>
      <w:numFmt w:val="bullet"/>
      <w:lvlText w:val=""/>
      <w:lvlJc w:val="left"/>
      <w:pPr>
        <w:ind w:left="5040" w:hanging="360"/>
      </w:pPr>
      <w:rPr>
        <w:rFonts w:ascii="Symbol" w:hAnsi="Symbol" w:hint="default"/>
      </w:rPr>
    </w:lvl>
    <w:lvl w:ilvl="7" w:tplc="7C100872">
      <w:start w:val="1"/>
      <w:numFmt w:val="bullet"/>
      <w:lvlText w:val="o"/>
      <w:lvlJc w:val="left"/>
      <w:pPr>
        <w:ind w:left="5760" w:hanging="360"/>
      </w:pPr>
      <w:rPr>
        <w:rFonts w:ascii="Courier New" w:hAnsi="Courier New" w:hint="default"/>
      </w:rPr>
    </w:lvl>
    <w:lvl w:ilvl="8" w:tplc="8118E304">
      <w:start w:val="1"/>
      <w:numFmt w:val="bullet"/>
      <w:lvlText w:val=""/>
      <w:lvlJc w:val="left"/>
      <w:pPr>
        <w:ind w:left="6480" w:hanging="360"/>
      </w:pPr>
      <w:rPr>
        <w:rFonts w:ascii="Wingdings" w:hAnsi="Wingdings" w:hint="default"/>
      </w:rPr>
    </w:lvl>
  </w:abstractNum>
  <w:abstractNum w:abstractNumId="110"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2" w15:restartNumberingAfterBreak="0">
    <w:nsid w:val="7309787D"/>
    <w:multiLevelType w:val="hybridMultilevel"/>
    <w:tmpl w:val="484E2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82228C"/>
    <w:multiLevelType w:val="hybridMultilevel"/>
    <w:tmpl w:val="FFFFFFFF"/>
    <w:lvl w:ilvl="0" w:tplc="1B4C9E6C">
      <w:start w:val="1"/>
      <w:numFmt w:val="bullet"/>
      <w:lvlText w:val=""/>
      <w:lvlJc w:val="left"/>
      <w:pPr>
        <w:ind w:left="720" w:hanging="360"/>
      </w:pPr>
      <w:rPr>
        <w:rFonts w:ascii="Symbol" w:hAnsi="Symbol" w:hint="default"/>
      </w:rPr>
    </w:lvl>
    <w:lvl w:ilvl="1" w:tplc="36E8C66C">
      <w:start w:val="1"/>
      <w:numFmt w:val="bullet"/>
      <w:lvlText w:val="o"/>
      <w:lvlJc w:val="left"/>
      <w:pPr>
        <w:ind w:left="1440" w:hanging="360"/>
      </w:pPr>
      <w:rPr>
        <w:rFonts w:ascii="Courier New" w:hAnsi="Courier New" w:hint="default"/>
      </w:rPr>
    </w:lvl>
    <w:lvl w:ilvl="2" w:tplc="A78ACCDA">
      <w:start w:val="1"/>
      <w:numFmt w:val="bullet"/>
      <w:lvlText w:val=""/>
      <w:lvlJc w:val="left"/>
      <w:pPr>
        <w:ind w:left="2160" w:hanging="360"/>
      </w:pPr>
      <w:rPr>
        <w:rFonts w:ascii="Wingdings" w:hAnsi="Wingdings" w:hint="default"/>
      </w:rPr>
    </w:lvl>
    <w:lvl w:ilvl="3" w:tplc="461C3066">
      <w:start w:val="1"/>
      <w:numFmt w:val="bullet"/>
      <w:lvlText w:val=""/>
      <w:lvlJc w:val="left"/>
      <w:pPr>
        <w:ind w:left="2880" w:hanging="360"/>
      </w:pPr>
      <w:rPr>
        <w:rFonts w:ascii="Symbol" w:hAnsi="Symbol" w:hint="default"/>
      </w:rPr>
    </w:lvl>
    <w:lvl w:ilvl="4" w:tplc="1A0C964A">
      <w:start w:val="1"/>
      <w:numFmt w:val="bullet"/>
      <w:lvlText w:val="o"/>
      <w:lvlJc w:val="left"/>
      <w:pPr>
        <w:ind w:left="3600" w:hanging="360"/>
      </w:pPr>
      <w:rPr>
        <w:rFonts w:ascii="Courier New" w:hAnsi="Courier New" w:hint="default"/>
      </w:rPr>
    </w:lvl>
    <w:lvl w:ilvl="5" w:tplc="22405E34">
      <w:start w:val="1"/>
      <w:numFmt w:val="bullet"/>
      <w:lvlText w:val=""/>
      <w:lvlJc w:val="left"/>
      <w:pPr>
        <w:ind w:left="4320" w:hanging="360"/>
      </w:pPr>
      <w:rPr>
        <w:rFonts w:ascii="Wingdings" w:hAnsi="Wingdings" w:hint="default"/>
      </w:rPr>
    </w:lvl>
    <w:lvl w:ilvl="6" w:tplc="616492CA">
      <w:start w:val="1"/>
      <w:numFmt w:val="bullet"/>
      <w:lvlText w:val=""/>
      <w:lvlJc w:val="left"/>
      <w:pPr>
        <w:ind w:left="5040" w:hanging="360"/>
      </w:pPr>
      <w:rPr>
        <w:rFonts w:ascii="Symbol" w:hAnsi="Symbol" w:hint="default"/>
      </w:rPr>
    </w:lvl>
    <w:lvl w:ilvl="7" w:tplc="F8BCDD62">
      <w:start w:val="1"/>
      <w:numFmt w:val="bullet"/>
      <w:lvlText w:val="o"/>
      <w:lvlJc w:val="left"/>
      <w:pPr>
        <w:ind w:left="5760" w:hanging="360"/>
      </w:pPr>
      <w:rPr>
        <w:rFonts w:ascii="Courier New" w:hAnsi="Courier New" w:hint="default"/>
      </w:rPr>
    </w:lvl>
    <w:lvl w:ilvl="8" w:tplc="B532C9C6">
      <w:start w:val="1"/>
      <w:numFmt w:val="bullet"/>
      <w:lvlText w:val=""/>
      <w:lvlJc w:val="left"/>
      <w:pPr>
        <w:ind w:left="6480" w:hanging="360"/>
      </w:pPr>
      <w:rPr>
        <w:rFonts w:ascii="Wingdings" w:hAnsi="Wingdings" w:hint="default"/>
      </w:rPr>
    </w:lvl>
  </w:abstractNum>
  <w:abstractNum w:abstractNumId="114" w15:restartNumberingAfterBreak="0">
    <w:nsid w:val="740D612F"/>
    <w:multiLevelType w:val="hybridMultilevel"/>
    <w:tmpl w:val="386CE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4A94872"/>
    <w:multiLevelType w:val="hybridMultilevel"/>
    <w:tmpl w:val="F2483F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53242F1"/>
    <w:multiLevelType w:val="hybridMultilevel"/>
    <w:tmpl w:val="9FEEF5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8" w15:restartNumberingAfterBreak="0">
    <w:nsid w:val="772E6323"/>
    <w:multiLevelType w:val="hybridMultilevel"/>
    <w:tmpl w:val="0D7CD4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77C62FC2"/>
    <w:multiLevelType w:val="hybridMultilevel"/>
    <w:tmpl w:val="BB821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22" w15:restartNumberingAfterBreak="0">
    <w:nsid w:val="7B0417C5"/>
    <w:multiLevelType w:val="hybridMultilevel"/>
    <w:tmpl w:val="449208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BA23646"/>
    <w:multiLevelType w:val="hybridMultilevel"/>
    <w:tmpl w:val="A7D649F6"/>
    <w:lvl w:ilvl="0" w:tplc="041B000F">
      <w:start w:val="1"/>
      <w:numFmt w:val="decimal"/>
      <w:lvlText w:val="%1."/>
      <w:lvlJc w:val="left"/>
      <w:pPr>
        <w:ind w:left="720" w:hanging="360"/>
      </w:pPr>
    </w:lvl>
    <w:lvl w:ilvl="1" w:tplc="C6125450">
      <w:numFmt w:val="bullet"/>
      <w:lvlText w:val="•"/>
      <w:lvlJc w:val="left"/>
      <w:pPr>
        <w:ind w:left="1785" w:hanging="705"/>
      </w:pPr>
      <w:rPr>
        <w:rFonts w:ascii="Calibri" w:eastAsiaTheme="minorHAns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CE0722B"/>
    <w:multiLevelType w:val="multilevel"/>
    <w:tmpl w:val="D23A87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57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5" w15:restartNumberingAfterBreak="0">
    <w:nsid w:val="7CFC2399"/>
    <w:multiLevelType w:val="hybridMultilevel"/>
    <w:tmpl w:val="A4D60EDC"/>
    <w:lvl w:ilvl="0" w:tplc="6F30FEFE">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73"/>
  </w:num>
  <w:num w:numId="3">
    <w:abstractNumId w:val="29"/>
  </w:num>
  <w:num w:numId="4">
    <w:abstractNumId w:val="12"/>
  </w:num>
  <w:num w:numId="5">
    <w:abstractNumId w:val="53"/>
  </w:num>
  <w:num w:numId="6">
    <w:abstractNumId w:val="28"/>
  </w:num>
  <w:num w:numId="7">
    <w:abstractNumId w:val="82"/>
  </w:num>
  <w:num w:numId="8">
    <w:abstractNumId w:val="81"/>
  </w:num>
  <w:num w:numId="9">
    <w:abstractNumId w:val="42"/>
    <w:lvlOverride w:ilvl="0">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0"/>
  </w:num>
  <w:num w:numId="13">
    <w:abstractNumId w:val="44"/>
  </w:num>
  <w:num w:numId="14">
    <w:abstractNumId w:val="94"/>
  </w:num>
  <w:num w:numId="15">
    <w:abstractNumId w:val="56"/>
  </w:num>
  <w:num w:numId="16">
    <w:abstractNumId w:val="3"/>
  </w:num>
  <w:num w:numId="17">
    <w:abstractNumId w:val="102"/>
  </w:num>
  <w:num w:numId="18">
    <w:abstractNumId w:val="74"/>
  </w:num>
  <w:num w:numId="19">
    <w:abstractNumId w:val="86"/>
  </w:num>
  <w:num w:numId="20">
    <w:abstractNumId w:val="72"/>
  </w:num>
  <w:num w:numId="21">
    <w:abstractNumId w:val="91"/>
  </w:num>
  <w:num w:numId="22">
    <w:abstractNumId w:val="90"/>
  </w:num>
  <w:num w:numId="23">
    <w:abstractNumId w:val="11"/>
  </w:num>
  <w:num w:numId="24">
    <w:abstractNumId w:val="60"/>
  </w:num>
  <w:num w:numId="25">
    <w:abstractNumId w:val="38"/>
  </w:num>
  <w:num w:numId="26">
    <w:abstractNumId w:val="83"/>
  </w:num>
  <w:num w:numId="27">
    <w:abstractNumId w:val="106"/>
  </w:num>
  <w:num w:numId="28">
    <w:abstractNumId w:val="33"/>
  </w:num>
  <w:num w:numId="29">
    <w:abstractNumId w:val="1"/>
  </w:num>
  <w:num w:numId="30">
    <w:abstractNumId w:val="8"/>
  </w:num>
  <w:num w:numId="31">
    <w:abstractNumId w:val="35"/>
  </w:num>
  <w:num w:numId="32">
    <w:abstractNumId w:val="119"/>
  </w:num>
  <w:num w:numId="33">
    <w:abstractNumId w:val="24"/>
  </w:num>
  <w:num w:numId="34">
    <w:abstractNumId w:val="105"/>
  </w:num>
  <w:num w:numId="35">
    <w:abstractNumId w:val="115"/>
  </w:num>
  <w:num w:numId="36">
    <w:abstractNumId w:val="45"/>
  </w:num>
  <w:num w:numId="37">
    <w:abstractNumId w:val="49"/>
  </w:num>
  <w:num w:numId="38">
    <w:abstractNumId w:val="2"/>
  </w:num>
  <w:num w:numId="39">
    <w:abstractNumId w:val="112"/>
  </w:num>
  <w:num w:numId="40">
    <w:abstractNumId w:val="10"/>
  </w:num>
  <w:num w:numId="41">
    <w:abstractNumId w:val="23"/>
  </w:num>
  <w:num w:numId="42">
    <w:abstractNumId w:val="30"/>
  </w:num>
  <w:num w:numId="43">
    <w:abstractNumId w:val="64"/>
  </w:num>
  <w:num w:numId="44">
    <w:abstractNumId w:val="5"/>
  </w:num>
  <w:num w:numId="45">
    <w:abstractNumId w:val="88"/>
  </w:num>
  <w:num w:numId="46">
    <w:abstractNumId w:val="48"/>
  </w:num>
  <w:num w:numId="47">
    <w:abstractNumId w:val="63"/>
  </w:num>
  <w:num w:numId="48">
    <w:abstractNumId w:val="68"/>
  </w:num>
  <w:num w:numId="49">
    <w:abstractNumId w:val="7"/>
  </w:num>
  <w:num w:numId="50">
    <w:abstractNumId w:val="113"/>
  </w:num>
  <w:num w:numId="51">
    <w:abstractNumId w:val="89"/>
  </w:num>
  <w:num w:numId="52">
    <w:abstractNumId w:val="9"/>
  </w:num>
  <w:num w:numId="53">
    <w:abstractNumId w:val="41"/>
  </w:num>
  <w:num w:numId="54">
    <w:abstractNumId w:val="125"/>
  </w:num>
  <w:num w:numId="55">
    <w:abstractNumId w:val="85"/>
  </w:num>
  <w:num w:numId="56">
    <w:abstractNumId w:val="46"/>
  </w:num>
  <w:num w:numId="57">
    <w:abstractNumId w:val="32"/>
  </w:num>
  <w:num w:numId="58">
    <w:abstractNumId w:val="62"/>
  </w:num>
  <w:num w:numId="59">
    <w:abstractNumId w:val="54"/>
  </w:num>
  <w:num w:numId="60">
    <w:abstractNumId w:val="39"/>
  </w:num>
  <w:num w:numId="61">
    <w:abstractNumId w:val="20"/>
  </w:num>
  <w:num w:numId="62">
    <w:abstractNumId w:val="80"/>
  </w:num>
  <w:num w:numId="63">
    <w:abstractNumId w:val="17"/>
  </w:num>
  <w:num w:numId="64">
    <w:abstractNumId w:val="16"/>
  </w:num>
  <w:num w:numId="65">
    <w:abstractNumId w:val="101"/>
  </w:num>
  <w:num w:numId="66">
    <w:abstractNumId w:val="15"/>
  </w:num>
  <w:num w:numId="67">
    <w:abstractNumId w:val="104"/>
  </w:num>
  <w:num w:numId="68">
    <w:abstractNumId w:val="50"/>
  </w:num>
  <w:num w:numId="69">
    <w:abstractNumId w:val="84"/>
  </w:num>
  <w:num w:numId="70">
    <w:abstractNumId w:val="43"/>
  </w:num>
  <w:num w:numId="71">
    <w:abstractNumId w:val="123"/>
  </w:num>
  <w:num w:numId="72">
    <w:abstractNumId w:val="69"/>
  </w:num>
  <w:num w:numId="73">
    <w:abstractNumId w:val="87"/>
  </w:num>
  <w:num w:numId="74">
    <w:abstractNumId w:val="51"/>
  </w:num>
  <w:num w:numId="75">
    <w:abstractNumId w:val="100"/>
  </w:num>
  <w:num w:numId="76">
    <w:abstractNumId w:val="114"/>
  </w:num>
  <w:num w:numId="77">
    <w:abstractNumId w:val="55"/>
  </w:num>
  <w:num w:numId="78">
    <w:abstractNumId w:val="98"/>
  </w:num>
  <w:num w:numId="79">
    <w:abstractNumId w:val="26"/>
  </w:num>
  <w:num w:numId="80">
    <w:abstractNumId w:val="47"/>
  </w:num>
  <w:num w:numId="81">
    <w:abstractNumId w:val="67"/>
  </w:num>
  <w:num w:numId="82">
    <w:abstractNumId w:val="25"/>
  </w:num>
  <w:num w:numId="83">
    <w:abstractNumId w:val="109"/>
  </w:num>
  <w:num w:numId="84">
    <w:abstractNumId w:val="71"/>
  </w:num>
  <w:num w:numId="85">
    <w:abstractNumId w:val="78"/>
  </w:num>
  <w:num w:numId="86">
    <w:abstractNumId w:val="22"/>
  </w:num>
  <w:num w:numId="87">
    <w:abstractNumId w:val="92"/>
  </w:num>
  <w:num w:numId="88">
    <w:abstractNumId w:val="96"/>
  </w:num>
  <w:num w:numId="89">
    <w:abstractNumId w:val="122"/>
  </w:num>
  <w:num w:numId="90">
    <w:abstractNumId w:val="120"/>
  </w:num>
  <w:num w:numId="91">
    <w:abstractNumId w:val="61"/>
  </w:num>
  <w:num w:numId="92">
    <w:abstractNumId w:val="31"/>
  </w:num>
  <w:num w:numId="93">
    <w:abstractNumId w:val="116"/>
  </w:num>
  <w:num w:numId="94">
    <w:abstractNumId w:val="27"/>
  </w:num>
  <w:num w:numId="95">
    <w:abstractNumId w:val="66"/>
  </w:num>
  <w:num w:numId="96">
    <w:abstractNumId w:val="118"/>
  </w:num>
  <w:num w:numId="97">
    <w:abstractNumId w:val="52"/>
  </w:num>
  <w:num w:numId="98">
    <w:abstractNumId w:val="4"/>
  </w:num>
  <w:num w:numId="99">
    <w:abstractNumId w:val="93"/>
  </w:num>
  <w:num w:numId="100">
    <w:abstractNumId w:val="14"/>
  </w:num>
  <w:num w:numId="101">
    <w:abstractNumId w:val="103"/>
  </w:num>
  <w:num w:numId="102">
    <w:abstractNumId w:val="13"/>
  </w:num>
  <w:num w:numId="103">
    <w:abstractNumId w:val="57"/>
  </w:num>
  <w:num w:numId="104">
    <w:abstractNumId w:val="97"/>
  </w:num>
  <w:num w:numId="105">
    <w:abstractNumId w:val="95"/>
  </w:num>
  <w:num w:numId="106">
    <w:abstractNumId w:val="34"/>
  </w:num>
  <w:num w:numId="107">
    <w:abstractNumId w:val="77"/>
  </w:num>
  <w:num w:numId="108">
    <w:abstractNumId w:val="37"/>
  </w:num>
  <w:num w:numId="109">
    <w:abstractNumId w:val="19"/>
  </w:num>
  <w:num w:numId="110">
    <w:abstractNumId w:val="99"/>
  </w:num>
  <w:num w:numId="111">
    <w:abstractNumId w:val="70"/>
  </w:num>
  <w:num w:numId="112">
    <w:abstractNumId w:val="65"/>
  </w:num>
  <w:num w:numId="113">
    <w:abstractNumId w:val="107"/>
  </w:num>
  <w:num w:numId="114">
    <w:abstractNumId w:val="108"/>
  </w:num>
  <w:num w:numId="115">
    <w:abstractNumId w:val="40"/>
  </w:num>
  <w:num w:numId="116">
    <w:abstractNumId w:val="124"/>
  </w:num>
  <w:num w:numId="117">
    <w:abstractNumId w:val="75"/>
  </w:num>
  <w:num w:numId="118">
    <w:abstractNumId w:val="121"/>
  </w:num>
  <w:num w:numId="119">
    <w:abstractNumId w:val="79"/>
  </w:num>
  <w:num w:numId="120">
    <w:abstractNumId w:val="36"/>
  </w:num>
  <w:num w:numId="121">
    <w:abstractNumId w:val="117"/>
  </w:num>
  <w:num w:numId="122">
    <w:abstractNumId w:val="5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B6D"/>
    <w:rsid w:val="00001C17"/>
    <w:rsid w:val="000020C6"/>
    <w:rsid w:val="000031DD"/>
    <w:rsid w:val="00003AF8"/>
    <w:rsid w:val="00003BDD"/>
    <w:rsid w:val="0000549E"/>
    <w:rsid w:val="00005FD0"/>
    <w:rsid w:val="00006251"/>
    <w:rsid w:val="00006312"/>
    <w:rsid w:val="000066B6"/>
    <w:rsid w:val="000072D9"/>
    <w:rsid w:val="000075DF"/>
    <w:rsid w:val="0000787A"/>
    <w:rsid w:val="00010992"/>
    <w:rsid w:val="00011D1F"/>
    <w:rsid w:val="00011E95"/>
    <w:rsid w:val="0001202A"/>
    <w:rsid w:val="00012ABF"/>
    <w:rsid w:val="00012FE2"/>
    <w:rsid w:val="00013722"/>
    <w:rsid w:val="00013ED0"/>
    <w:rsid w:val="00014974"/>
    <w:rsid w:val="00015277"/>
    <w:rsid w:val="000152C5"/>
    <w:rsid w:val="000160AA"/>
    <w:rsid w:val="00016C44"/>
    <w:rsid w:val="0001700B"/>
    <w:rsid w:val="000170B8"/>
    <w:rsid w:val="00017885"/>
    <w:rsid w:val="0002028C"/>
    <w:rsid w:val="0002055B"/>
    <w:rsid w:val="00020A26"/>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CA5"/>
    <w:rsid w:val="000340AE"/>
    <w:rsid w:val="00034A1A"/>
    <w:rsid w:val="00035645"/>
    <w:rsid w:val="00035654"/>
    <w:rsid w:val="0003573A"/>
    <w:rsid w:val="00036F3B"/>
    <w:rsid w:val="000374F7"/>
    <w:rsid w:val="00037926"/>
    <w:rsid w:val="00037B7E"/>
    <w:rsid w:val="00040C4D"/>
    <w:rsid w:val="00040D38"/>
    <w:rsid w:val="000411A8"/>
    <w:rsid w:val="00041DDF"/>
    <w:rsid w:val="00042105"/>
    <w:rsid w:val="000431E3"/>
    <w:rsid w:val="00043D54"/>
    <w:rsid w:val="00044F91"/>
    <w:rsid w:val="00045269"/>
    <w:rsid w:val="000453D6"/>
    <w:rsid w:val="000455D5"/>
    <w:rsid w:val="00045972"/>
    <w:rsid w:val="00045CC1"/>
    <w:rsid w:val="00046D47"/>
    <w:rsid w:val="00047A75"/>
    <w:rsid w:val="00050520"/>
    <w:rsid w:val="00050C8B"/>
    <w:rsid w:val="00051734"/>
    <w:rsid w:val="00051B3E"/>
    <w:rsid w:val="00051CA6"/>
    <w:rsid w:val="00051F45"/>
    <w:rsid w:val="0005239E"/>
    <w:rsid w:val="00052525"/>
    <w:rsid w:val="00052567"/>
    <w:rsid w:val="00052AB9"/>
    <w:rsid w:val="0005329B"/>
    <w:rsid w:val="00053456"/>
    <w:rsid w:val="000546CB"/>
    <w:rsid w:val="00054F36"/>
    <w:rsid w:val="00055807"/>
    <w:rsid w:val="00055B2E"/>
    <w:rsid w:val="00055D58"/>
    <w:rsid w:val="00056F37"/>
    <w:rsid w:val="00057248"/>
    <w:rsid w:val="0005770D"/>
    <w:rsid w:val="00057E6A"/>
    <w:rsid w:val="00057FCF"/>
    <w:rsid w:val="00060E74"/>
    <w:rsid w:val="000620A7"/>
    <w:rsid w:val="000626E5"/>
    <w:rsid w:val="000627D0"/>
    <w:rsid w:val="00062D26"/>
    <w:rsid w:val="00063AC5"/>
    <w:rsid w:val="00063BE5"/>
    <w:rsid w:val="0006460B"/>
    <w:rsid w:val="0006462E"/>
    <w:rsid w:val="00065782"/>
    <w:rsid w:val="00067E4F"/>
    <w:rsid w:val="0007051D"/>
    <w:rsid w:val="000707AB"/>
    <w:rsid w:val="00070CDD"/>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1FB4"/>
    <w:rsid w:val="000855E0"/>
    <w:rsid w:val="00085835"/>
    <w:rsid w:val="00085A6E"/>
    <w:rsid w:val="0008606B"/>
    <w:rsid w:val="000864CE"/>
    <w:rsid w:val="000908D4"/>
    <w:rsid w:val="000916B6"/>
    <w:rsid w:val="00091A19"/>
    <w:rsid w:val="00091B30"/>
    <w:rsid w:val="00091DBB"/>
    <w:rsid w:val="00091F86"/>
    <w:rsid w:val="000922BC"/>
    <w:rsid w:val="00092395"/>
    <w:rsid w:val="0009262A"/>
    <w:rsid w:val="000931BF"/>
    <w:rsid w:val="000931E1"/>
    <w:rsid w:val="000952E1"/>
    <w:rsid w:val="00095BAB"/>
    <w:rsid w:val="00096A11"/>
    <w:rsid w:val="000A09B1"/>
    <w:rsid w:val="000A25B9"/>
    <w:rsid w:val="000A26E1"/>
    <w:rsid w:val="000A292E"/>
    <w:rsid w:val="000A3668"/>
    <w:rsid w:val="000A43B0"/>
    <w:rsid w:val="000A4B84"/>
    <w:rsid w:val="000A5643"/>
    <w:rsid w:val="000A57DC"/>
    <w:rsid w:val="000A5DE0"/>
    <w:rsid w:val="000A5E6F"/>
    <w:rsid w:val="000A60BF"/>
    <w:rsid w:val="000A67BC"/>
    <w:rsid w:val="000A67F9"/>
    <w:rsid w:val="000A6E02"/>
    <w:rsid w:val="000A7542"/>
    <w:rsid w:val="000A75A1"/>
    <w:rsid w:val="000A7774"/>
    <w:rsid w:val="000B129D"/>
    <w:rsid w:val="000B17BF"/>
    <w:rsid w:val="000B40C0"/>
    <w:rsid w:val="000B512B"/>
    <w:rsid w:val="000B666B"/>
    <w:rsid w:val="000B6905"/>
    <w:rsid w:val="000B6D3B"/>
    <w:rsid w:val="000B74CB"/>
    <w:rsid w:val="000B76E3"/>
    <w:rsid w:val="000B7B40"/>
    <w:rsid w:val="000C0545"/>
    <w:rsid w:val="000C2CC6"/>
    <w:rsid w:val="000C31C8"/>
    <w:rsid w:val="000C36F7"/>
    <w:rsid w:val="000C397D"/>
    <w:rsid w:val="000C40D4"/>
    <w:rsid w:val="000C4FBE"/>
    <w:rsid w:val="000C5C77"/>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C56"/>
    <w:rsid w:val="000D5FDD"/>
    <w:rsid w:val="000D6B23"/>
    <w:rsid w:val="000D6F4A"/>
    <w:rsid w:val="000D6FA2"/>
    <w:rsid w:val="000D72BB"/>
    <w:rsid w:val="000D738B"/>
    <w:rsid w:val="000D7A26"/>
    <w:rsid w:val="000E06F1"/>
    <w:rsid w:val="000E088E"/>
    <w:rsid w:val="000E0B6E"/>
    <w:rsid w:val="000E11BF"/>
    <w:rsid w:val="000E17C9"/>
    <w:rsid w:val="000E1ED9"/>
    <w:rsid w:val="000E220C"/>
    <w:rsid w:val="000E2B12"/>
    <w:rsid w:val="000E2D92"/>
    <w:rsid w:val="000E3453"/>
    <w:rsid w:val="000E52E9"/>
    <w:rsid w:val="000E5552"/>
    <w:rsid w:val="000E5B8D"/>
    <w:rsid w:val="000E5CA9"/>
    <w:rsid w:val="000E6404"/>
    <w:rsid w:val="000E6982"/>
    <w:rsid w:val="000E731E"/>
    <w:rsid w:val="000F0867"/>
    <w:rsid w:val="000F15B7"/>
    <w:rsid w:val="000F19D2"/>
    <w:rsid w:val="000F22B6"/>
    <w:rsid w:val="000F2BF2"/>
    <w:rsid w:val="000F3F66"/>
    <w:rsid w:val="000F4B85"/>
    <w:rsid w:val="000F4B9B"/>
    <w:rsid w:val="000F4FFA"/>
    <w:rsid w:val="000F51D6"/>
    <w:rsid w:val="000F6399"/>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2A82"/>
    <w:rsid w:val="00112AB9"/>
    <w:rsid w:val="001130AA"/>
    <w:rsid w:val="00113459"/>
    <w:rsid w:val="001139E9"/>
    <w:rsid w:val="00114479"/>
    <w:rsid w:val="001150FB"/>
    <w:rsid w:val="001151FE"/>
    <w:rsid w:val="001157B4"/>
    <w:rsid w:val="00116592"/>
    <w:rsid w:val="00116FE3"/>
    <w:rsid w:val="001175E1"/>
    <w:rsid w:val="0012019B"/>
    <w:rsid w:val="00120AB7"/>
    <w:rsid w:val="001214D5"/>
    <w:rsid w:val="001218A5"/>
    <w:rsid w:val="00123DD4"/>
    <w:rsid w:val="00124C0B"/>
    <w:rsid w:val="00124CAB"/>
    <w:rsid w:val="0012579B"/>
    <w:rsid w:val="00125E38"/>
    <w:rsid w:val="001265F3"/>
    <w:rsid w:val="00127707"/>
    <w:rsid w:val="00130A15"/>
    <w:rsid w:val="00130CF7"/>
    <w:rsid w:val="00132379"/>
    <w:rsid w:val="001328AC"/>
    <w:rsid w:val="00132CA1"/>
    <w:rsid w:val="00134C29"/>
    <w:rsid w:val="00134E6C"/>
    <w:rsid w:val="00136220"/>
    <w:rsid w:val="0013624D"/>
    <w:rsid w:val="00136315"/>
    <w:rsid w:val="00136998"/>
    <w:rsid w:val="00136A0A"/>
    <w:rsid w:val="0014069C"/>
    <w:rsid w:val="00141C17"/>
    <w:rsid w:val="001420F7"/>
    <w:rsid w:val="00142332"/>
    <w:rsid w:val="00142E56"/>
    <w:rsid w:val="00143EBC"/>
    <w:rsid w:val="0014446C"/>
    <w:rsid w:val="00144521"/>
    <w:rsid w:val="00144F06"/>
    <w:rsid w:val="0014525D"/>
    <w:rsid w:val="00147E43"/>
    <w:rsid w:val="00150020"/>
    <w:rsid w:val="00150ADD"/>
    <w:rsid w:val="00150FE1"/>
    <w:rsid w:val="0015143D"/>
    <w:rsid w:val="0015167D"/>
    <w:rsid w:val="00151859"/>
    <w:rsid w:val="00151B7D"/>
    <w:rsid w:val="00152088"/>
    <w:rsid w:val="00152528"/>
    <w:rsid w:val="00152C76"/>
    <w:rsid w:val="00152DF2"/>
    <w:rsid w:val="0015390F"/>
    <w:rsid w:val="00153D6E"/>
    <w:rsid w:val="001540ED"/>
    <w:rsid w:val="00154314"/>
    <w:rsid w:val="00154EC8"/>
    <w:rsid w:val="00155401"/>
    <w:rsid w:val="001563B9"/>
    <w:rsid w:val="0015641B"/>
    <w:rsid w:val="0015655F"/>
    <w:rsid w:val="00157512"/>
    <w:rsid w:val="001602A0"/>
    <w:rsid w:val="00160EFC"/>
    <w:rsid w:val="00161799"/>
    <w:rsid w:val="001617F9"/>
    <w:rsid w:val="001625DF"/>
    <w:rsid w:val="00162603"/>
    <w:rsid w:val="0016376C"/>
    <w:rsid w:val="00163A30"/>
    <w:rsid w:val="001641DD"/>
    <w:rsid w:val="001648C8"/>
    <w:rsid w:val="00164CA0"/>
    <w:rsid w:val="001653BD"/>
    <w:rsid w:val="00165D1D"/>
    <w:rsid w:val="00167CDB"/>
    <w:rsid w:val="0017069D"/>
    <w:rsid w:val="001714B9"/>
    <w:rsid w:val="00171E89"/>
    <w:rsid w:val="00172132"/>
    <w:rsid w:val="00172599"/>
    <w:rsid w:val="00172B21"/>
    <w:rsid w:val="00172F8E"/>
    <w:rsid w:val="0017336B"/>
    <w:rsid w:val="0017552A"/>
    <w:rsid w:val="00175DE3"/>
    <w:rsid w:val="00175F97"/>
    <w:rsid w:val="00176F88"/>
    <w:rsid w:val="001810AD"/>
    <w:rsid w:val="001819C0"/>
    <w:rsid w:val="00182261"/>
    <w:rsid w:val="0018258B"/>
    <w:rsid w:val="00183004"/>
    <w:rsid w:val="0018364D"/>
    <w:rsid w:val="001869D3"/>
    <w:rsid w:val="00190C28"/>
    <w:rsid w:val="0019195D"/>
    <w:rsid w:val="00191A77"/>
    <w:rsid w:val="00191BD5"/>
    <w:rsid w:val="00191C57"/>
    <w:rsid w:val="00192553"/>
    <w:rsid w:val="001933FA"/>
    <w:rsid w:val="00193437"/>
    <w:rsid w:val="001950A7"/>
    <w:rsid w:val="0019548C"/>
    <w:rsid w:val="001954A9"/>
    <w:rsid w:val="001957C2"/>
    <w:rsid w:val="001965F8"/>
    <w:rsid w:val="001971FB"/>
    <w:rsid w:val="001A0557"/>
    <w:rsid w:val="001A0ABB"/>
    <w:rsid w:val="001A1333"/>
    <w:rsid w:val="001A15F9"/>
    <w:rsid w:val="001A1691"/>
    <w:rsid w:val="001A1D05"/>
    <w:rsid w:val="001A1E34"/>
    <w:rsid w:val="001A348A"/>
    <w:rsid w:val="001A3E95"/>
    <w:rsid w:val="001A4122"/>
    <w:rsid w:val="001A4BBA"/>
    <w:rsid w:val="001A545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6E11"/>
    <w:rsid w:val="001B6E8F"/>
    <w:rsid w:val="001B7BD8"/>
    <w:rsid w:val="001B7FAE"/>
    <w:rsid w:val="001C1147"/>
    <w:rsid w:val="001C199D"/>
    <w:rsid w:val="001C20FD"/>
    <w:rsid w:val="001C2417"/>
    <w:rsid w:val="001C2FCD"/>
    <w:rsid w:val="001C3276"/>
    <w:rsid w:val="001C3478"/>
    <w:rsid w:val="001C3604"/>
    <w:rsid w:val="001C3681"/>
    <w:rsid w:val="001C36A1"/>
    <w:rsid w:val="001C39D8"/>
    <w:rsid w:val="001C4362"/>
    <w:rsid w:val="001C49CE"/>
    <w:rsid w:val="001C4EF6"/>
    <w:rsid w:val="001C4F9C"/>
    <w:rsid w:val="001C6E5D"/>
    <w:rsid w:val="001C7A3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751E"/>
    <w:rsid w:val="001E7B1A"/>
    <w:rsid w:val="001F021B"/>
    <w:rsid w:val="001F03FD"/>
    <w:rsid w:val="001F11D4"/>
    <w:rsid w:val="001F1ECF"/>
    <w:rsid w:val="001F2A90"/>
    <w:rsid w:val="001F3BE5"/>
    <w:rsid w:val="001F4258"/>
    <w:rsid w:val="001F5580"/>
    <w:rsid w:val="001F5BE6"/>
    <w:rsid w:val="001F7033"/>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D2C"/>
    <w:rsid w:val="00206D56"/>
    <w:rsid w:val="00207014"/>
    <w:rsid w:val="0020755D"/>
    <w:rsid w:val="0021185E"/>
    <w:rsid w:val="00211A98"/>
    <w:rsid w:val="00211BFA"/>
    <w:rsid w:val="00211E57"/>
    <w:rsid w:val="00212079"/>
    <w:rsid w:val="002128A8"/>
    <w:rsid w:val="0021333A"/>
    <w:rsid w:val="002134A4"/>
    <w:rsid w:val="00213C5E"/>
    <w:rsid w:val="00214FF4"/>
    <w:rsid w:val="002165C5"/>
    <w:rsid w:val="002171C0"/>
    <w:rsid w:val="002172B4"/>
    <w:rsid w:val="00217B23"/>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51A"/>
    <w:rsid w:val="00230727"/>
    <w:rsid w:val="00230BC1"/>
    <w:rsid w:val="00230EF3"/>
    <w:rsid w:val="0023110E"/>
    <w:rsid w:val="00231964"/>
    <w:rsid w:val="00231ACB"/>
    <w:rsid w:val="00231C74"/>
    <w:rsid w:val="002332E0"/>
    <w:rsid w:val="00233A7D"/>
    <w:rsid w:val="00233F60"/>
    <w:rsid w:val="00235617"/>
    <w:rsid w:val="0023573B"/>
    <w:rsid w:val="002364FB"/>
    <w:rsid w:val="00236DD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950"/>
    <w:rsid w:val="00246A67"/>
    <w:rsid w:val="0024717A"/>
    <w:rsid w:val="00250103"/>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9D5"/>
    <w:rsid w:val="00256B5D"/>
    <w:rsid w:val="00257192"/>
    <w:rsid w:val="0025739D"/>
    <w:rsid w:val="00257859"/>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7552"/>
    <w:rsid w:val="00267B19"/>
    <w:rsid w:val="00267EE0"/>
    <w:rsid w:val="00270BDC"/>
    <w:rsid w:val="002712B2"/>
    <w:rsid w:val="00271549"/>
    <w:rsid w:val="00271697"/>
    <w:rsid w:val="0027188F"/>
    <w:rsid w:val="002730B6"/>
    <w:rsid w:val="00273795"/>
    <w:rsid w:val="00273F3C"/>
    <w:rsid w:val="00274FB3"/>
    <w:rsid w:val="002755D1"/>
    <w:rsid w:val="00275860"/>
    <w:rsid w:val="002768D2"/>
    <w:rsid w:val="00276BCD"/>
    <w:rsid w:val="00277196"/>
    <w:rsid w:val="00280169"/>
    <w:rsid w:val="002803F5"/>
    <w:rsid w:val="00280C71"/>
    <w:rsid w:val="00280EDA"/>
    <w:rsid w:val="0028215B"/>
    <w:rsid w:val="00282C31"/>
    <w:rsid w:val="002837CB"/>
    <w:rsid w:val="00283AB7"/>
    <w:rsid w:val="00284764"/>
    <w:rsid w:val="0028478D"/>
    <w:rsid w:val="00284C6C"/>
    <w:rsid w:val="00284D5A"/>
    <w:rsid w:val="00285639"/>
    <w:rsid w:val="002859CA"/>
    <w:rsid w:val="00285AEC"/>
    <w:rsid w:val="00285C66"/>
    <w:rsid w:val="00286042"/>
    <w:rsid w:val="00286BB2"/>
    <w:rsid w:val="002873E9"/>
    <w:rsid w:val="00287B0B"/>
    <w:rsid w:val="00291146"/>
    <w:rsid w:val="00291C28"/>
    <w:rsid w:val="00291E2C"/>
    <w:rsid w:val="00292428"/>
    <w:rsid w:val="00292B7C"/>
    <w:rsid w:val="002937BE"/>
    <w:rsid w:val="0029383D"/>
    <w:rsid w:val="002941F6"/>
    <w:rsid w:val="002943BD"/>
    <w:rsid w:val="002943DA"/>
    <w:rsid w:val="002944AA"/>
    <w:rsid w:val="00294DDC"/>
    <w:rsid w:val="00295276"/>
    <w:rsid w:val="002958B0"/>
    <w:rsid w:val="002961B3"/>
    <w:rsid w:val="0029652C"/>
    <w:rsid w:val="00296C13"/>
    <w:rsid w:val="002A0607"/>
    <w:rsid w:val="002A2796"/>
    <w:rsid w:val="002A3084"/>
    <w:rsid w:val="002A362C"/>
    <w:rsid w:val="002A388B"/>
    <w:rsid w:val="002A3DA6"/>
    <w:rsid w:val="002A466B"/>
    <w:rsid w:val="002A470D"/>
    <w:rsid w:val="002A47D4"/>
    <w:rsid w:val="002A5145"/>
    <w:rsid w:val="002A6DA2"/>
    <w:rsid w:val="002A7618"/>
    <w:rsid w:val="002B0B09"/>
    <w:rsid w:val="002B177A"/>
    <w:rsid w:val="002B2518"/>
    <w:rsid w:val="002B2C42"/>
    <w:rsid w:val="002B3654"/>
    <w:rsid w:val="002B55AB"/>
    <w:rsid w:val="002B7762"/>
    <w:rsid w:val="002B798E"/>
    <w:rsid w:val="002B7AC3"/>
    <w:rsid w:val="002C1144"/>
    <w:rsid w:val="002C2A90"/>
    <w:rsid w:val="002C2AA5"/>
    <w:rsid w:val="002C36A1"/>
    <w:rsid w:val="002C375A"/>
    <w:rsid w:val="002C3CA2"/>
    <w:rsid w:val="002C4E82"/>
    <w:rsid w:val="002C5488"/>
    <w:rsid w:val="002C61F7"/>
    <w:rsid w:val="002C7D57"/>
    <w:rsid w:val="002C7E9E"/>
    <w:rsid w:val="002D02EB"/>
    <w:rsid w:val="002D08C8"/>
    <w:rsid w:val="002D22D6"/>
    <w:rsid w:val="002D41CD"/>
    <w:rsid w:val="002D5BAD"/>
    <w:rsid w:val="002D5BB8"/>
    <w:rsid w:val="002D6B5F"/>
    <w:rsid w:val="002D6FFB"/>
    <w:rsid w:val="002D715F"/>
    <w:rsid w:val="002D767B"/>
    <w:rsid w:val="002D799C"/>
    <w:rsid w:val="002E1824"/>
    <w:rsid w:val="002E34FB"/>
    <w:rsid w:val="002E3F92"/>
    <w:rsid w:val="002E3FB5"/>
    <w:rsid w:val="002E42A2"/>
    <w:rsid w:val="002E5164"/>
    <w:rsid w:val="002E575B"/>
    <w:rsid w:val="002E611D"/>
    <w:rsid w:val="002E65EB"/>
    <w:rsid w:val="002F001E"/>
    <w:rsid w:val="002F01A4"/>
    <w:rsid w:val="002F0695"/>
    <w:rsid w:val="002F0BDF"/>
    <w:rsid w:val="002F121C"/>
    <w:rsid w:val="002F2C2B"/>
    <w:rsid w:val="002F3653"/>
    <w:rsid w:val="002F3F0F"/>
    <w:rsid w:val="002F4C94"/>
    <w:rsid w:val="002F6156"/>
    <w:rsid w:val="002F627B"/>
    <w:rsid w:val="002F724D"/>
    <w:rsid w:val="002F7CA4"/>
    <w:rsid w:val="003007E3"/>
    <w:rsid w:val="003016CE"/>
    <w:rsid w:val="00301BEB"/>
    <w:rsid w:val="00303920"/>
    <w:rsid w:val="003040BD"/>
    <w:rsid w:val="0030444A"/>
    <w:rsid w:val="00304466"/>
    <w:rsid w:val="00304BAF"/>
    <w:rsid w:val="00304EAD"/>
    <w:rsid w:val="0030571C"/>
    <w:rsid w:val="0030628C"/>
    <w:rsid w:val="00306D1E"/>
    <w:rsid w:val="00306EBD"/>
    <w:rsid w:val="003072FB"/>
    <w:rsid w:val="00310C51"/>
    <w:rsid w:val="0031150F"/>
    <w:rsid w:val="00311BDE"/>
    <w:rsid w:val="0031238F"/>
    <w:rsid w:val="00312D98"/>
    <w:rsid w:val="003137B7"/>
    <w:rsid w:val="00313B33"/>
    <w:rsid w:val="00313C45"/>
    <w:rsid w:val="003141AF"/>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883"/>
    <w:rsid w:val="003271C8"/>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688"/>
    <w:rsid w:val="00336802"/>
    <w:rsid w:val="00337173"/>
    <w:rsid w:val="003405FB"/>
    <w:rsid w:val="00340F38"/>
    <w:rsid w:val="00341A91"/>
    <w:rsid w:val="003441E2"/>
    <w:rsid w:val="00344B1D"/>
    <w:rsid w:val="00344BBB"/>
    <w:rsid w:val="0034551B"/>
    <w:rsid w:val="003456BA"/>
    <w:rsid w:val="003458AE"/>
    <w:rsid w:val="003461E7"/>
    <w:rsid w:val="00346821"/>
    <w:rsid w:val="003468E1"/>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60027"/>
    <w:rsid w:val="0036003F"/>
    <w:rsid w:val="003609C6"/>
    <w:rsid w:val="00361283"/>
    <w:rsid w:val="00362179"/>
    <w:rsid w:val="00363C9D"/>
    <w:rsid w:val="003643A6"/>
    <w:rsid w:val="00364BE9"/>
    <w:rsid w:val="0036512D"/>
    <w:rsid w:val="00365F03"/>
    <w:rsid w:val="0036625E"/>
    <w:rsid w:val="003662C2"/>
    <w:rsid w:val="00366385"/>
    <w:rsid w:val="003666FB"/>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393"/>
    <w:rsid w:val="003736A7"/>
    <w:rsid w:val="00374479"/>
    <w:rsid w:val="003744B7"/>
    <w:rsid w:val="003754EC"/>
    <w:rsid w:val="003758EE"/>
    <w:rsid w:val="0037625C"/>
    <w:rsid w:val="0037666B"/>
    <w:rsid w:val="00376CD8"/>
    <w:rsid w:val="00377B8C"/>
    <w:rsid w:val="00377EAB"/>
    <w:rsid w:val="00380000"/>
    <w:rsid w:val="00380530"/>
    <w:rsid w:val="00380C33"/>
    <w:rsid w:val="00380D27"/>
    <w:rsid w:val="00381EE6"/>
    <w:rsid w:val="003822B3"/>
    <w:rsid w:val="00383030"/>
    <w:rsid w:val="0038418B"/>
    <w:rsid w:val="003849E5"/>
    <w:rsid w:val="00385086"/>
    <w:rsid w:val="00385BE4"/>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60C6"/>
    <w:rsid w:val="00396A38"/>
    <w:rsid w:val="003A0797"/>
    <w:rsid w:val="003A1059"/>
    <w:rsid w:val="003A13D8"/>
    <w:rsid w:val="003A2292"/>
    <w:rsid w:val="003A26F3"/>
    <w:rsid w:val="003A4600"/>
    <w:rsid w:val="003A4773"/>
    <w:rsid w:val="003A4C06"/>
    <w:rsid w:val="003A5221"/>
    <w:rsid w:val="003A59AD"/>
    <w:rsid w:val="003A5AAE"/>
    <w:rsid w:val="003A5AC2"/>
    <w:rsid w:val="003A5FBA"/>
    <w:rsid w:val="003A678B"/>
    <w:rsid w:val="003A678C"/>
    <w:rsid w:val="003A7DB8"/>
    <w:rsid w:val="003B00BA"/>
    <w:rsid w:val="003B087A"/>
    <w:rsid w:val="003B0D36"/>
    <w:rsid w:val="003B0E11"/>
    <w:rsid w:val="003B0F1C"/>
    <w:rsid w:val="003B1507"/>
    <w:rsid w:val="003B254D"/>
    <w:rsid w:val="003B2E80"/>
    <w:rsid w:val="003B388C"/>
    <w:rsid w:val="003B3ABB"/>
    <w:rsid w:val="003B51FE"/>
    <w:rsid w:val="003B63B4"/>
    <w:rsid w:val="003B700C"/>
    <w:rsid w:val="003B7714"/>
    <w:rsid w:val="003B7F44"/>
    <w:rsid w:val="003C1463"/>
    <w:rsid w:val="003C19A0"/>
    <w:rsid w:val="003C1D14"/>
    <w:rsid w:val="003C1F95"/>
    <w:rsid w:val="003C2103"/>
    <w:rsid w:val="003C2263"/>
    <w:rsid w:val="003C4313"/>
    <w:rsid w:val="003C47F3"/>
    <w:rsid w:val="003C596B"/>
    <w:rsid w:val="003C694F"/>
    <w:rsid w:val="003C6B80"/>
    <w:rsid w:val="003C7216"/>
    <w:rsid w:val="003C7B31"/>
    <w:rsid w:val="003D079B"/>
    <w:rsid w:val="003D08E1"/>
    <w:rsid w:val="003D12B3"/>
    <w:rsid w:val="003D146C"/>
    <w:rsid w:val="003D1C48"/>
    <w:rsid w:val="003D25A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1A98"/>
    <w:rsid w:val="003E2516"/>
    <w:rsid w:val="003E2A83"/>
    <w:rsid w:val="003E2F98"/>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439"/>
    <w:rsid w:val="003F7E6F"/>
    <w:rsid w:val="004005B8"/>
    <w:rsid w:val="00400604"/>
    <w:rsid w:val="00401538"/>
    <w:rsid w:val="00401731"/>
    <w:rsid w:val="00404AB6"/>
    <w:rsid w:val="00404E56"/>
    <w:rsid w:val="0040606E"/>
    <w:rsid w:val="004061BD"/>
    <w:rsid w:val="0040672A"/>
    <w:rsid w:val="00406C88"/>
    <w:rsid w:val="00406FF8"/>
    <w:rsid w:val="00410C8F"/>
    <w:rsid w:val="00410DD9"/>
    <w:rsid w:val="004112A0"/>
    <w:rsid w:val="00411D62"/>
    <w:rsid w:val="00412306"/>
    <w:rsid w:val="004128AD"/>
    <w:rsid w:val="00412A8B"/>
    <w:rsid w:val="00413C38"/>
    <w:rsid w:val="00414D50"/>
    <w:rsid w:val="0041512C"/>
    <w:rsid w:val="0041557A"/>
    <w:rsid w:val="004158E4"/>
    <w:rsid w:val="00416994"/>
    <w:rsid w:val="00416D27"/>
    <w:rsid w:val="00417256"/>
    <w:rsid w:val="004172EE"/>
    <w:rsid w:val="0042015C"/>
    <w:rsid w:val="0042556C"/>
    <w:rsid w:val="004264C6"/>
    <w:rsid w:val="00426AF8"/>
    <w:rsid w:val="00426BA3"/>
    <w:rsid w:val="00426F61"/>
    <w:rsid w:val="00430770"/>
    <w:rsid w:val="00430AE2"/>
    <w:rsid w:val="00430ED4"/>
    <w:rsid w:val="00432539"/>
    <w:rsid w:val="0043371D"/>
    <w:rsid w:val="00433F81"/>
    <w:rsid w:val="00435135"/>
    <w:rsid w:val="00435890"/>
    <w:rsid w:val="004369F6"/>
    <w:rsid w:val="00436C50"/>
    <w:rsid w:val="00436DC9"/>
    <w:rsid w:val="00437370"/>
    <w:rsid w:val="00437B8B"/>
    <w:rsid w:val="00440011"/>
    <w:rsid w:val="00440893"/>
    <w:rsid w:val="00440AFD"/>
    <w:rsid w:val="00440E03"/>
    <w:rsid w:val="00440E8E"/>
    <w:rsid w:val="00441BC1"/>
    <w:rsid w:val="004424CE"/>
    <w:rsid w:val="004439A0"/>
    <w:rsid w:val="00443B6D"/>
    <w:rsid w:val="00445A4B"/>
    <w:rsid w:val="00445CE7"/>
    <w:rsid w:val="00446F61"/>
    <w:rsid w:val="00446F97"/>
    <w:rsid w:val="004475FE"/>
    <w:rsid w:val="00447C09"/>
    <w:rsid w:val="0045047B"/>
    <w:rsid w:val="004514C3"/>
    <w:rsid w:val="00451504"/>
    <w:rsid w:val="004517D9"/>
    <w:rsid w:val="00451D82"/>
    <w:rsid w:val="004524F4"/>
    <w:rsid w:val="00452C2B"/>
    <w:rsid w:val="00452E61"/>
    <w:rsid w:val="00452F0F"/>
    <w:rsid w:val="0045311A"/>
    <w:rsid w:val="0045410C"/>
    <w:rsid w:val="004564D4"/>
    <w:rsid w:val="0046017E"/>
    <w:rsid w:val="00461AEE"/>
    <w:rsid w:val="00463BFE"/>
    <w:rsid w:val="00463CA7"/>
    <w:rsid w:val="00466743"/>
    <w:rsid w:val="00466AF7"/>
    <w:rsid w:val="00466B90"/>
    <w:rsid w:val="00467EBA"/>
    <w:rsid w:val="00470AA9"/>
    <w:rsid w:val="00470AF1"/>
    <w:rsid w:val="00470D74"/>
    <w:rsid w:val="00470F0C"/>
    <w:rsid w:val="00470FEF"/>
    <w:rsid w:val="00471B01"/>
    <w:rsid w:val="00471CB6"/>
    <w:rsid w:val="00472767"/>
    <w:rsid w:val="00472BC4"/>
    <w:rsid w:val="00473471"/>
    <w:rsid w:val="00473576"/>
    <w:rsid w:val="00474602"/>
    <w:rsid w:val="004749C7"/>
    <w:rsid w:val="00476EEB"/>
    <w:rsid w:val="00477086"/>
    <w:rsid w:val="00477784"/>
    <w:rsid w:val="004777D7"/>
    <w:rsid w:val="00477C3B"/>
    <w:rsid w:val="00477E45"/>
    <w:rsid w:val="00480C5C"/>
    <w:rsid w:val="0048216B"/>
    <w:rsid w:val="00482307"/>
    <w:rsid w:val="004826CD"/>
    <w:rsid w:val="00482F7E"/>
    <w:rsid w:val="0048344A"/>
    <w:rsid w:val="00483771"/>
    <w:rsid w:val="00483993"/>
    <w:rsid w:val="00484023"/>
    <w:rsid w:val="00484404"/>
    <w:rsid w:val="00484616"/>
    <w:rsid w:val="00484D80"/>
    <w:rsid w:val="004863F2"/>
    <w:rsid w:val="004865B7"/>
    <w:rsid w:val="00487C70"/>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442"/>
    <w:rsid w:val="004965D4"/>
    <w:rsid w:val="004966B8"/>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301A"/>
    <w:rsid w:val="004B3480"/>
    <w:rsid w:val="004B3A38"/>
    <w:rsid w:val="004B3AFE"/>
    <w:rsid w:val="004B4C6F"/>
    <w:rsid w:val="004B6985"/>
    <w:rsid w:val="004B73D8"/>
    <w:rsid w:val="004B78AC"/>
    <w:rsid w:val="004C09F8"/>
    <w:rsid w:val="004C117C"/>
    <w:rsid w:val="004C197C"/>
    <w:rsid w:val="004C1A2B"/>
    <w:rsid w:val="004C1C5A"/>
    <w:rsid w:val="004C228B"/>
    <w:rsid w:val="004C272D"/>
    <w:rsid w:val="004C2DE6"/>
    <w:rsid w:val="004C3246"/>
    <w:rsid w:val="004C3CF9"/>
    <w:rsid w:val="004C3DA5"/>
    <w:rsid w:val="004C3FED"/>
    <w:rsid w:val="004C440D"/>
    <w:rsid w:val="004C4AE6"/>
    <w:rsid w:val="004C4B31"/>
    <w:rsid w:val="004C4F66"/>
    <w:rsid w:val="004C572F"/>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2CE"/>
    <w:rsid w:val="004D44EE"/>
    <w:rsid w:val="004D5225"/>
    <w:rsid w:val="004D77EE"/>
    <w:rsid w:val="004D79BE"/>
    <w:rsid w:val="004D7D85"/>
    <w:rsid w:val="004E004E"/>
    <w:rsid w:val="004E06D3"/>
    <w:rsid w:val="004E0FC8"/>
    <w:rsid w:val="004E1196"/>
    <w:rsid w:val="004E234F"/>
    <w:rsid w:val="004E2398"/>
    <w:rsid w:val="004E28B5"/>
    <w:rsid w:val="004E3A28"/>
    <w:rsid w:val="004E4741"/>
    <w:rsid w:val="004E4965"/>
    <w:rsid w:val="004E57F8"/>
    <w:rsid w:val="004E64B9"/>
    <w:rsid w:val="004E6959"/>
    <w:rsid w:val="004E6D0A"/>
    <w:rsid w:val="004E7C2D"/>
    <w:rsid w:val="004E7C45"/>
    <w:rsid w:val="004F0244"/>
    <w:rsid w:val="004F0C7B"/>
    <w:rsid w:val="004F0D8F"/>
    <w:rsid w:val="004F1095"/>
    <w:rsid w:val="004F1235"/>
    <w:rsid w:val="004F25DB"/>
    <w:rsid w:val="004F3E78"/>
    <w:rsid w:val="004F47D5"/>
    <w:rsid w:val="004F584E"/>
    <w:rsid w:val="004F5D57"/>
    <w:rsid w:val="004F68C5"/>
    <w:rsid w:val="004F69F7"/>
    <w:rsid w:val="004F6F43"/>
    <w:rsid w:val="005005FC"/>
    <w:rsid w:val="005008B4"/>
    <w:rsid w:val="00500A2C"/>
    <w:rsid w:val="00501576"/>
    <w:rsid w:val="00501D65"/>
    <w:rsid w:val="005024D2"/>
    <w:rsid w:val="00502A1D"/>
    <w:rsid w:val="00503286"/>
    <w:rsid w:val="00503A26"/>
    <w:rsid w:val="00503A58"/>
    <w:rsid w:val="00504836"/>
    <w:rsid w:val="00504B15"/>
    <w:rsid w:val="00505479"/>
    <w:rsid w:val="00505859"/>
    <w:rsid w:val="00505A2B"/>
    <w:rsid w:val="005066A2"/>
    <w:rsid w:val="00506A66"/>
    <w:rsid w:val="0050712D"/>
    <w:rsid w:val="005101B6"/>
    <w:rsid w:val="00511A55"/>
    <w:rsid w:val="00512230"/>
    <w:rsid w:val="005127F4"/>
    <w:rsid w:val="005129C9"/>
    <w:rsid w:val="00512CCC"/>
    <w:rsid w:val="00512ED5"/>
    <w:rsid w:val="00514006"/>
    <w:rsid w:val="00514B23"/>
    <w:rsid w:val="00514EEB"/>
    <w:rsid w:val="005154A7"/>
    <w:rsid w:val="00515DEB"/>
    <w:rsid w:val="00515E77"/>
    <w:rsid w:val="00515E78"/>
    <w:rsid w:val="00517C22"/>
    <w:rsid w:val="005202D1"/>
    <w:rsid w:val="00520357"/>
    <w:rsid w:val="0052127C"/>
    <w:rsid w:val="005216F6"/>
    <w:rsid w:val="005225AA"/>
    <w:rsid w:val="005232DB"/>
    <w:rsid w:val="005247F4"/>
    <w:rsid w:val="00524A79"/>
    <w:rsid w:val="0052587E"/>
    <w:rsid w:val="00525D96"/>
    <w:rsid w:val="00526513"/>
    <w:rsid w:val="00526D4A"/>
    <w:rsid w:val="00527637"/>
    <w:rsid w:val="00527C28"/>
    <w:rsid w:val="00530239"/>
    <w:rsid w:val="00530F17"/>
    <w:rsid w:val="0053271A"/>
    <w:rsid w:val="005327FA"/>
    <w:rsid w:val="00532C33"/>
    <w:rsid w:val="005330D3"/>
    <w:rsid w:val="0053411B"/>
    <w:rsid w:val="005341BA"/>
    <w:rsid w:val="0053454E"/>
    <w:rsid w:val="00534A6E"/>
    <w:rsid w:val="00535910"/>
    <w:rsid w:val="005360C6"/>
    <w:rsid w:val="0053677E"/>
    <w:rsid w:val="0053688A"/>
    <w:rsid w:val="005369D1"/>
    <w:rsid w:val="00536CA1"/>
    <w:rsid w:val="0053724D"/>
    <w:rsid w:val="005373AB"/>
    <w:rsid w:val="00537E5E"/>
    <w:rsid w:val="00540E3C"/>
    <w:rsid w:val="00541F1A"/>
    <w:rsid w:val="00541F84"/>
    <w:rsid w:val="005426C8"/>
    <w:rsid w:val="00542D26"/>
    <w:rsid w:val="005430AB"/>
    <w:rsid w:val="0054346D"/>
    <w:rsid w:val="00544A8C"/>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5D"/>
    <w:rsid w:val="00556B9F"/>
    <w:rsid w:val="00557047"/>
    <w:rsid w:val="005571C1"/>
    <w:rsid w:val="0055756C"/>
    <w:rsid w:val="005579EB"/>
    <w:rsid w:val="00557ED6"/>
    <w:rsid w:val="00560671"/>
    <w:rsid w:val="00560A7A"/>
    <w:rsid w:val="00560EB8"/>
    <w:rsid w:val="005611D9"/>
    <w:rsid w:val="00561AFA"/>
    <w:rsid w:val="00562E69"/>
    <w:rsid w:val="005634ED"/>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904CA"/>
    <w:rsid w:val="00590788"/>
    <w:rsid w:val="00590BB3"/>
    <w:rsid w:val="005910E3"/>
    <w:rsid w:val="005912EA"/>
    <w:rsid w:val="005916C3"/>
    <w:rsid w:val="00592EBE"/>
    <w:rsid w:val="005932AE"/>
    <w:rsid w:val="00593343"/>
    <w:rsid w:val="0059346B"/>
    <w:rsid w:val="00593AF4"/>
    <w:rsid w:val="00593E46"/>
    <w:rsid w:val="00593ED4"/>
    <w:rsid w:val="005945B9"/>
    <w:rsid w:val="00594A6A"/>
    <w:rsid w:val="0059515C"/>
    <w:rsid w:val="0059571E"/>
    <w:rsid w:val="00595C1F"/>
    <w:rsid w:val="00595C2B"/>
    <w:rsid w:val="00596427"/>
    <w:rsid w:val="005967EB"/>
    <w:rsid w:val="00596A79"/>
    <w:rsid w:val="00597005"/>
    <w:rsid w:val="005A0977"/>
    <w:rsid w:val="005A0C61"/>
    <w:rsid w:val="005A15B1"/>
    <w:rsid w:val="005A1696"/>
    <w:rsid w:val="005A21EE"/>
    <w:rsid w:val="005A240B"/>
    <w:rsid w:val="005A2A86"/>
    <w:rsid w:val="005A3845"/>
    <w:rsid w:val="005A3DF3"/>
    <w:rsid w:val="005A49F9"/>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C0317"/>
    <w:rsid w:val="005C04F3"/>
    <w:rsid w:val="005C1902"/>
    <w:rsid w:val="005C3976"/>
    <w:rsid w:val="005C3DB6"/>
    <w:rsid w:val="005C40D8"/>
    <w:rsid w:val="005C66F3"/>
    <w:rsid w:val="005C7509"/>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5306"/>
    <w:rsid w:val="005E63EB"/>
    <w:rsid w:val="005F00BA"/>
    <w:rsid w:val="005F023D"/>
    <w:rsid w:val="005F08CC"/>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4116"/>
    <w:rsid w:val="0060430B"/>
    <w:rsid w:val="00604FEE"/>
    <w:rsid w:val="00605046"/>
    <w:rsid w:val="006052D9"/>
    <w:rsid w:val="00605305"/>
    <w:rsid w:val="0060638C"/>
    <w:rsid w:val="00606629"/>
    <w:rsid w:val="00607699"/>
    <w:rsid w:val="0061001C"/>
    <w:rsid w:val="0061081A"/>
    <w:rsid w:val="00611B53"/>
    <w:rsid w:val="00612B76"/>
    <w:rsid w:val="00612DDF"/>
    <w:rsid w:val="00614917"/>
    <w:rsid w:val="00615DDC"/>
    <w:rsid w:val="00616151"/>
    <w:rsid w:val="00617000"/>
    <w:rsid w:val="006172CA"/>
    <w:rsid w:val="00620A30"/>
    <w:rsid w:val="0062177F"/>
    <w:rsid w:val="00621B4D"/>
    <w:rsid w:val="00621F36"/>
    <w:rsid w:val="0062269D"/>
    <w:rsid w:val="00622BE8"/>
    <w:rsid w:val="00623B1E"/>
    <w:rsid w:val="00623BDA"/>
    <w:rsid w:val="00624192"/>
    <w:rsid w:val="006246A7"/>
    <w:rsid w:val="0062512F"/>
    <w:rsid w:val="00625573"/>
    <w:rsid w:val="00625854"/>
    <w:rsid w:val="00626B57"/>
    <w:rsid w:val="0062719E"/>
    <w:rsid w:val="00627E26"/>
    <w:rsid w:val="00627FB0"/>
    <w:rsid w:val="00630313"/>
    <w:rsid w:val="006305C5"/>
    <w:rsid w:val="00630632"/>
    <w:rsid w:val="00630B2F"/>
    <w:rsid w:val="00631116"/>
    <w:rsid w:val="00632D2B"/>
    <w:rsid w:val="0063420D"/>
    <w:rsid w:val="0063510D"/>
    <w:rsid w:val="0063535F"/>
    <w:rsid w:val="006354D5"/>
    <w:rsid w:val="00635969"/>
    <w:rsid w:val="00635BA1"/>
    <w:rsid w:val="006361AE"/>
    <w:rsid w:val="0063657C"/>
    <w:rsid w:val="006376DD"/>
    <w:rsid w:val="00640668"/>
    <w:rsid w:val="006409DA"/>
    <w:rsid w:val="006419AF"/>
    <w:rsid w:val="00641A74"/>
    <w:rsid w:val="006422D4"/>
    <w:rsid w:val="0064272B"/>
    <w:rsid w:val="00642B9F"/>
    <w:rsid w:val="00643B2D"/>
    <w:rsid w:val="00643CA5"/>
    <w:rsid w:val="00644E69"/>
    <w:rsid w:val="00645106"/>
    <w:rsid w:val="0064527A"/>
    <w:rsid w:val="00645F4F"/>
    <w:rsid w:val="00646B0D"/>
    <w:rsid w:val="00647A27"/>
    <w:rsid w:val="006515A9"/>
    <w:rsid w:val="006520FD"/>
    <w:rsid w:val="00652A09"/>
    <w:rsid w:val="00652CD4"/>
    <w:rsid w:val="0065390F"/>
    <w:rsid w:val="00654276"/>
    <w:rsid w:val="00654A16"/>
    <w:rsid w:val="00654D01"/>
    <w:rsid w:val="00656D76"/>
    <w:rsid w:val="00656EEA"/>
    <w:rsid w:val="006577EA"/>
    <w:rsid w:val="006579B3"/>
    <w:rsid w:val="00657E7D"/>
    <w:rsid w:val="00660111"/>
    <w:rsid w:val="0066065C"/>
    <w:rsid w:val="00660B78"/>
    <w:rsid w:val="00660DCF"/>
    <w:rsid w:val="0066188A"/>
    <w:rsid w:val="00661ED4"/>
    <w:rsid w:val="00662916"/>
    <w:rsid w:val="00662A92"/>
    <w:rsid w:val="00663E93"/>
    <w:rsid w:val="006642D2"/>
    <w:rsid w:val="00665753"/>
    <w:rsid w:val="00665AD6"/>
    <w:rsid w:val="0066608C"/>
    <w:rsid w:val="00667938"/>
    <w:rsid w:val="00670266"/>
    <w:rsid w:val="00670D50"/>
    <w:rsid w:val="006724AD"/>
    <w:rsid w:val="006725CE"/>
    <w:rsid w:val="006732E5"/>
    <w:rsid w:val="00673533"/>
    <w:rsid w:val="00673AF1"/>
    <w:rsid w:val="00674238"/>
    <w:rsid w:val="00674A4A"/>
    <w:rsid w:val="00674D61"/>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971"/>
    <w:rsid w:val="006872FA"/>
    <w:rsid w:val="006873B6"/>
    <w:rsid w:val="006879DD"/>
    <w:rsid w:val="00687FAB"/>
    <w:rsid w:val="0069004D"/>
    <w:rsid w:val="0069030B"/>
    <w:rsid w:val="00690388"/>
    <w:rsid w:val="00690797"/>
    <w:rsid w:val="00690A40"/>
    <w:rsid w:val="00690DA2"/>
    <w:rsid w:val="0069114D"/>
    <w:rsid w:val="00691F9E"/>
    <w:rsid w:val="006923B1"/>
    <w:rsid w:val="006929C4"/>
    <w:rsid w:val="0069326B"/>
    <w:rsid w:val="006933AC"/>
    <w:rsid w:val="00694C2D"/>
    <w:rsid w:val="0069544D"/>
    <w:rsid w:val="006965FA"/>
    <w:rsid w:val="006967A1"/>
    <w:rsid w:val="00696B0D"/>
    <w:rsid w:val="00696C5C"/>
    <w:rsid w:val="0069717F"/>
    <w:rsid w:val="0069752B"/>
    <w:rsid w:val="006A02A0"/>
    <w:rsid w:val="006A14F2"/>
    <w:rsid w:val="006A1A08"/>
    <w:rsid w:val="006A220E"/>
    <w:rsid w:val="006A24F0"/>
    <w:rsid w:val="006A2E69"/>
    <w:rsid w:val="006A41B4"/>
    <w:rsid w:val="006A4424"/>
    <w:rsid w:val="006A4A1A"/>
    <w:rsid w:val="006A4A63"/>
    <w:rsid w:val="006A4E85"/>
    <w:rsid w:val="006A5E9C"/>
    <w:rsid w:val="006A69FA"/>
    <w:rsid w:val="006A6CB5"/>
    <w:rsid w:val="006A717C"/>
    <w:rsid w:val="006A77C9"/>
    <w:rsid w:val="006B158D"/>
    <w:rsid w:val="006B1A51"/>
    <w:rsid w:val="006B2068"/>
    <w:rsid w:val="006B26C9"/>
    <w:rsid w:val="006B2804"/>
    <w:rsid w:val="006B2E23"/>
    <w:rsid w:val="006B33E3"/>
    <w:rsid w:val="006B3743"/>
    <w:rsid w:val="006B4D8B"/>
    <w:rsid w:val="006B5797"/>
    <w:rsid w:val="006B5CDF"/>
    <w:rsid w:val="006B64B1"/>
    <w:rsid w:val="006B7F2B"/>
    <w:rsid w:val="006C066A"/>
    <w:rsid w:val="006C0EDD"/>
    <w:rsid w:val="006C144D"/>
    <w:rsid w:val="006C1526"/>
    <w:rsid w:val="006C1A6C"/>
    <w:rsid w:val="006C1F54"/>
    <w:rsid w:val="006C4026"/>
    <w:rsid w:val="006C59E5"/>
    <w:rsid w:val="006C59FC"/>
    <w:rsid w:val="006C7A4F"/>
    <w:rsid w:val="006D0106"/>
    <w:rsid w:val="006D099A"/>
    <w:rsid w:val="006D1047"/>
    <w:rsid w:val="006D1470"/>
    <w:rsid w:val="006D3002"/>
    <w:rsid w:val="006D3949"/>
    <w:rsid w:val="006D39DD"/>
    <w:rsid w:val="006D4120"/>
    <w:rsid w:val="006D44F5"/>
    <w:rsid w:val="006D4AA5"/>
    <w:rsid w:val="006D6EBD"/>
    <w:rsid w:val="006D738D"/>
    <w:rsid w:val="006D74C2"/>
    <w:rsid w:val="006D795E"/>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F04C8"/>
    <w:rsid w:val="006F0667"/>
    <w:rsid w:val="006F0B52"/>
    <w:rsid w:val="006F193F"/>
    <w:rsid w:val="006F1BDA"/>
    <w:rsid w:val="006F2B71"/>
    <w:rsid w:val="006F3548"/>
    <w:rsid w:val="006F3FA6"/>
    <w:rsid w:val="006F4839"/>
    <w:rsid w:val="006F4A7B"/>
    <w:rsid w:val="006F53B4"/>
    <w:rsid w:val="006F59F4"/>
    <w:rsid w:val="006F5B9B"/>
    <w:rsid w:val="006F5CB0"/>
    <w:rsid w:val="006F62C8"/>
    <w:rsid w:val="006F708B"/>
    <w:rsid w:val="007005E5"/>
    <w:rsid w:val="00701528"/>
    <w:rsid w:val="007016CB"/>
    <w:rsid w:val="00701C3C"/>
    <w:rsid w:val="00702397"/>
    <w:rsid w:val="0070403C"/>
    <w:rsid w:val="00704678"/>
    <w:rsid w:val="00704A52"/>
    <w:rsid w:val="00706015"/>
    <w:rsid w:val="0070697F"/>
    <w:rsid w:val="00707469"/>
    <w:rsid w:val="00707656"/>
    <w:rsid w:val="00707A3E"/>
    <w:rsid w:val="00710A65"/>
    <w:rsid w:val="0071138F"/>
    <w:rsid w:val="00711806"/>
    <w:rsid w:val="007118A6"/>
    <w:rsid w:val="00711C5D"/>
    <w:rsid w:val="00711D25"/>
    <w:rsid w:val="00712942"/>
    <w:rsid w:val="00712BB0"/>
    <w:rsid w:val="00713AD6"/>
    <w:rsid w:val="00714AB0"/>
    <w:rsid w:val="00715A05"/>
    <w:rsid w:val="00716271"/>
    <w:rsid w:val="00717473"/>
    <w:rsid w:val="007202FF"/>
    <w:rsid w:val="00721AA7"/>
    <w:rsid w:val="00722022"/>
    <w:rsid w:val="00722E22"/>
    <w:rsid w:val="00722F83"/>
    <w:rsid w:val="00723C2A"/>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403B"/>
    <w:rsid w:val="007340BC"/>
    <w:rsid w:val="007341FC"/>
    <w:rsid w:val="00734419"/>
    <w:rsid w:val="00736611"/>
    <w:rsid w:val="007367D9"/>
    <w:rsid w:val="00736B7B"/>
    <w:rsid w:val="0073722C"/>
    <w:rsid w:val="00737E4E"/>
    <w:rsid w:val="0074076C"/>
    <w:rsid w:val="00741BED"/>
    <w:rsid w:val="00741C55"/>
    <w:rsid w:val="00741EFB"/>
    <w:rsid w:val="007421CE"/>
    <w:rsid w:val="00742ABF"/>
    <w:rsid w:val="007430A2"/>
    <w:rsid w:val="00743AC1"/>
    <w:rsid w:val="0074400F"/>
    <w:rsid w:val="0074463A"/>
    <w:rsid w:val="00744A8E"/>
    <w:rsid w:val="00744FD4"/>
    <w:rsid w:val="00745645"/>
    <w:rsid w:val="007479AE"/>
    <w:rsid w:val="00747A04"/>
    <w:rsid w:val="00747A59"/>
    <w:rsid w:val="00747D87"/>
    <w:rsid w:val="00747E46"/>
    <w:rsid w:val="00747E8F"/>
    <w:rsid w:val="0075010A"/>
    <w:rsid w:val="00750416"/>
    <w:rsid w:val="00750893"/>
    <w:rsid w:val="00751055"/>
    <w:rsid w:val="007510C1"/>
    <w:rsid w:val="007516D8"/>
    <w:rsid w:val="00751D85"/>
    <w:rsid w:val="00752D3F"/>
    <w:rsid w:val="00753151"/>
    <w:rsid w:val="0075327C"/>
    <w:rsid w:val="007537C2"/>
    <w:rsid w:val="0075405A"/>
    <w:rsid w:val="0075406A"/>
    <w:rsid w:val="0075423F"/>
    <w:rsid w:val="00754606"/>
    <w:rsid w:val="007555A8"/>
    <w:rsid w:val="0075621B"/>
    <w:rsid w:val="00756744"/>
    <w:rsid w:val="0075743C"/>
    <w:rsid w:val="007578E0"/>
    <w:rsid w:val="00757B94"/>
    <w:rsid w:val="00757F54"/>
    <w:rsid w:val="007609A6"/>
    <w:rsid w:val="00760C52"/>
    <w:rsid w:val="00761179"/>
    <w:rsid w:val="0076162E"/>
    <w:rsid w:val="0076255C"/>
    <w:rsid w:val="00762A72"/>
    <w:rsid w:val="0076319F"/>
    <w:rsid w:val="007675A6"/>
    <w:rsid w:val="0076791B"/>
    <w:rsid w:val="00767CA3"/>
    <w:rsid w:val="0077043E"/>
    <w:rsid w:val="00770556"/>
    <w:rsid w:val="00770BCB"/>
    <w:rsid w:val="00770C6E"/>
    <w:rsid w:val="00771EB2"/>
    <w:rsid w:val="0077265C"/>
    <w:rsid w:val="007733FE"/>
    <w:rsid w:val="00773575"/>
    <w:rsid w:val="00773778"/>
    <w:rsid w:val="00773BC1"/>
    <w:rsid w:val="00774E70"/>
    <w:rsid w:val="007757B2"/>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39B0"/>
    <w:rsid w:val="00783F7F"/>
    <w:rsid w:val="0078448C"/>
    <w:rsid w:val="00786FCD"/>
    <w:rsid w:val="007871E5"/>
    <w:rsid w:val="00787464"/>
    <w:rsid w:val="00790DAD"/>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F78"/>
    <w:rsid w:val="00796FFA"/>
    <w:rsid w:val="00797040"/>
    <w:rsid w:val="00797077"/>
    <w:rsid w:val="00797246"/>
    <w:rsid w:val="00797670"/>
    <w:rsid w:val="00797F74"/>
    <w:rsid w:val="007A255C"/>
    <w:rsid w:val="007A2DB4"/>
    <w:rsid w:val="007A3154"/>
    <w:rsid w:val="007A31EB"/>
    <w:rsid w:val="007A53C4"/>
    <w:rsid w:val="007A60A0"/>
    <w:rsid w:val="007A76AE"/>
    <w:rsid w:val="007B07BA"/>
    <w:rsid w:val="007B0FBD"/>
    <w:rsid w:val="007B2872"/>
    <w:rsid w:val="007B290A"/>
    <w:rsid w:val="007B3169"/>
    <w:rsid w:val="007B3B62"/>
    <w:rsid w:val="007B46DF"/>
    <w:rsid w:val="007B5305"/>
    <w:rsid w:val="007B553E"/>
    <w:rsid w:val="007B5692"/>
    <w:rsid w:val="007B6400"/>
    <w:rsid w:val="007B66FF"/>
    <w:rsid w:val="007B6D45"/>
    <w:rsid w:val="007B6F2A"/>
    <w:rsid w:val="007B6FC6"/>
    <w:rsid w:val="007B7683"/>
    <w:rsid w:val="007B79F4"/>
    <w:rsid w:val="007B7F7A"/>
    <w:rsid w:val="007C0802"/>
    <w:rsid w:val="007C0FFF"/>
    <w:rsid w:val="007C1134"/>
    <w:rsid w:val="007C1405"/>
    <w:rsid w:val="007C23A7"/>
    <w:rsid w:val="007C253E"/>
    <w:rsid w:val="007C2602"/>
    <w:rsid w:val="007C2DF6"/>
    <w:rsid w:val="007C3C75"/>
    <w:rsid w:val="007C3C91"/>
    <w:rsid w:val="007C4C5D"/>
    <w:rsid w:val="007C4EFD"/>
    <w:rsid w:val="007C50C9"/>
    <w:rsid w:val="007C5922"/>
    <w:rsid w:val="007C5D0C"/>
    <w:rsid w:val="007C645F"/>
    <w:rsid w:val="007C6BBE"/>
    <w:rsid w:val="007C74E9"/>
    <w:rsid w:val="007C793D"/>
    <w:rsid w:val="007D0BAD"/>
    <w:rsid w:val="007D0BC3"/>
    <w:rsid w:val="007D0CC8"/>
    <w:rsid w:val="007D1CE5"/>
    <w:rsid w:val="007D2BD4"/>
    <w:rsid w:val="007D2DE8"/>
    <w:rsid w:val="007D3008"/>
    <w:rsid w:val="007D3155"/>
    <w:rsid w:val="007D3EE3"/>
    <w:rsid w:val="007D4313"/>
    <w:rsid w:val="007D46EC"/>
    <w:rsid w:val="007D5219"/>
    <w:rsid w:val="007D74C5"/>
    <w:rsid w:val="007D7FEC"/>
    <w:rsid w:val="007E016E"/>
    <w:rsid w:val="007E1688"/>
    <w:rsid w:val="007E1F6F"/>
    <w:rsid w:val="007E20FE"/>
    <w:rsid w:val="007E21ED"/>
    <w:rsid w:val="007E30F8"/>
    <w:rsid w:val="007E36D5"/>
    <w:rsid w:val="007E3744"/>
    <w:rsid w:val="007E4C1E"/>
    <w:rsid w:val="007E5598"/>
    <w:rsid w:val="007E5768"/>
    <w:rsid w:val="007E5A82"/>
    <w:rsid w:val="007E6453"/>
    <w:rsid w:val="007E6AA7"/>
    <w:rsid w:val="007E7D56"/>
    <w:rsid w:val="007F04F1"/>
    <w:rsid w:val="007F0524"/>
    <w:rsid w:val="007F0558"/>
    <w:rsid w:val="007F1088"/>
    <w:rsid w:val="007F1525"/>
    <w:rsid w:val="007F197F"/>
    <w:rsid w:val="007F1A42"/>
    <w:rsid w:val="007F1E94"/>
    <w:rsid w:val="007F23FA"/>
    <w:rsid w:val="007F4057"/>
    <w:rsid w:val="007F4114"/>
    <w:rsid w:val="007F4905"/>
    <w:rsid w:val="007F5078"/>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A17"/>
    <w:rsid w:val="00806A87"/>
    <w:rsid w:val="00806B9A"/>
    <w:rsid w:val="0080754E"/>
    <w:rsid w:val="0081075E"/>
    <w:rsid w:val="00810A04"/>
    <w:rsid w:val="00810A80"/>
    <w:rsid w:val="0081104F"/>
    <w:rsid w:val="008111DF"/>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F84"/>
    <w:rsid w:val="00836899"/>
    <w:rsid w:val="00836C53"/>
    <w:rsid w:val="00837EFA"/>
    <w:rsid w:val="00837F01"/>
    <w:rsid w:val="00837F07"/>
    <w:rsid w:val="00841D52"/>
    <w:rsid w:val="00842084"/>
    <w:rsid w:val="00842637"/>
    <w:rsid w:val="008428EB"/>
    <w:rsid w:val="00842D1F"/>
    <w:rsid w:val="00843469"/>
    <w:rsid w:val="008438E5"/>
    <w:rsid w:val="00844472"/>
    <w:rsid w:val="00844EEA"/>
    <w:rsid w:val="00846C80"/>
    <w:rsid w:val="008470D3"/>
    <w:rsid w:val="0084741B"/>
    <w:rsid w:val="008475B1"/>
    <w:rsid w:val="008501CC"/>
    <w:rsid w:val="008502F3"/>
    <w:rsid w:val="00850C6B"/>
    <w:rsid w:val="00851122"/>
    <w:rsid w:val="008512B9"/>
    <w:rsid w:val="0085178F"/>
    <w:rsid w:val="008517FE"/>
    <w:rsid w:val="00852FD1"/>
    <w:rsid w:val="008531F4"/>
    <w:rsid w:val="00853E30"/>
    <w:rsid w:val="008541E6"/>
    <w:rsid w:val="008543E9"/>
    <w:rsid w:val="00854888"/>
    <w:rsid w:val="00854CDA"/>
    <w:rsid w:val="00854E94"/>
    <w:rsid w:val="00855135"/>
    <w:rsid w:val="00855212"/>
    <w:rsid w:val="00855AA2"/>
    <w:rsid w:val="00855E94"/>
    <w:rsid w:val="008561B1"/>
    <w:rsid w:val="00860131"/>
    <w:rsid w:val="00860447"/>
    <w:rsid w:val="0086091F"/>
    <w:rsid w:val="00860DA1"/>
    <w:rsid w:val="00860F0D"/>
    <w:rsid w:val="00860FDA"/>
    <w:rsid w:val="0086109A"/>
    <w:rsid w:val="008610BC"/>
    <w:rsid w:val="008624ED"/>
    <w:rsid w:val="00863F07"/>
    <w:rsid w:val="008643DD"/>
    <w:rsid w:val="0086507A"/>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EAC"/>
    <w:rsid w:val="00873CB1"/>
    <w:rsid w:val="00874E99"/>
    <w:rsid w:val="00875109"/>
    <w:rsid w:val="0087576F"/>
    <w:rsid w:val="008760A5"/>
    <w:rsid w:val="0087614B"/>
    <w:rsid w:val="00876594"/>
    <w:rsid w:val="008807F8"/>
    <w:rsid w:val="008809DA"/>
    <w:rsid w:val="00881844"/>
    <w:rsid w:val="00881948"/>
    <w:rsid w:val="0088265B"/>
    <w:rsid w:val="00883506"/>
    <w:rsid w:val="008837F2"/>
    <w:rsid w:val="00883A9D"/>
    <w:rsid w:val="0088413B"/>
    <w:rsid w:val="008849BB"/>
    <w:rsid w:val="00884D26"/>
    <w:rsid w:val="008853F4"/>
    <w:rsid w:val="008855F2"/>
    <w:rsid w:val="00886AAB"/>
    <w:rsid w:val="00890279"/>
    <w:rsid w:val="00890686"/>
    <w:rsid w:val="00890A30"/>
    <w:rsid w:val="00890BA1"/>
    <w:rsid w:val="0089114C"/>
    <w:rsid w:val="00891284"/>
    <w:rsid w:val="00891825"/>
    <w:rsid w:val="008925F2"/>
    <w:rsid w:val="00894369"/>
    <w:rsid w:val="008947D7"/>
    <w:rsid w:val="008948DC"/>
    <w:rsid w:val="008959F1"/>
    <w:rsid w:val="008961C2"/>
    <w:rsid w:val="00896238"/>
    <w:rsid w:val="00896A8B"/>
    <w:rsid w:val="008972C8"/>
    <w:rsid w:val="008A0F74"/>
    <w:rsid w:val="008A0FF9"/>
    <w:rsid w:val="008A113D"/>
    <w:rsid w:val="008A1DDD"/>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9CF"/>
    <w:rsid w:val="008B2CF6"/>
    <w:rsid w:val="008B2E8C"/>
    <w:rsid w:val="008B4363"/>
    <w:rsid w:val="008B447C"/>
    <w:rsid w:val="008B462E"/>
    <w:rsid w:val="008B529C"/>
    <w:rsid w:val="008B556E"/>
    <w:rsid w:val="008B5708"/>
    <w:rsid w:val="008B5FB5"/>
    <w:rsid w:val="008B60D1"/>
    <w:rsid w:val="008B64A7"/>
    <w:rsid w:val="008B6B11"/>
    <w:rsid w:val="008B76F8"/>
    <w:rsid w:val="008B7D09"/>
    <w:rsid w:val="008C029D"/>
    <w:rsid w:val="008C0849"/>
    <w:rsid w:val="008C1112"/>
    <w:rsid w:val="008C12CE"/>
    <w:rsid w:val="008C1BF9"/>
    <w:rsid w:val="008C3025"/>
    <w:rsid w:val="008C4006"/>
    <w:rsid w:val="008C410D"/>
    <w:rsid w:val="008C655F"/>
    <w:rsid w:val="008C774A"/>
    <w:rsid w:val="008C7F7D"/>
    <w:rsid w:val="008D0056"/>
    <w:rsid w:val="008D0291"/>
    <w:rsid w:val="008D165C"/>
    <w:rsid w:val="008D2167"/>
    <w:rsid w:val="008D2908"/>
    <w:rsid w:val="008D2CFC"/>
    <w:rsid w:val="008D33E2"/>
    <w:rsid w:val="008D3692"/>
    <w:rsid w:val="008D3D32"/>
    <w:rsid w:val="008D4183"/>
    <w:rsid w:val="008D5390"/>
    <w:rsid w:val="008D542B"/>
    <w:rsid w:val="008D56AA"/>
    <w:rsid w:val="008D6463"/>
    <w:rsid w:val="008D6DF6"/>
    <w:rsid w:val="008D76BC"/>
    <w:rsid w:val="008D7E55"/>
    <w:rsid w:val="008D7EFD"/>
    <w:rsid w:val="008E01AD"/>
    <w:rsid w:val="008E0E26"/>
    <w:rsid w:val="008E1B4D"/>
    <w:rsid w:val="008E2A43"/>
    <w:rsid w:val="008E3D7E"/>
    <w:rsid w:val="008E4094"/>
    <w:rsid w:val="008E445A"/>
    <w:rsid w:val="008E4598"/>
    <w:rsid w:val="008E4810"/>
    <w:rsid w:val="008E4F20"/>
    <w:rsid w:val="008E522F"/>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8CF"/>
    <w:rsid w:val="008F752B"/>
    <w:rsid w:val="008F7677"/>
    <w:rsid w:val="008F788F"/>
    <w:rsid w:val="009001AD"/>
    <w:rsid w:val="0090020A"/>
    <w:rsid w:val="00900935"/>
    <w:rsid w:val="00900AEB"/>
    <w:rsid w:val="009014E2"/>
    <w:rsid w:val="00901BCF"/>
    <w:rsid w:val="00902410"/>
    <w:rsid w:val="0090268A"/>
    <w:rsid w:val="00902986"/>
    <w:rsid w:val="00903CE0"/>
    <w:rsid w:val="00903E00"/>
    <w:rsid w:val="00903ED1"/>
    <w:rsid w:val="00904BEA"/>
    <w:rsid w:val="009053F0"/>
    <w:rsid w:val="009057F8"/>
    <w:rsid w:val="009073EB"/>
    <w:rsid w:val="00907583"/>
    <w:rsid w:val="00910E4B"/>
    <w:rsid w:val="009119A1"/>
    <w:rsid w:val="00912435"/>
    <w:rsid w:val="009128C0"/>
    <w:rsid w:val="00913710"/>
    <w:rsid w:val="00913D31"/>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1A3A"/>
    <w:rsid w:val="00932801"/>
    <w:rsid w:val="00933957"/>
    <w:rsid w:val="00934322"/>
    <w:rsid w:val="009347C1"/>
    <w:rsid w:val="00935BF0"/>
    <w:rsid w:val="0093666F"/>
    <w:rsid w:val="00936C7E"/>
    <w:rsid w:val="00940B37"/>
    <w:rsid w:val="00941BEB"/>
    <w:rsid w:val="00942C31"/>
    <w:rsid w:val="00943172"/>
    <w:rsid w:val="00944455"/>
    <w:rsid w:val="0094670F"/>
    <w:rsid w:val="00946867"/>
    <w:rsid w:val="00946B73"/>
    <w:rsid w:val="0094749C"/>
    <w:rsid w:val="00947DED"/>
    <w:rsid w:val="00951060"/>
    <w:rsid w:val="00951159"/>
    <w:rsid w:val="009519B7"/>
    <w:rsid w:val="00951C1A"/>
    <w:rsid w:val="009520B8"/>
    <w:rsid w:val="00953051"/>
    <w:rsid w:val="00953723"/>
    <w:rsid w:val="00953A11"/>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42E"/>
    <w:rsid w:val="00962086"/>
    <w:rsid w:val="0096212F"/>
    <w:rsid w:val="00962FF5"/>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267A"/>
    <w:rsid w:val="00982CBC"/>
    <w:rsid w:val="009830A8"/>
    <w:rsid w:val="0098330A"/>
    <w:rsid w:val="009833F5"/>
    <w:rsid w:val="00984014"/>
    <w:rsid w:val="009853DF"/>
    <w:rsid w:val="00985488"/>
    <w:rsid w:val="00986A52"/>
    <w:rsid w:val="00990BE3"/>
    <w:rsid w:val="009910CD"/>
    <w:rsid w:val="00991B6D"/>
    <w:rsid w:val="00991CB4"/>
    <w:rsid w:val="00992040"/>
    <w:rsid w:val="00992482"/>
    <w:rsid w:val="0099249F"/>
    <w:rsid w:val="00993789"/>
    <w:rsid w:val="0099463A"/>
    <w:rsid w:val="00995FAA"/>
    <w:rsid w:val="00996012"/>
    <w:rsid w:val="0099618A"/>
    <w:rsid w:val="00996C03"/>
    <w:rsid w:val="00997C91"/>
    <w:rsid w:val="00997F68"/>
    <w:rsid w:val="009A004B"/>
    <w:rsid w:val="009A0F6A"/>
    <w:rsid w:val="009A0FCF"/>
    <w:rsid w:val="009A18DE"/>
    <w:rsid w:val="009A26AA"/>
    <w:rsid w:val="009A3D19"/>
    <w:rsid w:val="009A5344"/>
    <w:rsid w:val="009A66E1"/>
    <w:rsid w:val="009A7F2E"/>
    <w:rsid w:val="009B0A7F"/>
    <w:rsid w:val="009B1135"/>
    <w:rsid w:val="009B1BA8"/>
    <w:rsid w:val="009B1F0C"/>
    <w:rsid w:val="009B2665"/>
    <w:rsid w:val="009B2945"/>
    <w:rsid w:val="009B37E1"/>
    <w:rsid w:val="009B3A4F"/>
    <w:rsid w:val="009B42BD"/>
    <w:rsid w:val="009B5717"/>
    <w:rsid w:val="009B7294"/>
    <w:rsid w:val="009B734D"/>
    <w:rsid w:val="009B74CF"/>
    <w:rsid w:val="009B7FD0"/>
    <w:rsid w:val="009C04B9"/>
    <w:rsid w:val="009C087C"/>
    <w:rsid w:val="009C1069"/>
    <w:rsid w:val="009C1C52"/>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4056"/>
    <w:rsid w:val="009D4598"/>
    <w:rsid w:val="009D6A6D"/>
    <w:rsid w:val="009D6D35"/>
    <w:rsid w:val="009D6E28"/>
    <w:rsid w:val="009D79F0"/>
    <w:rsid w:val="009D7E3E"/>
    <w:rsid w:val="009D7E47"/>
    <w:rsid w:val="009E00BF"/>
    <w:rsid w:val="009E0535"/>
    <w:rsid w:val="009E0F92"/>
    <w:rsid w:val="009E11FF"/>
    <w:rsid w:val="009E1697"/>
    <w:rsid w:val="009E1867"/>
    <w:rsid w:val="009E1F69"/>
    <w:rsid w:val="009E2631"/>
    <w:rsid w:val="009E3305"/>
    <w:rsid w:val="009E37BA"/>
    <w:rsid w:val="009E38B7"/>
    <w:rsid w:val="009E3CC5"/>
    <w:rsid w:val="009E3EF5"/>
    <w:rsid w:val="009E41FF"/>
    <w:rsid w:val="009E4FCA"/>
    <w:rsid w:val="009E65ED"/>
    <w:rsid w:val="009E6C74"/>
    <w:rsid w:val="009E6E40"/>
    <w:rsid w:val="009E6EA5"/>
    <w:rsid w:val="009E6EF5"/>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FAF"/>
    <w:rsid w:val="009F53AD"/>
    <w:rsid w:val="009F5973"/>
    <w:rsid w:val="009F59E9"/>
    <w:rsid w:val="009F6199"/>
    <w:rsid w:val="009F674D"/>
    <w:rsid w:val="009F6941"/>
    <w:rsid w:val="009F6E12"/>
    <w:rsid w:val="009F6E9F"/>
    <w:rsid w:val="009F7D38"/>
    <w:rsid w:val="00A0033C"/>
    <w:rsid w:val="00A00B4A"/>
    <w:rsid w:val="00A00D21"/>
    <w:rsid w:val="00A01038"/>
    <w:rsid w:val="00A01CB6"/>
    <w:rsid w:val="00A025E7"/>
    <w:rsid w:val="00A03334"/>
    <w:rsid w:val="00A04A3F"/>
    <w:rsid w:val="00A0519F"/>
    <w:rsid w:val="00A05D33"/>
    <w:rsid w:val="00A06DF6"/>
    <w:rsid w:val="00A07D79"/>
    <w:rsid w:val="00A10888"/>
    <w:rsid w:val="00A1172D"/>
    <w:rsid w:val="00A13399"/>
    <w:rsid w:val="00A13654"/>
    <w:rsid w:val="00A1443A"/>
    <w:rsid w:val="00A14453"/>
    <w:rsid w:val="00A14907"/>
    <w:rsid w:val="00A14A1D"/>
    <w:rsid w:val="00A14C3A"/>
    <w:rsid w:val="00A1510D"/>
    <w:rsid w:val="00A157A8"/>
    <w:rsid w:val="00A165F9"/>
    <w:rsid w:val="00A17637"/>
    <w:rsid w:val="00A17F6F"/>
    <w:rsid w:val="00A2095F"/>
    <w:rsid w:val="00A20B7B"/>
    <w:rsid w:val="00A20DC7"/>
    <w:rsid w:val="00A21C15"/>
    <w:rsid w:val="00A22880"/>
    <w:rsid w:val="00A22E32"/>
    <w:rsid w:val="00A22F5B"/>
    <w:rsid w:val="00A22F86"/>
    <w:rsid w:val="00A231F6"/>
    <w:rsid w:val="00A237C2"/>
    <w:rsid w:val="00A238DE"/>
    <w:rsid w:val="00A24938"/>
    <w:rsid w:val="00A25EC5"/>
    <w:rsid w:val="00A26411"/>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26B"/>
    <w:rsid w:val="00A358A6"/>
    <w:rsid w:val="00A35B2F"/>
    <w:rsid w:val="00A36542"/>
    <w:rsid w:val="00A36B96"/>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4614"/>
    <w:rsid w:val="00A454D6"/>
    <w:rsid w:val="00A46C18"/>
    <w:rsid w:val="00A47FEE"/>
    <w:rsid w:val="00A5085C"/>
    <w:rsid w:val="00A5111A"/>
    <w:rsid w:val="00A51E26"/>
    <w:rsid w:val="00A52D17"/>
    <w:rsid w:val="00A530CC"/>
    <w:rsid w:val="00A533FC"/>
    <w:rsid w:val="00A54678"/>
    <w:rsid w:val="00A54D8F"/>
    <w:rsid w:val="00A5561C"/>
    <w:rsid w:val="00A55E25"/>
    <w:rsid w:val="00A56E2A"/>
    <w:rsid w:val="00A57450"/>
    <w:rsid w:val="00A57847"/>
    <w:rsid w:val="00A6016F"/>
    <w:rsid w:val="00A61919"/>
    <w:rsid w:val="00A61B14"/>
    <w:rsid w:val="00A6243A"/>
    <w:rsid w:val="00A62523"/>
    <w:rsid w:val="00A634BE"/>
    <w:rsid w:val="00A63627"/>
    <w:rsid w:val="00A643F1"/>
    <w:rsid w:val="00A64B94"/>
    <w:rsid w:val="00A64D42"/>
    <w:rsid w:val="00A64FCB"/>
    <w:rsid w:val="00A65029"/>
    <w:rsid w:val="00A650CC"/>
    <w:rsid w:val="00A65346"/>
    <w:rsid w:val="00A65627"/>
    <w:rsid w:val="00A659CE"/>
    <w:rsid w:val="00A659DD"/>
    <w:rsid w:val="00A66FE1"/>
    <w:rsid w:val="00A67F86"/>
    <w:rsid w:val="00A705B1"/>
    <w:rsid w:val="00A70E17"/>
    <w:rsid w:val="00A71168"/>
    <w:rsid w:val="00A719A2"/>
    <w:rsid w:val="00A72205"/>
    <w:rsid w:val="00A72281"/>
    <w:rsid w:val="00A72DBF"/>
    <w:rsid w:val="00A7434F"/>
    <w:rsid w:val="00A75056"/>
    <w:rsid w:val="00A752CB"/>
    <w:rsid w:val="00A75C06"/>
    <w:rsid w:val="00A766A2"/>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90120"/>
    <w:rsid w:val="00A904E0"/>
    <w:rsid w:val="00A9236B"/>
    <w:rsid w:val="00A939A2"/>
    <w:rsid w:val="00A93C5E"/>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75D4"/>
    <w:rsid w:val="00AB7A17"/>
    <w:rsid w:val="00AB7BEA"/>
    <w:rsid w:val="00AC0F2D"/>
    <w:rsid w:val="00AC1CD3"/>
    <w:rsid w:val="00AC27BA"/>
    <w:rsid w:val="00AC30BE"/>
    <w:rsid w:val="00AC37D9"/>
    <w:rsid w:val="00AC3BBF"/>
    <w:rsid w:val="00AC3EC6"/>
    <w:rsid w:val="00AC5F31"/>
    <w:rsid w:val="00AC6610"/>
    <w:rsid w:val="00AC6C25"/>
    <w:rsid w:val="00AC6F05"/>
    <w:rsid w:val="00AC759B"/>
    <w:rsid w:val="00AC75E3"/>
    <w:rsid w:val="00AC769B"/>
    <w:rsid w:val="00AC7718"/>
    <w:rsid w:val="00AC7A17"/>
    <w:rsid w:val="00AC7B50"/>
    <w:rsid w:val="00AD13F2"/>
    <w:rsid w:val="00AD2082"/>
    <w:rsid w:val="00AD2698"/>
    <w:rsid w:val="00AD304D"/>
    <w:rsid w:val="00AD305C"/>
    <w:rsid w:val="00AD3214"/>
    <w:rsid w:val="00AD45A5"/>
    <w:rsid w:val="00AD4D43"/>
    <w:rsid w:val="00AD631C"/>
    <w:rsid w:val="00AD6949"/>
    <w:rsid w:val="00AD6AD8"/>
    <w:rsid w:val="00AD7277"/>
    <w:rsid w:val="00AD7601"/>
    <w:rsid w:val="00AD7C58"/>
    <w:rsid w:val="00AD7CC8"/>
    <w:rsid w:val="00AD7F22"/>
    <w:rsid w:val="00AD7FB0"/>
    <w:rsid w:val="00AE0EEA"/>
    <w:rsid w:val="00AE202C"/>
    <w:rsid w:val="00AE2595"/>
    <w:rsid w:val="00AE4689"/>
    <w:rsid w:val="00AE48E6"/>
    <w:rsid w:val="00AE4C5D"/>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E44"/>
    <w:rsid w:val="00AF3FF8"/>
    <w:rsid w:val="00AF445A"/>
    <w:rsid w:val="00AF475B"/>
    <w:rsid w:val="00AF479A"/>
    <w:rsid w:val="00AF486C"/>
    <w:rsid w:val="00AF498A"/>
    <w:rsid w:val="00AF4DF4"/>
    <w:rsid w:val="00AF561E"/>
    <w:rsid w:val="00AF5D75"/>
    <w:rsid w:val="00AF66CF"/>
    <w:rsid w:val="00AF69FE"/>
    <w:rsid w:val="00AF6C39"/>
    <w:rsid w:val="00AF72FA"/>
    <w:rsid w:val="00AF7EB2"/>
    <w:rsid w:val="00AF7F78"/>
    <w:rsid w:val="00B0059E"/>
    <w:rsid w:val="00B00E2C"/>
    <w:rsid w:val="00B01119"/>
    <w:rsid w:val="00B0183E"/>
    <w:rsid w:val="00B026DA"/>
    <w:rsid w:val="00B04078"/>
    <w:rsid w:val="00B0464B"/>
    <w:rsid w:val="00B04D0E"/>
    <w:rsid w:val="00B04E18"/>
    <w:rsid w:val="00B04F32"/>
    <w:rsid w:val="00B05811"/>
    <w:rsid w:val="00B062A8"/>
    <w:rsid w:val="00B06562"/>
    <w:rsid w:val="00B10202"/>
    <w:rsid w:val="00B1092D"/>
    <w:rsid w:val="00B10A1B"/>
    <w:rsid w:val="00B10B4B"/>
    <w:rsid w:val="00B10DE6"/>
    <w:rsid w:val="00B11A6E"/>
    <w:rsid w:val="00B13538"/>
    <w:rsid w:val="00B138DB"/>
    <w:rsid w:val="00B15ECF"/>
    <w:rsid w:val="00B1642D"/>
    <w:rsid w:val="00B16B18"/>
    <w:rsid w:val="00B16E50"/>
    <w:rsid w:val="00B17CC8"/>
    <w:rsid w:val="00B20257"/>
    <w:rsid w:val="00B20E11"/>
    <w:rsid w:val="00B21372"/>
    <w:rsid w:val="00B21EDA"/>
    <w:rsid w:val="00B21F02"/>
    <w:rsid w:val="00B22069"/>
    <w:rsid w:val="00B242C3"/>
    <w:rsid w:val="00B24470"/>
    <w:rsid w:val="00B246C0"/>
    <w:rsid w:val="00B258B3"/>
    <w:rsid w:val="00B25B96"/>
    <w:rsid w:val="00B2647E"/>
    <w:rsid w:val="00B2661E"/>
    <w:rsid w:val="00B277D3"/>
    <w:rsid w:val="00B30410"/>
    <w:rsid w:val="00B3149D"/>
    <w:rsid w:val="00B314E9"/>
    <w:rsid w:val="00B319AA"/>
    <w:rsid w:val="00B32444"/>
    <w:rsid w:val="00B32455"/>
    <w:rsid w:val="00B32B2B"/>
    <w:rsid w:val="00B32D2C"/>
    <w:rsid w:val="00B35454"/>
    <w:rsid w:val="00B3551D"/>
    <w:rsid w:val="00B356B3"/>
    <w:rsid w:val="00B36287"/>
    <w:rsid w:val="00B36CB1"/>
    <w:rsid w:val="00B37673"/>
    <w:rsid w:val="00B37865"/>
    <w:rsid w:val="00B37934"/>
    <w:rsid w:val="00B37C1E"/>
    <w:rsid w:val="00B37D08"/>
    <w:rsid w:val="00B37D35"/>
    <w:rsid w:val="00B402F5"/>
    <w:rsid w:val="00B41952"/>
    <w:rsid w:val="00B427DC"/>
    <w:rsid w:val="00B43A64"/>
    <w:rsid w:val="00B43DE1"/>
    <w:rsid w:val="00B4408C"/>
    <w:rsid w:val="00B441FB"/>
    <w:rsid w:val="00B4436C"/>
    <w:rsid w:val="00B445F0"/>
    <w:rsid w:val="00B4501F"/>
    <w:rsid w:val="00B4548E"/>
    <w:rsid w:val="00B46074"/>
    <w:rsid w:val="00B46317"/>
    <w:rsid w:val="00B4672D"/>
    <w:rsid w:val="00B50C68"/>
    <w:rsid w:val="00B51301"/>
    <w:rsid w:val="00B51302"/>
    <w:rsid w:val="00B51730"/>
    <w:rsid w:val="00B518D7"/>
    <w:rsid w:val="00B518DD"/>
    <w:rsid w:val="00B52559"/>
    <w:rsid w:val="00B5257D"/>
    <w:rsid w:val="00B52934"/>
    <w:rsid w:val="00B52B46"/>
    <w:rsid w:val="00B53091"/>
    <w:rsid w:val="00B53358"/>
    <w:rsid w:val="00B540A4"/>
    <w:rsid w:val="00B541CE"/>
    <w:rsid w:val="00B5552F"/>
    <w:rsid w:val="00B565EE"/>
    <w:rsid w:val="00B56F74"/>
    <w:rsid w:val="00B57297"/>
    <w:rsid w:val="00B5797A"/>
    <w:rsid w:val="00B57DC2"/>
    <w:rsid w:val="00B57E48"/>
    <w:rsid w:val="00B606A0"/>
    <w:rsid w:val="00B60AA6"/>
    <w:rsid w:val="00B60F29"/>
    <w:rsid w:val="00B62052"/>
    <w:rsid w:val="00B62239"/>
    <w:rsid w:val="00B623FB"/>
    <w:rsid w:val="00B6419E"/>
    <w:rsid w:val="00B64AEC"/>
    <w:rsid w:val="00B66A52"/>
    <w:rsid w:val="00B66C06"/>
    <w:rsid w:val="00B67664"/>
    <w:rsid w:val="00B70F5F"/>
    <w:rsid w:val="00B7123E"/>
    <w:rsid w:val="00B719FE"/>
    <w:rsid w:val="00B71EF2"/>
    <w:rsid w:val="00B7267D"/>
    <w:rsid w:val="00B72E89"/>
    <w:rsid w:val="00B73079"/>
    <w:rsid w:val="00B738FF"/>
    <w:rsid w:val="00B73B43"/>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59E"/>
    <w:rsid w:val="00B82A75"/>
    <w:rsid w:val="00B82CA7"/>
    <w:rsid w:val="00B8340B"/>
    <w:rsid w:val="00B8348E"/>
    <w:rsid w:val="00B8378E"/>
    <w:rsid w:val="00B855C7"/>
    <w:rsid w:val="00B858B4"/>
    <w:rsid w:val="00B861F9"/>
    <w:rsid w:val="00B865EC"/>
    <w:rsid w:val="00B86AA8"/>
    <w:rsid w:val="00B86EDD"/>
    <w:rsid w:val="00B90939"/>
    <w:rsid w:val="00B90E83"/>
    <w:rsid w:val="00B9114A"/>
    <w:rsid w:val="00B91E88"/>
    <w:rsid w:val="00B92166"/>
    <w:rsid w:val="00B9406C"/>
    <w:rsid w:val="00B940C9"/>
    <w:rsid w:val="00B94B52"/>
    <w:rsid w:val="00B94C8C"/>
    <w:rsid w:val="00B9603E"/>
    <w:rsid w:val="00B96A73"/>
    <w:rsid w:val="00B96EE3"/>
    <w:rsid w:val="00B9720F"/>
    <w:rsid w:val="00B97463"/>
    <w:rsid w:val="00B974C3"/>
    <w:rsid w:val="00BA0874"/>
    <w:rsid w:val="00BA0C68"/>
    <w:rsid w:val="00BA16CF"/>
    <w:rsid w:val="00BA1843"/>
    <w:rsid w:val="00BA1965"/>
    <w:rsid w:val="00BA27B1"/>
    <w:rsid w:val="00BA2CCB"/>
    <w:rsid w:val="00BA3565"/>
    <w:rsid w:val="00BA3DFB"/>
    <w:rsid w:val="00BA43DE"/>
    <w:rsid w:val="00BA4809"/>
    <w:rsid w:val="00BA4B3E"/>
    <w:rsid w:val="00BA71C4"/>
    <w:rsid w:val="00BA752E"/>
    <w:rsid w:val="00BA75D8"/>
    <w:rsid w:val="00BB16D2"/>
    <w:rsid w:val="00BB2BFF"/>
    <w:rsid w:val="00BB2D88"/>
    <w:rsid w:val="00BB35C2"/>
    <w:rsid w:val="00BB3FF8"/>
    <w:rsid w:val="00BB45F8"/>
    <w:rsid w:val="00BB4BE0"/>
    <w:rsid w:val="00BB504A"/>
    <w:rsid w:val="00BB61AD"/>
    <w:rsid w:val="00BB62D8"/>
    <w:rsid w:val="00BB6A95"/>
    <w:rsid w:val="00BB781E"/>
    <w:rsid w:val="00BB7853"/>
    <w:rsid w:val="00BB7B9A"/>
    <w:rsid w:val="00BB7EE1"/>
    <w:rsid w:val="00BC0EE9"/>
    <w:rsid w:val="00BC1B30"/>
    <w:rsid w:val="00BC1BE4"/>
    <w:rsid w:val="00BC2930"/>
    <w:rsid w:val="00BC29F5"/>
    <w:rsid w:val="00BC2CC3"/>
    <w:rsid w:val="00BC2DEA"/>
    <w:rsid w:val="00BC35E6"/>
    <w:rsid w:val="00BC3D9E"/>
    <w:rsid w:val="00BC4102"/>
    <w:rsid w:val="00BC48EB"/>
    <w:rsid w:val="00BC4A27"/>
    <w:rsid w:val="00BC5830"/>
    <w:rsid w:val="00BC622D"/>
    <w:rsid w:val="00BC639C"/>
    <w:rsid w:val="00BC6661"/>
    <w:rsid w:val="00BC6CB9"/>
    <w:rsid w:val="00BC6DA2"/>
    <w:rsid w:val="00BC7184"/>
    <w:rsid w:val="00BC76ED"/>
    <w:rsid w:val="00BC7C3A"/>
    <w:rsid w:val="00BC7E38"/>
    <w:rsid w:val="00BC7E6B"/>
    <w:rsid w:val="00BD0424"/>
    <w:rsid w:val="00BD07C2"/>
    <w:rsid w:val="00BD1247"/>
    <w:rsid w:val="00BD1362"/>
    <w:rsid w:val="00BD1E42"/>
    <w:rsid w:val="00BD2263"/>
    <w:rsid w:val="00BD2A6D"/>
    <w:rsid w:val="00BD2D1D"/>
    <w:rsid w:val="00BD31B8"/>
    <w:rsid w:val="00BD3408"/>
    <w:rsid w:val="00BD466A"/>
    <w:rsid w:val="00BD5574"/>
    <w:rsid w:val="00BD5A15"/>
    <w:rsid w:val="00BD5BD0"/>
    <w:rsid w:val="00BD682E"/>
    <w:rsid w:val="00BE069D"/>
    <w:rsid w:val="00BE08C3"/>
    <w:rsid w:val="00BE0A69"/>
    <w:rsid w:val="00BE1309"/>
    <w:rsid w:val="00BE23A6"/>
    <w:rsid w:val="00BE23E5"/>
    <w:rsid w:val="00BE2673"/>
    <w:rsid w:val="00BE2928"/>
    <w:rsid w:val="00BE3496"/>
    <w:rsid w:val="00BE3EB6"/>
    <w:rsid w:val="00BE4201"/>
    <w:rsid w:val="00BE464A"/>
    <w:rsid w:val="00BE4F2D"/>
    <w:rsid w:val="00BE5519"/>
    <w:rsid w:val="00BE5F21"/>
    <w:rsid w:val="00BE5F5A"/>
    <w:rsid w:val="00BE61A5"/>
    <w:rsid w:val="00BE61F8"/>
    <w:rsid w:val="00BE6319"/>
    <w:rsid w:val="00BF0604"/>
    <w:rsid w:val="00BF1A23"/>
    <w:rsid w:val="00BF1B0F"/>
    <w:rsid w:val="00BF245B"/>
    <w:rsid w:val="00BF2BBB"/>
    <w:rsid w:val="00BF3265"/>
    <w:rsid w:val="00BF4026"/>
    <w:rsid w:val="00BF44F1"/>
    <w:rsid w:val="00BF54E1"/>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61C"/>
    <w:rsid w:val="00C057AC"/>
    <w:rsid w:val="00C05CDB"/>
    <w:rsid w:val="00C05F61"/>
    <w:rsid w:val="00C06510"/>
    <w:rsid w:val="00C066E9"/>
    <w:rsid w:val="00C101BE"/>
    <w:rsid w:val="00C10785"/>
    <w:rsid w:val="00C12526"/>
    <w:rsid w:val="00C1310A"/>
    <w:rsid w:val="00C1349C"/>
    <w:rsid w:val="00C1366E"/>
    <w:rsid w:val="00C145D1"/>
    <w:rsid w:val="00C15089"/>
    <w:rsid w:val="00C15A42"/>
    <w:rsid w:val="00C15C22"/>
    <w:rsid w:val="00C16264"/>
    <w:rsid w:val="00C17564"/>
    <w:rsid w:val="00C17693"/>
    <w:rsid w:val="00C208E4"/>
    <w:rsid w:val="00C20984"/>
    <w:rsid w:val="00C217FC"/>
    <w:rsid w:val="00C220F8"/>
    <w:rsid w:val="00C22597"/>
    <w:rsid w:val="00C23F47"/>
    <w:rsid w:val="00C24627"/>
    <w:rsid w:val="00C249D6"/>
    <w:rsid w:val="00C25030"/>
    <w:rsid w:val="00C25405"/>
    <w:rsid w:val="00C26774"/>
    <w:rsid w:val="00C279A3"/>
    <w:rsid w:val="00C30235"/>
    <w:rsid w:val="00C31CB4"/>
    <w:rsid w:val="00C32863"/>
    <w:rsid w:val="00C3291F"/>
    <w:rsid w:val="00C3387C"/>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4786"/>
    <w:rsid w:val="00C44D6D"/>
    <w:rsid w:val="00C44E68"/>
    <w:rsid w:val="00C45E11"/>
    <w:rsid w:val="00C468FB"/>
    <w:rsid w:val="00C473E4"/>
    <w:rsid w:val="00C47BF6"/>
    <w:rsid w:val="00C47DCC"/>
    <w:rsid w:val="00C50113"/>
    <w:rsid w:val="00C50550"/>
    <w:rsid w:val="00C50805"/>
    <w:rsid w:val="00C50D09"/>
    <w:rsid w:val="00C5266D"/>
    <w:rsid w:val="00C52694"/>
    <w:rsid w:val="00C5287B"/>
    <w:rsid w:val="00C52E49"/>
    <w:rsid w:val="00C53E85"/>
    <w:rsid w:val="00C54272"/>
    <w:rsid w:val="00C549F3"/>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4537"/>
    <w:rsid w:val="00C64630"/>
    <w:rsid w:val="00C649CE"/>
    <w:rsid w:val="00C652DC"/>
    <w:rsid w:val="00C65CCD"/>
    <w:rsid w:val="00C65F60"/>
    <w:rsid w:val="00C67B81"/>
    <w:rsid w:val="00C70340"/>
    <w:rsid w:val="00C70537"/>
    <w:rsid w:val="00C7088D"/>
    <w:rsid w:val="00C71254"/>
    <w:rsid w:val="00C71CE9"/>
    <w:rsid w:val="00C72707"/>
    <w:rsid w:val="00C72EBC"/>
    <w:rsid w:val="00C732D2"/>
    <w:rsid w:val="00C73CAE"/>
    <w:rsid w:val="00C73D42"/>
    <w:rsid w:val="00C73E52"/>
    <w:rsid w:val="00C744BD"/>
    <w:rsid w:val="00C74912"/>
    <w:rsid w:val="00C75CDF"/>
    <w:rsid w:val="00C75FA6"/>
    <w:rsid w:val="00C761B9"/>
    <w:rsid w:val="00C767D7"/>
    <w:rsid w:val="00C77211"/>
    <w:rsid w:val="00C773E7"/>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842"/>
    <w:rsid w:val="00C96B12"/>
    <w:rsid w:val="00C96F87"/>
    <w:rsid w:val="00C97319"/>
    <w:rsid w:val="00C9740F"/>
    <w:rsid w:val="00C97837"/>
    <w:rsid w:val="00CA1229"/>
    <w:rsid w:val="00CA1BFB"/>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5045"/>
    <w:rsid w:val="00CB504C"/>
    <w:rsid w:val="00CB5A3E"/>
    <w:rsid w:val="00CB6830"/>
    <w:rsid w:val="00CB6B86"/>
    <w:rsid w:val="00CB7138"/>
    <w:rsid w:val="00CB7568"/>
    <w:rsid w:val="00CB7901"/>
    <w:rsid w:val="00CB7F03"/>
    <w:rsid w:val="00CC0151"/>
    <w:rsid w:val="00CC024C"/>
    <w:rsid w:val="00CC0393"/>
    <w:rsid w:val="00CC05A5"/>
    <w:rsid w:val="00CC1C74"/>
    <w:rsid w:val="00CC254F"/>
    <w:rsid w:val="00CC2B2D"/>
    <w:rsid w:val="00CC36C9"/>
    <w:rsid w:val="00CC3A7B"/>
    <w:rsid w:val="00CC3D74"/>
    <w:rsid w:val="00CC4BCA"/>
    <w:rsid w:val="00CC4C56"/>
    <w:rsid w:val="00CC4C6C"/>
    <w:rsid w:val="00CC4CBF"/>
    <w:rsid w:val="00CC4E1F"/>
    <w:rsid w:val="00CC67B5"/>
    <w:rsid w:val="00CC6DDA"/>
    <w:rsid w:val="00CC7AA0"/>
    <w:rsid w:val="00CD080B"/>
    <w:rsid w:val="00CD132A"/>
    <w:rsid w:val="00CD260F"/>
    <w:rsid w:val="00CD2F29"/>
    <w:rsid w:val="00CD469A"/>
    <w:rsid w:val="00CD46D7"/>
    <w:rsid w:val="00CD51BB"/>
    <w:rsid w:val="00CD5A8C"/>
    <w:rsid w:val="00CD6048"/>
    <w:rsid w:val="00CD650D"/>
    <w:rsid w:val="00CD73BB"/>
    <w:rsid w:val="00CE0155"/>
    <w:rsid w:val="00CE0E5B"/>
    <w:rsid w:val="00CE1009"/>
    <w:rsid w:val="00CE3704"/>
    <w:rsid w:val="00CE4D2B"/>
    <w:rsid w:val="00CE4DBC"/>
    <w:rsid w:val="00CE52CC"/>
    <w:rsid w:val="00CE5CB1"/>
    <w:rsid w:val="00CE60A2"/>
    <w:rsid w:val="00CE64A4"/>
    <w:rsid w:val="00CE64B5"/>
    <w:rsid w:val="00CE6C12"/>
    <w:rsid w:val="00CE7BC1"/>
    <w:rsid w:val="00CF0084"/>
    <w:rsid w:val="00CF0141"/>
    <w:rsid w:val="00CF10B1"/>
    <w:rsid w:val="00CF130F"/>
    <w:rsid w:val="00CF1D70"/>
    <w:rsid w:val="00CF2630"/>
    <w:rsid w:val="00CF289C"/>
    <w:rsid w:val="00CF2AF3"/>
    <w:rsid w:val="00CF3361"/>
    <w:rsid w:val="00CF38B2"/>
    <w:rsid w:val="00CF3EFB"/>
    <w:rsid w:val="00CF5410"/>
    <w:rsid w:val="00CF6205"/>
    <w:rsid w:val="00CF67C8"/>
    <w:rsid w:val="00D00411"/>
    <w:rsid w:val="00D004C3"/>
    <w:rsid w:val="00D008E8"/>
    <w:rsid w:val="00D0092F"/>
    <w:rsid w:val="00D00D61"/>
    <w:rsid w:val="00D0154D"/>
    <w:rsid w:val="00D016B6"/>
    <w:rsid w:val="00D024B0"/>
    <w:rsid w:val="00D025B8"/>
    <w:rsid w:val="00D02BDE"/>
    <w:rsid w:val="00D04279"/>
    <w:rsid w:val="00D043B3"/>
    <w:rsid w:val="00D04942"/>
    <w:rsid w:val="00D05E9C"/>
    <w:rsid w:val="00D05FAA"/>
    <w:rsid w:val="00D0645D"/>
    <w:rsid w:val="00D06CA4"/>
    <w:rsid w:val="00D07471"/>
    <w:rsid w:val="00D109DB"/>
    <w:rsid w:val="00D11477"/>
    <w:rsid w:val="00D1192E"/>
    <w:rsid w:val="00D1288F"/>
    <w:rsid w:val="00D131F7"/>
    <w:rsid w:val="00D134B3"/>
    <w:rsid w:val="00D13BD1"/>
    <w:rsid w:val="00D13EAA"/>
    <w:rsid w:val="00D13FFF"/>
    <w:rsid w:val="00D1466F"/>
    <w:rsid w:val="00D146E9"/>
    <w:rsid w:val="00D14915"/>
    <w:rsid w:val="00D15A36"/>
    <w:rsid w:val="00D15C4E"/>
    <w:rsid w:val="00D163C5"/>
    <w:rsid w:val="00D174D7"/>
    <w:rsid w:val="00D2157C"/>
    <w:rsid w:val="00D22ECE"/>
    <w:rsid w:val="00D24089"/>
    <w:rsid w:val="00D25514"/>
    <w:rsid w:val="00D25758"/>
    <w:rsid w:val="00D2738E"/>
    <w:rsid w:val="00D274EB"/>
    <w:rsid w:val="00D276C1"/>
    <w:rsid w:val="00D278C6"/>
    <w:rsid w:val="00D30069"/>
    <w:rsid w:val="00D301FD"/>
    <w:rsid w:val="00D3187F"/>
    <w:rsid w:val="00D32A26"/>
    <w:rsid w:val="00D33260"/>
    <w:rsid w:val="00D346AD"/>
    <w:rsid w:val="00D348B5"/>
    <w:rsid w:val="00D34D98"/>
    <w:rsid w:val="00D367DE"/>
    <w:rsid w:val="00D36B93"/>
    <w:rsid w:val="00D375FF"/>
    <w:rsid w:val="00D376F2"/>
    <w:rsid w:val="00D3797A"/>
    <w:rsid w:val="00D408A2"/>
    <w:rsid w:val="00D411EA"/>
    <w:rsid w:val="00D416F8"/>
    <w:rsid w:val="00D42B04"/>
    <w:rsid w:val="00D43468"/>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602E"/>
    <w:rsid w:val="00D76431"/>
    <w:rsid w:val="00D76844"/>
    <w:rsid w:val="00D7797A"/>
    <w:rsid w:val="00D806E8"/>
    <w:rsid w:val="00D80919"/>
    <w:rsid w:val="00D80DE7"/>
    <w:rsid w:val="00D81DE8"/>
    <w:rsid w:val="00D81E39"/>
    <w:rsid w:val="00D8295C"/>
    <w:rsid w:val="00D83371"/>
    <w:rsid w:val="00D83718"/>
    <w:rsid w:val="00D83B5F"/>
    <w:rsid w:val="00D84CFD"/>
    <w:rsid w:val="00D84F34"/>
    <w:rsid w:val="00D85108"/>
    <w:rsid w:val="00D857ED"/>
    <w:rsid w:val="00D86489"/>
    <w:rsid w:val="00D878B3"/>
    <w:rsid w:val="00D87D15"/>
    <w:rsid w:val="00D9073D"/>
    <w:rsid w:val="00D90BC7"/>
    <w:rsid w:val="00D9212A"/>
    <w:rsid w:val="00D92305"/>
    <w:rsid w:val="00D92C7A"/>
    <w:rsid w:val="00D958B7"/>
    <w:rsid w:val="00D96536"/>
    <w:rsid w:val="00D96F76"/>
    <w:rsid w:val="00D9702D"/>
    <w:rsid w:val="00D973D2"/>
    <w:rsid w:val="00D97865"/>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D5"/>
    <w:rsid w:val="00DB659F"/>
    <w:rsid w:val="00DB6BBA"/>
    <w:rsid w:val="00DB70B1"/>
    <w:rsid w:val="00DB7262"/>
    <w:rsid w:val="00DB74CF"/>
    <w:rsid w:val="00DB7740"/>
    <w:rsid w:val="00DB7E0C"/>
    <w:rsid w:val="00DC0067"/>
    <w:rsid w:val="00DC1091"/>
    <w:rsid w:val="00DC1164"/>
    <w:rsid w:val="00DC143F"/>
    <w:rsid w:val="00DC1525"/>
    <w:rsid w:val="00DC1922"/>
    <w:rsid w:val="00DC19F7"/>
    <w:rsid w:val="00DC2032"/>
    <w:rsid w:val="00DC254F"/>
    <w:rsid w:val="00DC2793"/>
    <w:rsid w:val="00DC4DC7"/>
    <w:rsid w:val="00DC4EA1"/>
    <w:rsid w:val="00DC578C"/>
    <w:rsid w:val="00DC6118"/>
    <w:rsid w:val="00DC62BE"/>
    <w:rsid w:val="00DC6E9D"/>
    <w:rsid w:val="00DC7409"/>
    <w:rsid w:val="00DC7A62"/>
    <w:rsid w:val="00DD1E4A"/>
    <w:rsid w:val="00DD25D5"/>
    <w:rsid w:val="00DD2A4A"/>
    <w:rsid w:val="00DD2F95"/>
    <w:rsid w:val="00DD334C"/>
    <w:rsid w:val="00DD34DF"/>
    <w:rsid w:val="00DD3AF2"/>
    <w:rsid w:val="00DD42E8"/>
    <w:rsid w:val="00DD4BBC"/>
    <w:rsid w:val="00DD51AB"/>
    <w:rsid w:val="00DD52B1"/>
    <w:rsid w:val="00DD5361"/>
    <w:rsid w:val="00DD605C"/>
    <w:rsid w:val="00DD6823"/>
    <w:rsid w:val="00DD6D7A"/>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634F"/>
    <w:rsid w:val="00DE6705"/>
    <w:rsid w:val="00DE6DEE"/>
    <w:rsid w:val="00DE71E9"/>
    <w:rsid w:val="00DE7892"/>
    <w:rsid w:val="00DF0D92"/>
    <w:rsid w:val="00DF1ECF"/>
    <w:rsid w:val="00DF3B9B"/>
    <w:rsid w:val="00DF42F5"/>
    <w:rsid w:val="00DF43BB"/>
    <w:rsid w:val="00DF48C3"/>
    <w:rsid w:val="00DF4A29"/>
    <w:rsid w:val="00DF4D98"/>
    <w:rsid w:val="00DF60DC"/>
    <w:rsid w:val="00DF629E"/>
    <w:rsid w:val="00E00DEB"/>
    <w:rsid w:val="00E03A9C"/>
    <w:rsid w:val="00E07A52"/>
    <w:rsid w:val="00E07AD7"/>
    <w:rsid w:val="00E10DDE"/>
    <w:rsid w:val="00E112E8"/>
    <w:rsid w:val="00E11E77"/>
    <w:rsid w:val="00E11EF7"/>
    <w:rsid w:val="00E12452"/>
    <w:rsid w:val="00E131B4"/>
    <w:rsid w:val="00E13303"/>
    <w:rsid w:val="00E13C1B"/>
    <w:rsid w:val="00E14273"/>
    <w:rsid w:val="00E1428E"/>
    <w:rsid w:val="00E14AF4"/>
    <w:rsid w:val="00E1513C"/>
    <w:rsid w:val="00E1575D"/>
    <w:rsid w:val="00E16354"/>
    <w:rsid w:val="00E16421"/>
    <w:rsid w:val="00E16C65"/>
    <w:rsid w:val="00E201B9"/>
    <w:rsid w:val="00E20DE5"/>
    <w:rsid w:val="00E2138C"/>
    <w:rsid w:val="00E21B71"/>
    <w:rsid w:val="00E21CD7"/>
    <w:rsid w:val="00E22238"/>
    <w:rsid w:val="00E2384F"/>
    <w:rsid w:val="00E239C6"/>
    <w:rsid w:val="00E24A3A"/>
    <w:rsid w:val="00E24D6E"/>
    <w:rsid w:val="00E259A6"/>
    <w:rsid w:val="00E267CD"/>
    <w:rsid w:val="00E27348"/>
    <w:rsid w:val="00E274F5"/>
    <w:rsid w:val="00E30194"/>
    <w:rsid w:val="00E30283"/>
    <w:rsid w:val="00E3092A"/>
    <w:rsid w:val="00E32063"/>
    <w:rsid w:val="00E323C9"/>
    <w:rsid w:val="00E32B3E"/>
    <w:rsid w:val="00E330F9"/>
    <w:rsid w:val="00E34452"/>
    <w:rsid w:val="00E3450E"/>
    <w:rsid w:val="00E36F36"/>
    <w:rsid w:val="00E378C1"/>
    <w:rsid w:val="00E4055C"/>
    <w:rsid w:val="00E406F2"/>
    <w:rsid w:val="00E40A74"/>
    <w:rsid w:val="00E40D3B"/>
    <w:rsid w:val="00E41C15"/>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4FF"/>
    <w:rsid w:val="00E647F8"/>
    <w:rsid w:val="00E64A74"/>
    <w:rsid w:val="00E64D6F"/>
    <w:rsid w:val="00E64E6D"/>
    <w:rsid w:val="00E64F83"/>
    <w:rsid w:val="00E6538F"/>
    <w:rsid w:val="00E65D4B"/>
    <w:rsid w:val="00E65EB4"/>
    <w:rsid w:val="00E65F65"/>
    <w:rsid w:val="00E6600E"/>
    <w:rsid w:val="00E6675C"/>
    <w:rsid w:val="00E719A2"/>
    <w:rsid w:val="00E73522"/>
    <w:rsid w:val="00E7387E"/>
    <w:rsid w:val="00E73C9F"/>
    <w:rsid w:val="00E73DEF"/>
    <w:rsid w:val="00E74AC4"/>
    <w:rsid w:val="00E7571B"/>
    <w:rsid w:val="00E75798"/>
    <w:rsid w:val="00E759F3"/>
    <w:rsid w:val="00E763EF"/>
    <w:rsid w:val="00E77BCF"/>
    <w:rsid w:val="00E800D0"/>
    <w:rsid w:val="00E805AE"/>
    <w:rsid w:val="00E80E96"/>
    <w:rsid w:val="00E819E3"/>
    <w:rsid w:val="00E81B61"/>
    <w:rsid w:val="00E82802"/>
    <w:rsid w:val="00E82C23"/>
    <w:rsid w:val="00E82ECC"/>
    <w:rsid w:val="00E839EE"/>
    <w:rsid w:val="00E83CB2"/>
    <w:rsid w:val="00E84487"/>
    <w:rsid w:val="00E84881"/>
    <w:rsid w:val="00E855E1"/>
    <w:rsid w:val="00E90DAB"/>
    <w:rsid w:val="00E91DAB"/>
    <w:rsid w:val="00E93DD3"/>
    <w:rsid w:val="00E94324"/>
    <w:rsid w:val="00E944D5"/>
    <w:rsid w:val="00E946E4"/>
    <w:rsid w:val="00E94A6C"/>
    <w:rsid w:val="00E94C4C"/>
    <w:rsid w:val="00E95183"/>
    <w:rsid w:val="00E957C5"/>
    <w:rsid w:val="00E95A89"/>
    <w:rsid w:val="00E96700"/>
    <w:rsid w:val="00E9685C"/>
    <w:rsid w:val="00E96C06"/>
    <w:rsid w:val="00EA0322"/>
    <w:rsid w:val="00EA0E1B"/>
    <w:rsid w:val="00EA10F5"/>
    <w:rsid w:val="00EA12E0"/>
    <w:rsid w:val="00EA19CA"/>
    <w:rsid w:val="00EA259F"/>
    <w:rsid w:val="00EA2B9E"/>
    <w:rsid w:val="00EA46F6"/>
    <w:rsid w:val="00EA51A2"/>
    <w:rsid w:val="00EA577A"/>
    <w:rsid w:val="00EA6479"/>
    <w:rsid w:val="00EA6CB0"/>
    <w:rsid w:val="00EA6D36"/>
    <w:rsid w:val="00EA7338"/>
    <w:rsid w:val="00EA7CFC"/>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5A5F"/>
    <w:rsid w:val="00EC5B22"/>
    <w:rsid w:val="00EC6271"/>
    <w:rsid w:val="00EC6738"/>
    <w:rsid w:val="00EC6EB9"/>
    <w:rsid w:val="00EC7C19"/>
    <w:rsid w:val="00ED0975"/>
    <w:rsid w:val="00ED1509"/>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6D4"/>
    <w:rsid w:val="00EE1ADB"/>
    <w:rsid w:val="00EE1D39"/>
    <w:rsid w:val="00EE2B3B"/>
    <w:rsid w:val="00EE3444"/>
    <w:rsid w:val="00EE39A3"/>
    <w:rsid w:val="00EE41CB"/>
    <w:rsid w:val="00EE461C"/>
    <w:rsid w:val="00EE4988"/>
    <w:rsid w:val="00EE499A"/>
    <w:rsid w:val="00EE5091"/>
    <w:rsid w:val="00EE60FE"/>
    <w:rsid w:val="00EE6940"/>
    <w:rsid w:val="00EE7219"/>
    <w:rsid w:val="00EE78E0"/>
    <w:rsid w:val="00EF02FF"/>
    <w:rsid w:val="00EF27CD"/>
    <w:rsid w:val="00EF3487"/>
    <w:rsid w:val="00EF3607"/>
    <w:rsid w:val="00EF3BC6"/>
    <w:rsid w:val="00EF4044"/>
    <w:rsid w:val="00EF47CE"/>
    <w:rsid w:val="00EF4F47"/>
    <w:rsid w:val="00EF6164"/>
    <w:rsid w:val="00EF6EB5"/>
    <w:rsid w:val="00EF7958"/>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41A7"/>
    <w:rsid w:val="00F142D1"/>
    <w:rsid w:val="00F1483E"/>
    <w:rsid w:val="00F1504D"/>
    <w:rsid w:val="00F15990"/>
    <w:rsid w:val="00F163CE"/>
    <w:rsid w:val="00F16EDB"/>
    <w:rsid w:val="00F17293"/>
    <w:rsid w:val="00F17E64"/>
    <w:rsid w:val="00F20741"/>
    <w:rsid w:val="00F212D8"/>
    <w:rsid w:val="00F21584"/>
    <w:rsid w:val="00F21870"/>
    <w:rsid w:val="00F2245B"/>
    <w:rsid w:val="00F22934"/>
    <w:rsid w:val="00F2358C"/>
    <w:rsid w:val="00F2480D"/>
    <w:rsid w:val="00F26432"/>
    <w:rsid w:val="00F271CE"/>
    <w:rsid w:val="00F301A2"/>
    <w:rsid w:val="00F309DC"/>
    <w:rsid w:val="00F30D94"/>
    <w:rsid w:val="00F31415"/>
    <w:rsid w:val="00F32AC1"/>
    <w:rsid w:val="00F33038"/>
    <w:rsid w:val="00F3488A"/>
    <w:rsid w:val="00F356A7"/>
    <w:rsid w:val="00F35E17"/>
    <w:rsid w:val="00F35E1A"/>
    <w:rsid w:val="00F35FF8"/>
    <w:rsid w:val="00F36A53"/>
    <w:rsid w:val="00F3706D"/>
    <w:rsid w:val="00F377D1"/>
    <w:rsid w:val="00F37AA9"/>
    <w:rsid w:val="00F40695"/>
    <w:rsid w:val="00F41352"/>
    <w:rsid w:val="00F416C6"/>
    <w:rsid w:val="00F43868"/>
    <w:rsid w:val="00F43C56"/>
    <w:rsid w:val="00F43F26"/>
    <w:rsid w:val="00F45089"/>
    <w:rsid w:val="00F4510C"/>
    <w:rsid w:val="00F457C9"/>
    <w:rsid w:val="00F45933"/>
    <w:rsid w:val="00F46FDB"/>
    <w:rsid w:val="00F4721D"/>
    <w:rsid w:val="00F47477"/>
    <w:rsid w:val="00F47C10"/>
    <w:rsid w:val="00F505C0"/>
    <w:rsid w:val="00F507AC"/>
    <w:rsid w:val="00F51895"/>
    <w:rsid w:val="00F52A89"/>
    <w:rsid w:val="00F5420B"/>
    <w:rsid w:val="00F5423E"/>
    <w:rsid w:val="00F54595"/>
    <w:rsid w:val="00F547F9"/>
    <w:rsid w:val="00F5488E"/>
    <w:rsid w:val="00F54AB6"/>
    <w:rsid w:val="00F553EF"/>
    <w:rsid w:val="00F55996"/>
    <w:rsid w:val="00F56AB8"/>
    <w:rsid w:val="00F578FB"/>
    <w:rsid w:val="00F579CE"/>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794A"/>
    <w:rsid w:val="00F701A0"/>
    <w:rsid w:val="00F7183B"/>
    <w:rsid w:val="00F719FD"/>
    <w:rsid w:val="00F71BF1"/>
    <w:rsid w:val="00F72735"/>
    <w:rsid w:val="00F72B61"/>
    <w:rsid w:val="00F72FD6"/>
    <w:rsid w:val="00F734D9"/>
    <w:rsid w:val="00F737BF"/>
    <w:rsid w:val="00F73DE1"/>
    <w:rsid w:val="00F751AE"/>
    <w:rsid w:val="00F803B8"/>
    <w:rsid w:val="00F80887"/>
    <w:rsid w:val="00F80948"/>
    <w:rsid w:val="00F82C85"/>
    <w:rsid w:val="00F82EE8"/>
    <w:rsid w:val="00F83847"/>
    <w:rsid w:val="00F83923"/>
    <w:rsid w:val="00F85096"/>
    <w:rsid w:val="00F85CCC"/>
    <w:rsid w:val="00F8608C"/>
    <w:rsid w:val="00F86AF4"/>
    <w:rsid w:val="00F878A6"/>
    <w:rsid w:val="00F87D9C"/>
    <w:rsid w:val="00F90DF8"/>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2225"/>
    <w:rsid w:val="00FA239C"/>
    <w:rsid w:val="00FA2A26"/>
    <w:rsid w:val="00FA3952"/>
    <w:rsid w:val="00FA4710"/>
    <w:rsid w:val="00FA65B6"/>
    <w:rsid w:val="00FA6BB0"/>
    <w:rsid w:val="00FA71EC"/>
    <w:rsid w:val="00FA796D"/>
    <w:rsid w:val="00FA7B49"/>
    <w:rsid w:val="00FA7BBB"/>
    <w:rsid w:val="00FB0A36"/>
    <w:rsid w:val="00FB0D1E"/>
    <w:rsid w:val="00FB1910"/>
    <w:rsid w:val="00FB26DD"/>
    <w:rsid w:val="00FB2D40"/>
    <w:rsid w:val="00FB36DC"/>
    <w:rsid w:val="00FB3D76"/>
    <w:rsid w:val="00FB46BA"/>
    <w:rsid w:val="00FB4876"/>
    <w:rsid w:val="00FB608F"/>
    <w:rsid w:val="00FB6702"/>
    <w:rsid w:val="00FB6B63"/>
    <w:rsid w:val="00FB6EA7"/>
    <w:rsid w:val="00FC06AE"/>
    <w:rsid w:val="00FC12EF"/>
    <w:rsid w:val="00FC1475"/>
    <w:rsid w:val="00FC2579"/>
    <w:rsid w:val="00FC2630"/>
    <w:rsid w:val="00FC2750"/>
    <w:rsid w:val="00FC40FD"/>
    <w:rsid w:val="00FC4E54"/>
    <w:rsid w:val="00FC5B63"/>
    <w:rsid w:val="00FC5B78"/>
    <w:rsid w:val="00FC5C88"/>
    <w:rsid w:val="00FC5D82"/>
    <w:rsid w:val="00FC5E6D"/>
    <w:rsid w:val="00FC691C"/>
    <w:rsid w:val="00FC6C12"/>
    <w:rsid w:val="00FC6D06"/>
    <w:rsid w:val="00FC6D24"/>
    <w:rsid w:val="00FC7E67"/>
    <w:rsid w:val="00FD0F48"/>
    <w:rsid w:val="00FD1426"/>
    <w:rsid w:val="00FD15C7"/>
    <w:rsid w:val="00FD1BBC"/>
    <w:rsid w:val="00FD2157"/>
    <w:rsid w:val="00FD224A"/>
    <w:rsid w:val="00FD2CB2"/>
    <w:rsid w:val="00FD3221"/>
    <w:rsid w:val="00FD3789"/>
    <w:rsid w:val="00FD44D0"/>
    <w:rsid w:val="00FD4712"/>
    <w:rsid w:val="00FD4A91"/>
    <w:rsid w:val="00FD4CA5"/>
    <w:rsid w:val="00FD52BF"/>
    <w:rsid w:val="00FD532D"/>
    <w:rsid w:val="00FD5B27"/>
    <w:rsid w:val="00FD5E99"/>
    <w:rsid w:val="00FD6168"/>
    <w:rsid w:val="00FD74A6"/>
    <w:rsid w:val="00FE04E4"/>
    <w:rsid w:val="00FE0AF5"/>
    <w:rsid w:val="00FE2D1F"/>
    <w:rsid w:val="00FE2EFF"/>
    <w:rsid w:val="00FE324E"/>
    <w:rsid w:val="00FE4093"/>
    <w:rsid w:val="00FE4274"/>
    <w:rsid w:val="00FE4929"/>
    <w:rsid w:val="00FE4A5A"/>
    <w:rsid w:val="00FE4D80"/>
    <w:rsid w:val="00FE556B"/>
    <w:rsid w:val="00FE5BCA"/>
    <w:rsid w:val="00FE6219"/>
    <w:rsid w:val="00FE6501"/>
    <w:rsid w:val="00FE6654"/>
    <w:rsid w:val="00FE6B85"/>
    <w:rsid w:val="00FE72D1"/>
    <w:rsid w:val="00FE75BD"/>
    <w:rsid w:val="00FE7B63"/>
    <w:rsid w:val="00FF0388"/>
    <w:rsid w:val="00FF1AAD"/>
    <w:rsid w:val="00FF1B4A"/>
    <w:rsid w:val="00FF1DE2"/>
    <w:rsid w:val="00FF1FAB"/>
    <w:rsid w:val="00FF2CCB"/>
    <w:rsid w:val="00FF4775"/>
    <w:rsid w:val="00FF5460"/>
    <w:rsid w:val="00FF5D6C"/>
    <w:rsid w:val="00FF65F9"/>
    <w:rsid w:val="00FF712C"/>
    <w:rsid w:val="00FF7171"/>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845B3A6"/>
  <w15:chartTrackingRefBased/>
  <w15:docId w15:val="{C559AAD0-73E5-4F3E-A9AB-C8CF0055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List Paragraph2"/>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bulle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numbering" w:customStyle="1" w:styleId="NoList1">
    <w:name w:val="No List1"/>
    <w:next w:val="NoList"/>
    <w:uiPriority w:val="99"/>
    <w:semiHidden/>
    <w:unhideWhenUsed/>
    <w:rsid w:val="00B8259E"/>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41"/>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68"/>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numbering" w:customStyle="1" w:styleId="NoList2">
    <w:name w:val="No List2"/>
    <w:next w:val="NoList"/>
    <w:uiPriority w:val="99"/>
    <w:semiHidden/>
    <w:unhideWhenUsed/>
    <w:rsid w:val="00D42B04"/>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image" Target="media/image9.png"/><Relationship Id="rId39" Type="http://schemas.openxmlformats.org/officeDocument/2006/relationships/image" Target="media/image19.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hyperlink" Target="https://opendata.itms2014.sk/swagger/?url=/v2/swagger.json" TargetMode="External"/><Relationship Id="rId42" Type="http://schemas.openxmlformats.org/officeDocument/2006/relationships/oleObject" Target="embeddings/oleObject1.bin"/><Relationship Id="rId47" Type="http://schemas.openxmlformats.org/officeDocument/2006/relationships/image" Target="media/image23.emf"/><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image" Target="media/image1.emf"/><Relationship Id="rId25" Type="http://schemas.openxmlformats.org/officeDocument/2006/relationships/image" Target="media/image8.png"/><Relationship Id="rId33" Type="http://schemas.openxmlformats.org/officeDocument/2006/relationships/hyperlink" Target="https://www.esma.europa.eu/" TargetMode="External"/><Relationship Id="rId38" Type="http://schemas.openxmlformats.org/officeDocument/2006/relationships/package" Target="embeddings/Microsoft_Excel_Worksheet.xlsx"/><Relationship Id="rId46"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image" Target="media/image12.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8.emf"/><Relationship Id="rId40" Type="http://schemas.openxmlformats.org/officeDocument/2006/relationships/package" Target="embeddings/Microsoft_Excel_Worksheet1.xlsx"/><Relationship Id="rId45" Type="http://schemas.openxmlformats.org/officeDocument/2006/relationships/image" Target="media/image22.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em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4.png"/><Relationship Id="rId44"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rpvs.gov.sk/OpenData/swagger/ui/index"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1.emf"/><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8A746-059F-4976-8BC9-71ECCCF144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3.xml><?xml version="1.0" encoding="utf-8"?>
<ds:datastoreItem xmlns:ds="http://schemas.openxmlformats.org/officeDocument/2006/customXml" ds:itemID="{35A44C1C-83EE-4430-ACE2-3DA610F1F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29229-8636-4312-8f33-21fc32cd9909"/>
    <ds:schemaRef ds:uri="8c939fb6-ca71-46a8-9f64-44f8eb6f3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DD6059-03B9-4239-9715-3F7400857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144</Pages>
  <Words>51796</Words>
  <Characters>295243</Characters>
  <Application>Microsoft Office Word</Application>
  <DocSecurity>0</DocSecurity>
  <Lines>2460</Lines>
  <Paragraphs>692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00_SZP_ZoD_pripom.docx</vt:lpstr>
      <vt:lpstr>00_SZP_ZoD_pripom.docx</vt:lpstr>
    </vt:vector>
  </TitlesOfParts>
  <Company>NBS</Company>
  <LinksUpToDate>false</LinksUpToDate>
  <CharactersWithSpaces>346347</CharactersWithSpaces>
  <SharedDoc>false</SharedDoc>
  <HLinks>
    <vt:vector size="12" baseType="variant">
      <vt:variant>
        <vt:i4>1704003</vt:i4>
      </vt:variant>
      <vt:variant>
        <vt:i4>21</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00_SZP_ZoD_pripom.docx</dc:title>
  <dc:subject/>
  <dc:creator>NBS</dc:creator>
  <cp:keywords/>
  <dc:description/>
  <cp:lastModifiedBy>Ivančík Karol</cp:lastModifiedBy>
  <cp:revision>8</cp:revision>
  <cp:lastPrinted>2020-10-01T04:55:00Z</cp:lastPrinted>
  <dcterms:created xsi:type="dcterms:W3CDTF">2022-08-12T12:39:00Z</dcterms:created>
  <dcterms:modified xsi:type="dcterms:W3CDTF">2022-08-12T13:00:00Z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