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6E3B9E76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  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432DE7" w:rsidRPr="00432DE7">
        <w:rPr>
          <w:rFonts w:ascii="Cambria" w:hAnsi="Cambria"/>
          <w:sz w:val="22"/>
          <w:szCs w:val="22"/>
          <w:lang w:val="sk-SK"/>
        </w:rPr>
        <w:t>NBS1-000-074-299</w:t>
      </w:r>
    </w:p>
    <w:p w14:paraId="40F6DCF7" w14:textId="6D76FF1A" w:rsidR="00B66DB9" w:rsidRPr="00AE16F4" w:rsidRDefault="00EC42D7" w:rsidP="00EC42D7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E7597D" w:rsidRPr="00E7597D">
        <w:rPr>
          <w:rFonts w:ascii="Cambria" w:hAnsi="Cambria"/>
          <w:sz w:val="22"/>
          <w:szCs w:val="22"/>
          <w:lang w:val="sk-SK"/>
        </w:rPr>
        <w:t>100-000-395-152</w:t>
      </w:r>
    </w:p>
    <w:p w14:paraId="5987CF6A" w14:textId="093E4BA3" w:rsidR="005F4847" w:rsidRPr="00AE16F4" w:rsidRDefault="00EC42D7" w:rsidP="00EC42D7">
      <w:pPr>
        <w:tabs>
          <w:tab w:val="left" w:pos="5245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                                                                                                                        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2654F9">
        <w:rPr>
          <w:rFonts w:ascii="Cambria" w:hAnsi="Cambria"/>
          <w:sz w:val="22"/>
          <w:szCs w:val="22"/>
          <w:lang w:val="sk-SK"/>
        </w:rPr>
        <w:t>26</w:t>
      </w:r>
      <w:r w:rsidR="00F95786">
        <w:rPr>
          <w:rFonts w:ascii="Cambria" w:hAnsi="Cambria"/>
          <w:sz w:val="22"/>
          <w:szCs w:val="22"/>
          <w:lang w:val="sk-SK"/>
        </w:rPr>
        <w:t>.0</w:t>
      </w:r>
      <w:r w:rsidR="00432DE7">
        <w:rPr>
          <w:rFonts w:ascii="Cambria" w:hAnsi="Cambria"/>
          <w:sz w:val="22"/>
          <w:szCs w:val="22"/>
          <w:lang w:val="sk-SK"/>
        </w:rPr>
        <w:t>9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>
        <w:rPr>
          <w:rFonts w:ascii="Cambria" w:hAnsi="Cambria"/>
          <w:sz w:val="22"/>
          <w:szCs w:val="22"/>
          <w:lang w:val="sk-SK"/>
        </w:rPr>
        <w:t>202</w:t>
      </w:r>
      <w:r w:rsidR="00432DE7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AE16F4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>
        <w:rPr>
          <w:rFonts w:ascii="Cambria" w:hAnsi="Cambria"/>
          <w:sz w:val="22"/>
          <w:szCs w:val="22"/>
          <w:lang w:val="sk-SK"/>
        </w:rPr>
        <w:t>48</w:t>
      </w:r>
      <w:r w:rsidR="000D6E7E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2D543C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5D6A80CB" w:rsidR="00E6446D" w:rsidRPr="00432DE7" w:rsidRDefault="00E6446D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75503B">
        <w:rPr>
          <w:rFonts w:ascii="Cambria" w:hAnsi="Cambria"/>
          <w:sz w:val="22"/>
          <w:szCs w:val="22"/>
          <w:lang w:val="sk-SK"/>
        </w:rPr>
        <w:t>Verejný obstarávateľ, Národná banka Slovenska so sídlom Imricha Karvaša 1, 813 25 Bratislava (ďalej len „verejný obstarávateľ</w:t>
      </w:r>
      <w:bookmarkStart w:id="0" w:name="_Hlk75852783"/>
      <w:r w:rsidRPr="0075503B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75503B">
        <w:rPr>
          <w:rFonts w:ascii="Cambria" w:hAnsi="Cambria"/>
          <w:sz w:val="22"/>
          <w:szCs w:val="22"/>
          <w:lang w:val="sk-SK"/>
        </w:rPr>
        <w:t>)</w:t>
      </w:r>
      <w:r w:rsidR="00F65D06" w:rsidRPr="0075503B">
        <w:rPr>
          <w:rFonts w:ascii="Cambria" w:hAnsi="Cambria"/>
          <w:sz w:val="22"/>
          <w:szCs w:val="22"/>
          <w:lang w:val="sk-SK"/>
        </w:rPr>
        <w:t>,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E7562E">
        <w:rPr>
          <w:rFonts w:ascii="Cambria" w:hAnsi="Cambria"/>
          <w:bCs/>
          <w:kern w:val="32"/>
          <w:sz w:val="22"/>
          <w:szCs w:val="22"/>
          <w:lang w:val="sk-SK" w:eastAsia="sk-SK"/>
        </w:rPr>
        <w:t>0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.09.2022 </w:t>
      </w:r>
      <w:r w:rsidRPr="0075503B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75503B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v </w:t>
      </w:r>
      <w:r w:rsidR="00C44A15" w:rsidRPr="0075503B">
        <w:rPr>
          <w:rFonts w:ascii="Cambria" w:hAnsi="Cambria"/>
          <w:sz w:val="22"/>
          <w:szCs w:val="22"/>
          <w:lang w:val="sk-SK"/>
        </w:rPr>
        <w:t xml:space="preserve"> nadlimitnej zákazke s názvom </w:t>
      </w:r>
      <w:r w:rsidR="00432DE7">
        <w:rPr>
          <w:rFonts w:ascii="Cambria" w:hAnsi="Cambria"/>
          <w:sz w:val="22"/>
          <w:szCs w:val="22"/>
          <w:lang w:val="sk-SK"/>
        </w:rPr>
        <w:t>„</w:t>
      </w:r>
      <w:r w:rsidR="00432DE7" w:rsidRPr="00432DE7">
        <w:rPr>
          <w:rFonts w:ascii="Cambria" w:hAnsi="Cambria"/>
          <w:b/>
          <w:bCs/>
          <w:sz w:val="22"/>
          <w:szCs w:val="22"/>
          <w:lang w:val="sk-SK"/>
        </w:rPr>
        <w:t>Konsolidácia údajov DWH/BI</w:t>
      </w:r>
      <w:r w:rsidR="00432DE7">
        <w:rPr>
          <w:rFonts w:ascii="Cambria" w:hAnsi="Cambria"/>
          <w:sz w:val="22"/>
          <w:szCs w:val="22"/>
          <w:lang w:val="sk-SK"/>
        </w:rPr>
        <w:t>“</w:t>
      </w:r>
      <w:r w:rsidR="00432DE7" w:rsidRPr="00003D8D">
        <w:rPr>
          <w:rFonts w:ascii="Cambria" w:hAnsi="Cambria"/>
          <w:sz w:val="22"/>
          <w:szCs w:val="22"/>
          <w:lang w:val="sk-SK"/>
        </w:rPr>
        <w:t xml:space="preserve">  uverejnenej v Ú. v. EÚ/S 155 dňa 12.08.2022 pod číslom 2022/S 155-442756 a vo Vestníku verejného obstarávania 180/2022 dňa 15. 8. 2022 pod číslom 37325-MSS</w:t>
      </w:r>
      <w:r w:rsidR="00BA37F3" w:rsidRPr="00B060A4">
        <w:rPr>
          <w:rFonts w:ascii="Cambria" w:hAnsi="Cambria"/>
          <w:sz w:val="22"/>
          <w:szCs w:val="22"/>
          <w:lang w:val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75503B">
        <w:rPr>
          <w:rFonts w:ascii="Cambria" w:hAnsi="Cambria"/>
          <w:sz w:val="22"/>
          <w:szCs w:val="22"/>
          <w:lang w:val="sk-SK"/>
        </w:rPr>
        <w:t>ť</w:t>
      </w:r>
      <w:r w:rsidRPr="0075503B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75503B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1399331C" w:rsidR="00E6446D" w:rsidRPr="00AE16F4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AE16F4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AE16F4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AE16F4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verejný obstarávateľ v súlade s ustanovením </w:t>
      </w:r>
      <w:r w:rsidR="00C44A15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AE16F4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AE16F4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AE16F4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AE16F4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Default="006E6AB0" w:rsidP="006E6AB0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3611A3D5" w:rsidR="005845D2" w:rsidRPr="00406533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406533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E7562E">
        <w:rPr>
          <w:rFonts w:ascii="Cambria" w:hAnsi="Cambria"/>
          <w:b/>
          <w:sz w:val="22"/>
          <w:szCs w:val="22"/>
          <w:u w:val="single"/>
          <w:lang w:val="sk-SK"/>
        </w:rPr>
        <w:t>2</w:t>
      </w:r>
      <w:r w:rsidRPr="00406533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5F64CEB5" w14:textId="5DC6F313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 xml:space="preserve">Verejný obstarávateľ uvádza v bode 35.1.1 nasledovné: Podľa § 34 ods. 1 písm. a) zákona </w:t>
      </w:r>
      <w:r>
        <w:rPr>
          <w:rFonts w:ascii="Cambria" w:hAnsi="Cambria"/>
          <w:sz w:val="22"/>
          <w:szCs w:val="22"/>
          <w:lang w:val="sk-SK"/>
        </w:rPr>
        <w:br/>
      </w:r>
      <w:r w:rsidRPr="00E7562E">
        <w:rPr>
          <w:rFonts w:ascii="Cambria" w:hAnsi="Cambria"/>
          <w:sz w:val="22"/>
          <w:szCs w:val="22"/>
          <w:lang w:val="sk-SK"/>
        </w:rPr>
        <w:t>o verejnom obstarávaní – zoznam dodávok tovaru alebo poskytnutých služieb za predchádzajúce tri roky od vyhlásenia verejného obstarávania s uvedením cien, lehôt dodania a odberateľov; dokladom je referencia, ak odberateľom bol verejný obstarávateľ alebo obstarávateľ podľa zákona o verejnom obstarávaní; ak referencia nebola vyhotovená podľa § 12 zákona o verejnom obstarávaní dokladom môže byť aj vyhlásenie uchádzača alebo záujemcu o ich uskutočnení, doplnené dokladom, preukazujúcim ich uskutočnenie. Zároveň aj nižšie uvádza :</w:t>
      </w:r>
    </w:p>
    <w:p w14:paraId="395ACE8B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Podľa § 34 ods. 2 zákona o verejnom obstarávaní – ak je to potrebné na zaistenie primeranej úrovne hospodárskej súťaže, verejný obstarávateľ môže určiť dlhšiu dobu, ako je doba podľa § 34 odseku 1 písm. a) zákona o verejnom obstarávaní.</w:t>
      </w:r>
    </w:p>
    <w:p w14:paraId="6BB28DB3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35.1.1.1 Verejný obstarávateľ požaduje, aby uchádzač v ponuke predložil zoznam:</w:t>
      </w:r>
    </w:p>
    <w:p w14:paraId="3BF2F8C0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• realizovaných zákaziek s minimálne jedeným projektom, ktorý sa spustil do produkcie za posledných 5 rokov od vyhlásenia verejného obstarávania a ktorého obsahom bola implementácia celkového technického riešenia pre oblasť Dátového skladu a/alebo BigData (DataLake), t. j. projekt musí mať minimálne všetky tieto parametre:</w:t>
      </w:r>
    </w:p>
    <w:p w14:paraId="733DA6CD" w14:textId="01145DDB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 xml:space="preserve">• zoznam poskytnutých služieb podpory pre jedného zákazníka za posledných 5 rokov </w:t>
      </w:r>
      <w:r>
        <w:rPr>
          <w:rFonts w:ascii="Cambria" w:hAnsi="Cambria"/>
          <w:sz w:val="22"/>
          <w:szCs w:val="22"/>
          <w:lang w:val="sk-SK"/>
        </w:rPr>
        <w:br/>
      </w:r>
      <w:r w:rsidRPr="00E7562E">
        <w:rPr>
          <w:rFonts w:ascii="Cambria" w:hAnsi="Cambria"/>
          <w:sz w:val="22"/>
          <w:szCs w:val="22"/>
          <w:lang w:val="sk-SK"/>
        </w:rPr>
        <w:t>s kumulatívnou minimálnou hodnotou 400 000 eur bez DPH, pričom predmetom poskytnutých podpôr bola podpora prevádzky informačného systému v oblasti spracovania a integrácie</w:t>
      </w:r>
    </w:p>
    <w:p w14:paraId="1F350A80" w14:textId="177F762F" w:rsid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Žiadame verejného obstarávateľa o zjednotenie požiadavky na počet predchádzajúcich rokov. resp. žiadame o potvrdenie, že je potrebné predložiť zoznam realizovaných zákaziek za posledných 5 rokov.</w:t>
      </w:r>
    </w:p>
    <w:p w14:paraId="0FE5AFF6" w14:textId="799C1D65" w:rsid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209A6FE6" w14:textId="7BFBA6DC" w:rsidR="00E7562E" w:rsidRDefault="00E7562E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41929E1D" w14:textId="0E8BA090" w:rsidR="002654F9" w:rsidRPr="002654F9" w:rsidRDefault="002654F9" w:rsidP="002654F9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2654F9">
        <w:rPr>
          <w:rFonts w:ascii="Cambria" w:hAnsi="Cambria"/>
          <w:bCs/>
          <w:sz w:val="22"/>
          <w:szCs w:val="22"/>
          <w:lang w:val="sk-SK"/>
        </w:rPr>
        <w:t>Verejný obstarávateľ týmto potvrdzuje, že jeho požiadavka na uchádzača</w:t>
      </w:r>
      <w:r>
        <w:rPr>
          <w:rFonts w:ascii="Cambria" w:hAnsi="Cambria"/>
          <w:bCs/>
          <w:sz w:val="22"/>
          <w:szCs w:val="22"/>
          <w:lang w:val="sk-SK"/>
        </w:rPr>
        <w:t>,</w:t>
      </w:r>
      <w:r w:rsidRPr="002654F9">
        <w:rPr>
          <w:rFonts w:ascii="Cambria" w:hAnsi="Cambria"/>
          <w:bCs/>
          <w:sz w:val="22"/>
          <w:szCs w:val="22"/>
          <w:lang w:val="sk-SK"/>
        </w:rPr>
        <w:t xml:space="preserve"> aby v ponuke predložil zoznam realizovaných zákaziek podľa bodu 35.1.1.1 a 35.1.1.2 súťažných podkladov sa vzťahuje na dobu posledných 5 rokov od vyhlásenia verejného obstarávania.</w:t>
      </w:r>
    </w:p>
    <w:p w14:paraId="30C892AE" w14:textId="77777777" w:rsidR="002654F9" w:rsidRPr="002654F9" w:rsidRDefault="002654F9" w:rsidP="002654F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03D40F5" w14:textId="19AFF661" w:rsidR="002654F9" w:rsidRPr="002654F9" w:rsidRDefault="002654F9" w:rsidP="002654F9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2654F9">
        <w:rPr>
          <w:rFonts w:ascii="Cambria" w:hAnsi="Cambria"/>
          <w:bCs/>
          <w:sz w:val="22"/>
          <w:szCs w:val="22"/>
          <w:lang w:val="sk-SK"/>
        </w:rPr>
        <w:lastRenderedPageBreak/>
        <w:t>V bode 35.1.1 je iba uvedený právny rámec podmienok účasti podľa § 34 ods. 1 písm. a) zákona č. 343/2015 Z. z. o verejnom obstarávaní a o zmene a doplnení niektorých zákonov v znení neskorších predpisov.</w:t>
      </w:r>
    </w:p>
    <w:p w14:paraId="50E08613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50845BDF" w14:textId="45C60403" w:rsidR="00E7562E" w:rsidRPr="00E7562E" w:rsidRDefault="00E7562E" w:rsidP="00E7562E">
      <w:pPr>
        <w:jc w:val="both"/>
        <w:rPr>
          <w:rFonts w:ascii="Cambria" w:hAnsi="Cambria"/>
          <w:b/>
          <w:bCs/>
          <w:sz w:val="22"/>
          <w:szCs w:val="22"/>
          <w:lang w:val="sk-SK"/>
        </w:rPr>
      </w:pPr>
      <w:r w:rsidRPr="00E7562E">
        <w:rPr>
          <w:rFonts w:ascii="Cambria" w:hAnsi="Cambria"/>
          <w:b/>
          <w:bCs/>
          <w:sz w:val="22"/>
          <w:szCs w:val="22"/>
          <w:lang w:val="sk-SK"/>
        </w:rPr>
        <w:t>Otázka č. 3</w:t>
      </w:r>
    </w:p>
    <w:p w14:paraId="00C5531B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Verejný obstarávateľ požaduje v bode 35. 1.1.3 Uchádzač môže splnenie podmienok účasti podľa bodov 35.1.1.1 a 35.1.1.2 preukázať jednou zmluvou alebo kombináciou viacerých zmlúv na ten istý projekt s dodržaním požadovaných minimálnych parametrov zákazky.</w:t>
      </w:r>
    </w:p>
    <w:p w14:paraId="2D11E529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22913222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Žiadame verejného obstarávateľa o vysvetlenie, či požiadavka na splnenie podmienok účasti podľa bodov 35.1.1.1 a 35.1.1.2 sa musia týkať 1 projektu t.j napr. 1 projektu u 1 zákazníka?</w:t>
      </w:r>
    </w:p>
    <w:p w14:paraId="373D1855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Alebo je možné preukázať bod 35.1.1.1 jednou zmluvou alebo kombináciou viacerých zmlúv na ten istý projekt s dodržaním minimálnych parametrov zákazky a zároveň</w:t>
      </w:r>
    </w:p>
    <w:p w14:paraId="3DDB4C22" w14:textId="5227D484" w:rsid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 xml:space="preserve">bod 35.1.1.2 preukázať jednou zmluvou alebo kombináciou viacerých zmlúv na ten istý projekt </w:t>
      </w:r>
      <w:r w:rsidR="00286E11">
        <w:rPr>
          <w:rFonts w:ascii="Cambria" w:hAnsi="Cambria"/>
          <w:sz w:val="22"/>
          <w:szCs w:val="22"/>
          <w:lang w:val="sk-SK"/>
        </w:rPr>
        <w:br/>
      </w:r>
      <w:r w:rsidRPr="00E7562E">
        <w:rPr>
          <w:rFonts w:ascii="Cambria" w:hAnsi="Cambria"/>
          <w:sz w:val="22"/>
          <w:szCs w:val="22"/>
          <w:lang w:val="sk-SK"/>
        </w:rPr>
        <w:t>s dodržaním minimálnych parametrov zákazky t.j., že dané body budú preukázané každý iným projektom?</w:t>
      </w:r>
    </w:p>
    <w:p w14:paraId="0760A49F" w14:textId="2198207C" w:rsid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2D21ED1E" w14:textId="35E8549A" w:rsidR="00E7562E" w:rsidRDefault="00E7562E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2D026E1D" w14:textId="3C764447" w:rsidR="002654F9" w:rsidRPr="002654F9" w:rsidRDefault="002654F9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2654F9">
        <w:rPr>
          <w:rFonts w:ascii="Cambria" w:hAnsi="Cambria"/>
          <w:sz w:val="22"/>
          <w:szCs w:val="22"/>
          <w:lang w:val="sk-SK"/>
        </w:rPr>
        <w:t>Verejný obstarávateľ si Vám týmto dovoľuje uviesť, že požiadavky podmienok účasti podľa bodov 35.1.1.1 a 35.1.1.2 súťažných podkladov môžu byť preukázané jednou zmluvou alebo kombináciou viacerých zmlúv na ten istý projekt s dodržaním minimálnych parametrov zákazky a zároveň je možné požiadavky podmienok účasti podľa bodov 35.1.1.1 a 35.1.1.2 súťažných podkladov osobitne preukázať jednou zmluvou alebo kombináciou viacerých zmlúv na rôzne projekty s dodržaním minimálnych parametrov zákazky.</w:t>
      </w:r>
    </w:p>
    <w:p w14:paraId="21048F04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46EF5E0D" w14:textId="22C5F076" w:rsidR="00E7562E" w:rsidRPr="00E7562E" w:rsidRDefault="00E7562E" w:rsidP="00E7562E">
      <w:pPr>
        <w:jc w:val="both"/>
        <w:rPr>
          <w:rFonts w:ascii="Cambria" w:hAnsi="Cambria"/>
          <w:b/>
          <w:bCs/>
          <w:sz w:val="22"/>
          <w:szCs w:val="22"/>
          <w:lang w:val="sk-SK"/>
        </w:rPr>
      </w:pPr>
      <w:r w:rsidRPr="00E7562E">
        <w:rPr>
          <w:rFonts w:ascii="Cambria" w:hAnsi="Cambria"/>
          <w:b/>
          <w:bCs/>
          <w:sz w:val="22"/>
          <w:szCs w:val="22"/>
          <w:lang w:val="sk-SK"/>
        </w:rPr>
        <w:t xml:space="preserve">Otázka č. </w:t>
      </w:r>
      <w:r>
        <w:rPr>
          <w:rFonts w:ascii="Cambria" w:hAnsi="Cambria"/>
          <w:b/>
          <w:bCs/>
          <w:sz w:val="22"/>
          <w:szCs w:val="22"/>
          <w:lang w:val="sk-SK"/>
        </w:rPr>
        <w:t>4</w:t>
      </w:r>
    </w:p>
    <w:p w14:paraId="67F7EB24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Verejný obstarávateľ požaduje v opise predmetu zákazky vo väčšej miere technológie Oracle a BI. Bude verejný obstarávateľ akceptovať použitie aj iných ekvivalentných technológií, ktoré spĺňajú požiadavky verejného obstarávateľa na opise predmetu zákazky?</w:t>
      </w:r>
    </w:p>
    <w:p w14:paraId="2D04BCCA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Verejný obstarávateľ vytvára nové dielo a máme zato, že pripustenie ekvivalentných technológií ktoré spĺňajú požiadavky nielen rozšíria hospodársku súťaž, ale zabezpečia aj transparentnosť.</w:t>
      </w:r>
    </w:p>
    <w:p w14:paraId="29CB5CC3" w14:textId="1EA6A933" w:rsid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732F469D" w14:textId="77777777" w:rsidR="00E7562E" w:rsidRDefault="00E7562E" w:rsidP="00E7562E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7AB5C431" w14:textId="75C722AF" w:rsidR="00E7562E" w:rsidRDefault="002654F9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2654F9">
        <w:rPr>
          <w:rFonts w:ascii="Cambria" w:hAnsi="Cambria"/>
          <w:sz w:val="22"/>
          <w:szCs w:val="22"/>
          <w:lang w:val="sk-SK"/>
        </w:rPr>
        <w:t>Verejný obstarávateľ si Vám týmto dovoľuje uviesť, že neumožňuje výber inej kombinácie konkrétnych technologických platforiem na riešenie ďalšej dátovej integrácie, nakoľko predmetom zákazky sú implementačné práce na uvedených platformách a nie výber technológie a jej dodávka. Výber technológie prebehol na základe už vykonaných analýz, schválenej dátovej stratégie a ukončeného Pilotu, pričom zároveň už časť dát je týmto zintegrovaných.</w:t>
      </w:r>
    </w:p>
    <w:p w14:paraId="74A6D187" w14:textId="77777777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</w:p>
    <w:p w14:paraId="79B27456" w14:textId="13B5403A" w:rsidR="00E7562E" w:rsidRPr="00E7562E" w:rsidRDefault="00E7562E" w:rsidP="00E7562E">
      <w:pPr>
        <w:jc w:val="both"/>
        <w:rPr>
          <w:rFonts w:ascii="Cambria" w:hAnsi="Cambria"/>
          <w:b/>
          <w:bCs/>
          <w:sz w:val="22"/>
          <w:szCs w:val="22"/>
          <w:lang w:val="sk-SK"/>
        </w:rPr>
      </w:pPr>
      <w:r w:rsidRPr="00E7562E">
        <w:rPr>
          <w:rFonts w:ascii="Cambria" w:hAnsi="Cambria"/>
          <w:b/>
          <w:bCs/>
          <w:sz w:val="22"/>
          <w:szCs w:val="22"/>
          <w:lang w:val="sk-SK"/>
        </w:rPr>
        <w:t xml:space="preserve">Otázka č. </w:t>
      </w:r>
      <w:r>
        <w:rPr>
          <w:rFonts w:ascii="Cambria" w:hAnsi="Cambria"/>
          <w:b/>
          <w:bCs/>
          <w:sz w:val="22"/>
          <w:szCs w:val="22"/>
          <w:lang w:val="sk-SK"/>
        </w:rPr>
        <w:t>5</w:t>
      </w:r>
    </w:p>
    <w:p w14:paraId="225D6495" w14:textId="7C707F20" w:rsidR="00E7562E" w:rsidRPr="00E7562E" w:rsidRDefault="00E7562E" w:rsidP="00E7562E">
      <w:pPr>
        <w:jc w:val="both"/>
        <w:rPr>
          <w:rFonts w:ascii="Cambria" w:hAnsi="Cambria"/>
          <w:sz w:val="22"/>
          <w:szCs w:val="22"/>
          <w:lang w:val="sk-SK"/>
        </w:rPr>
      </w:pPr>
      <w:r w:rsidRPr="00E7562E">
        <w:rPr>
          <w:rFonts w:ascii="Cambria" w:hAnsi="Cambria"/>
          <w:sz w:val="22"/>
          <w:szCs w:val="22"/>
          <w:lang w:val="sk-SK"/>
        </w:rPr>
        <w:t>Zároveň by sme chceli požiadať verejného obstarávateľa o predĺženie lehoty na predkladanie ponúk minimálne o</w:t>
      </w:r>
      <w:r w:rsidR="0023624B">
        <w:rPr>
          <w:rFonts w:ascii="Cambria" w:hAnsi="Cambria"/>
          <w:sz w:val="22"/>
          <w:szCs w:val="22"/>
          <w:lang w:val="sk-SK"/>
        </w:rPr>
        <w:t xml:space="preserve"> </w:t>
      </w:r>
      <w:r w:rsidRPr="00E7562E">
        <w:rPr>
          <w:rFonts w:ascii="Cambria" w:hAnsi="Cambria"/>
          <w:sz w:val="22"/>
          <w:szCs w:val="22"/>
          <w:lang w:val="sk-SK"/>
        </w:rPr>
        <w:t xml:space="preserve">14 dní, nakoľko sa jedná o komplexné riešenie systému, je potrebné správne naštudovanie súťažných podkladov pre zabezpečenie kvalitného návrhu ponuky s ohľadom na splnenie všetkých požiadaviek verejného obstarávateľa. Zároveň opis predmetu zákazky je veľmi rozsiahly a podrobný, čo vyžaduje nielen rešpekt voči neceneniu, ale aj potrebné znalosti </w:t>
      </w:r>
      <w:r w:rsidR="0023624B">
        <w:rPr>
          <w:rFonts w:ascii="Cambria" w:hAnsi="Cambria"/>
          <w:sz w:val="22"/>
          <w:szCs w:val="22"/>
          <w:lang w:val="sk-SK"/>
        </w:rPr>
        <w:br/>
      </w:r>
      <w:r w:rsidRPr="00E7562E">
        <w:rPr>
          <w:rFonts w:ascii="Cambria" w:hAnsi="Cambria"/>
          <w:sz w:val="22"/>
          <w:szCs w:val="22"/>
          <w:lang w:val="sk-SK"/>
        </w:rPr>
        <w:t>k správnej identifikácii všetkých požiadaviek verejného obstarávateľa.</w:t>
      </w:r>
    </w:p>
    <w:p w14:paraId="50831AFB" w14:textId="77777777" w:rsidR="00EB695E" w:rsidRDefault="00EB695E" w:rsidP="005845D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00C0313D" w14:textId="02C9F281" w:rsidR="00EB695E" w:rsidRDefault="005845D2" w:rsidP="005845D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bookmarkStart w:id="1" w:name="_Hlk114732665"/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02FA4F52" w14:textId="77777777" w:rsidR="0023624B" w:rsidRPr="0023624B" w:rsidRDefault="0023624B" w:rsidP="0023624B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23624B">
        <w:rPr>
          <w:rFonts w:ascii="Cambria" w:hAnsi="Cambria"/>
          <w:bCs/>
          <w:sz w:val="22"/>
          <w:szCs w:val="22"/>
          <w:lang w:val="sk-SK"/>
        </w:rPr>
        <w:t>Verejný obstarávateľ si dovoľuje uviesť, že k tomuto momentu nebude predlžovať lehotu na predkladanie ponúk, a to najmä a nielen z týchto dôvodov:</w:t>
      </w:r>
    </w:p>
    <w:p w14:paraId="57C1BD60" w14:textId="77777777" w:rsidR="0023624B" w:rsidRPr="0023624B" w:rsidRDefault="0023624B" w:rsidP="0023624B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23624B">
        <w:rPr>
          <w:rFonts w:ascii="Cambria" w:hAnsi="Cambria"/>
          <w:bCs/>
          <w:sz w:val="22"/>
          <w:szCs w:val="22"/>
          <w:lang w:val="sk-SK"/>
        </w:rPr>
        <w:t>-</w:t>
      </w:r>
      <w:r w:rsidRPr="0023624B">
        <w:rPr>
          <w:rFonts w:ascii="Cambria" w:hAnsi="Cambria"/>
          <w:bCs/>
          <w:sz w:val="22"/>
          <w:szCs w:val="22"/>
          <w:lang w:val="sk-SK"/>
        </w:rPr>
        <w:tab/>
        <w:t xml:space="preserve">verejný obstarávateľ vzhľadom na komplexnosť a náročnosť predmetu zákazu stanovil lehotu na predkladanie ponúk ako dvojnásobok minimálnej zákonnej lehoty, t.j. 60 dní ku 30 dňom. </w:t>
      </w:r>
    </w:p>
    <w:p w14:paraId="3E8AFBBF" w14:textId="77777777" w:rsidR="0023624B" w:rsidRPr="0023624B" w:rsidRDefault="0023624B" w:rsidP="0023624B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23624B">
        <w:rPr>
          <w:rFonts w:ascii="Cambria" w:hAnsi="Cambria"/>
          <w:bCs/>
          <w:sz w:val="22"/>
          <w:szCs w:val="22"/>
          <w:lang w:val="sk-SK"/>
        </w:rPr>
        <w:lastRenderedPageBreak/>
        <w:t>-</w:t>
      </w:r>
      <w:r w:rsidRPr="0023624B">
        <w:rPr>
          <w:rFonts w:ascii="Cambria" w:hAnsi="Cambria"/>
          <w:bCs/>
          <w:sz w:val="22"/>
          <w:szCs w:val="22"/>
          <w:lang w:val="sk-SK"/>
        </w:rPr>
        <w:tab/>
        <w:t xml:space="preserve">verejný obstarávateľ si taktiež dovoľuje uviesť, že už v rámci Prípravných trhových konzultácií (PTK) k DWH sa hospodárske subjekty mohli oboznámiť s pripravovaným verejným obstarávaním a samotnými predbežnými požiadavkami z ktorých sa následne vytvoril opis predmetu zákazky, odkaz na ukončené PTK k DWH: https://nbs.sk/o-narodnej-banke/verejne-obstaravanie/pripravne-trhove-konzultacie/ptk-dwh/. </w:t>
      </w:r>
    </w:p>
    <w:p w14:paraId="1868E65A" w14:textId="74E8A021" w:rsidR="0023624B" w:rsidRPr="0023624B" w:rsidRDefault="0023624B" w:rsidP="0023624B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23624B">
        <w:rPr>
          <w:rFonts w:ascii="Cambria" w:hAnsi="Cambria"/>
          <w:bCs/>
          <w:sz w:val="22"/>
          <w:szCs w:val="22"/>
          <w:lang w:val="sk-SK"/>
        </w:rPr>
        <w:t>Veríme, že stanovená lehota na predkladanie ponúk bude pre Vás nakoniec dostačujúca.</w:t>
      </w:r>
    </w:p>
    <w:bookmarkEnd w:id="1"/>
    <w:p w14:paraId="1B77AB5C" w14:textId="77777777" w:rsidR="00E7562E" w:rsidRDefault="00E7562E" w:rsidP="0023624B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color w:val="000000"/>
          <w:lang w:val="sk-SK"/>
        </w:rPr>
      </w:pPr>
    </w:p>
    <w:p w14:paraId="654A4B9B" w14:textId="77777777" w:rsidR="00E7562E" w:rsidRDefault="00E7562E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</w:p>
    <w:p w14:paraId="2D2F0D0C" w14:textId="77777777" w:rsidR="00E7562E" w:rsidRDefault="00E7562E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</w:p>
    <w:p w14:paraId="63CB6EDA" w14:textId="6E4376BC" w:rsidR="000B0A49" w:rsidRPr="000B0A49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JUDr. Zora Vypušťáková</w:t>
      </w:r>
    </w:p>
    <w:p w14:paraId="0E689616" w14:textId="77777777" w:rsidR="000B0A49" w:rsidRPr="000B0A49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riaditeľka</w:t>
      </w:r>
    </w:p>
    <w:p w14:paraId="5D528B41" w14:textId="77777777" w:rsidR="000B0A49" w:rsidRPr="000B0A49" w:rsidRDefault="000B0A49" w:rsidP="000B0A49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odbor hospodárskych služieb</w:t>
      </w:r>
    </w:p>
    <w:p w14:paraId="19D88FC6" w14:textId="77777777" w:rsidR="000B0A49" w:rsidRPr="000B0A49" w:rsidRDefault="000B0A49" w:rsidP="005845D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D73C0" w14:textId="77777777" w:rsidR="00EB695E" w:rsidRDefault="00EB695E" w:rsidP="005845D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sectPr w:rsidR="00EB695E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BB95" w14:textId="77777777" w:rsidR="00A11826" w:rsidRDefault="00A11826">
      <w:r>
        <w:separator/>
      </w:r>
    </w:p>
  </w:endnote>
  <w:endnote w:type="continuationSeparator" w:id="0">
    <w:p w14:paraId="675EA53C" w14:textId="77777777" w:rsidR="00A11826" w:rsidRDefault="00A1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46F0" w14:textId="77777777" w:rsidR="00A11826" w:rsidRDefault="00A11826">
      <w:r>
        <w:separator/>
      </w:r>
    </w:p>
  </w:footnote>
  <w:footnote w:type="continuationSeparator" w:id="0">
    <w:p w14:paraId="5EA42074" w14:textId="77777777" w:rsidR="00A11826" w:rsidRDefault="00A1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C56EA"/>
    <w:rsid w:val="000C602C"/>
    <w:rsid w:val="000D6E7E"/>
    <w:rsid w:val="000D7A51"/>
    <w:rsid w:val="000E3C30"/>
    <w:rsid w:val="000F00E7"/>
    <w:rsid w:val="001129A5"/>
    <w:rsid w:val="00125FC1"/>
    <w:rsid w:val="00136858"/>
    <w:rsid w:val="0014055F"/>
    <w:rsid w:val="00150181"/>
    <w:rsid w:val="0015182D"/>
    <w:rsid w:val="00152DBE"/>
    <w:rsid w:val="00192754"/>
    <w:rsid w:val="001A03F4"/>
    <w:rsid w:val="001A1D5B"/>
    <w:rsid w:val="001B469A"/>
    <w:rsid w:val="001E06B9"/>
    <w:rsid w:val="001E2E02"/>
    <w:rsid w:val="001F5339"/>
    <w:rsid w:val="001F5567"/>
    <w:rsid w:val="00200C4A"/>
    <w:rsid w:val="00224A7B"/>
    <w:rsid w:val="0023210A"/>
    <w:rsid w:val="0023624B"/>
    <w:rsid w:val="0025232E"/>
    <w:rsid w:val="00253DAC"/>
    <w:rsid w:val="002654F9"/>
    <w:rsid w:val="002712F0"/>
    <w:rsid w:val="00277A53"/>
    <w:rsid w:val="00286E11"/>
    <w:rsid w:val="002909ED"/>
    <w:rsid w:val="002978A1"/>
    <w:rsid w:val="002A188A"/>
    <w:rsid w:val="002C416E"/>
    <w:rsid w:val="002C562C"/>
    <w:rsid w:val="002D101D"/>
    <w:rsid w:val="002D543C"/>
    <w:rsid w:val="002E3524"/>
    <w:rsid w:val="00307026"/>
    <w:rsid w:val="00342B56"/>
    <w:rsid w:val="00366246"/>
    <w:rsid w:val="00382FFB"/>
    <w:rsid w:val="00392BA6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7163"/>
    <w:rsid w:val="00424A9C"/>
    <w:rsid w:val="00431E57"/>
    <w:rsid w:val="00432DE7"/>
    <w:rsid w:val="004500E0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391F"/>
    <w:rsid w:val="004E5B97"/>
    <w:rsid w:val="004F45F6"/>
    <w:rsid w:val="004F53F6"/>
    <w:rsid w:val="00513587"/>
    <w:rsid w:val="00526F7D"/>
    <w:rsid w:val="00527AC3"/>
    <w:rsid w:val="00532E06"/>
    <w:rsid w:val="00534C5B"/>
    <w:rsid w:val="005522F4"/>
    <w:rsid w:val="005845D2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F4847"/>
    <w:rsid w:val="005F5601"/>
    <w:rsid w:val="00605D22"/>
    <w:rsid w:val="00606CF8"/>
    <w:rsid w:val="00607B3B"/>
    <w:rsid w:val="006107B1"/>
    <w:rsid w:val="00630F93"/>
    <w:rsid w:val="00632AD2"/>
    <w:rsid w:val="00637EBC"/>
    <w:rsid w:val="00650815"/>
    <w:rsid w:val="00682367"/>
    <w:rsid w:val="00692356"/>
    <w:rsid w:val="006B433A"/>
    <w:rsid w:val="006C7123"/>
    <w:rsid w:val="006D520C"/>
    <w:rsid w:val="006D75DC"/>
    <w:rsid w:val="006E6AB0"/>
    <w:rsid w:val="006F30AB"/>
    <w:rsid w:val="006F3DC6"/>
    <w:rsid w:val="00711B9E"/>
    <w:rsid w:val="007143C1"/>
    <w:rsid w:val="0073205E"/>
    <w:rsid w:val="00733B71"/>
    <w:rsid w:val="00734CCE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F0455"/>
    <w:rsid w:val="0080701A"/>
    <w:rsid w:val="00816F8E"/>
    <w:rsid w:val="008378F6"/>
    <w:rsid w:val="008407AE"/>
    <w:rsid w:val="0085010A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21161"/>
    <w:rsid w:val="00921B13"/>
    <w:rsid w:val="00923673"/>
    <w:rsid w:val="009462ED"/>
    <w:rsid w:val="00950463"/>
    <w:rsid w:val="00981F06"/>
    <w:rsid w:val="009A55DD"/>
    <w:rsid w:val="009B1CA2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5FED"/>
    <w:rsid w:val="00A770C6"/>
    <w:rsid w:val="00A87068"/>
    <w:rsid w:val="00A96C55"/>
    <w:rsid w:val="00AC1148"/>
    <w:rsid w:val="00AC450A"/>
    <w:rsid w:val="00AD26E4"/>
    <w:rsid w:val="00AD7FB8"/>
    <w:rsid w:val="00AE16F4"/>
    <w:rsid w:val="00AF1144"/>
    <w:rsid w:val="00AF5FE7"/>
    <w:rsid w:val="00B00D0A"/>
    <w:rsid w:val="00B060A4"/>
    <w:rsid w:val="00B23E2A"/>
    <w:rsid w:val="00B36B47"/>
    <w:rsid w:val="00B36E02"/>
    <w:rsid w:val="00B55BF0"/>
    <w:rsid w:val="00B66DB9"/>
    <w:rsid w:val="00B67CAC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A0DDA"/>
    <w:rsid w:val="00CC6FF4"/>
    <w:rsid w:val="00CF2F80"/>
    <w:rsid w:val="00D04671"/>
    <w:rsid w:val="00D20720"/>
    <w:rsid w:val="00D22C9A"/>
    <w:rsid w:val="00D37B19"/>
    <w:rsid w:val="00D61284"/>
    <w:rsid w:val="00D6449D"/>
    <w:rsid w:val="00D66DB0"/>
    <w:rsid w:val="00D82D6B"/>
    <w:rsid w:val="00DA45EC"/>
    <w:rsid w:val="00DD5E91"/>
    <w:rsid w:val="00DF0328"/>
    <w:rsid w:val="00DF246F"/>
    <w:rsid w:val="00DF54FC"/>
    <w:rsid w:val="00E05F46"/>
    <w:rsid w:val="00E10433"/>
    <w:rsid w:val="00E11129"/>
    <w:rsid w:val="00E113A2"/>
    <w:rsid w:val="00E12149"/>
    <w:rsid w:val="00E22DC1"/>
    <w:rsid w:val="00E3020F"/>
    <w:rsid w:val="00E4172C"/>
    <w:rsid w:val="00E44B30"/>
    <w:rsid w:val="00E50AD2"/>
    <w:rsid w:val="00E6446D"/>
    <w:rsid w:val="00E7562E"/>
    <w:rsid w:val="00E75932"/>
    <w:rsid w:val="00E7597D"/>
    <w:rsid w:val="00E80FBB"/>
    <w:rsid w:val="00E86E62"/>
    <w:rsid w:val="00E976AC"/>
    <w:rsid w:val="00EA6F3B"/>
    <w:rsid w:val="00EB695E"/>
    <w:rsid w:val="00EB7CDD"/>
    <w:rsid w:val="00EC42D7"/>
    <w:rsid w:val="00EE0D3D"/>
    <w:rsid w:val="00EE6EFA"/>
    <w:rsid w:val="00F02071"/>
    <w:rsid w:val="00F054B4"/>
    <w:rsid w:val="00F17FF8"/>
    <w:rsid w:val="00F24726"/>
    <w:rsid w:val="00F251C0"/>
    <w:rsid w:val="00F27541"/>
    <w:rsid w:val="00F34EED"/>
    <w:rsid w:val="00F3571C"/>
    <w:rsid w:val="00F37AB1"/>
    <w:rsid w:val="00F65D06"/>
    <w:rsid w:val="00F66D5F"/>
    <w:rsid w:val="00F92C48"/>
    <w:rsid w:val="00F95786"/>
    <w:rsid w:val="00FB7831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62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3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946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7</cp:revision>
  <cp:lastPrinted>2018-11-19T09:58:00Z</cp:lastPrinted>
  <dcterms:created xsi:type="dcterms:W3CDTF">2022-09-22T07:47:00Z</dcterms:created>
  <dcterms:modified xsi:type="dcterms:W3CDTF">2022-09-26T08:15:00Z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