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4205" w14:textId="77777777" w:rsidR="005F4847" w:rsidRPr="00AE16F4" w:rsidRDefault="005F4847" w:rsidP="003F5E9A">
      <w:pPr>
        <w:tabs>
          <w:tab w:val="left" w:pos="5387"/>
        </w:tabs>
        <w:ind w:left="6096"/>
        <w:rPr>
          <w:rFonts w:ascii="Cambria" w:hAnsi="Cambria"/>
          <w:sz w:val="22"/>
          <w:szCs w:val="22"/>
          <w:lang w:val="sk-SK"/>
        </w:rPr>
      </w:pPr>
    </w:p>
    <w:p w14:paraId="7940AB41" w14:textId="6E3B9E76" w:rsidR="00E10433" w:rsidRPr="00AE16F4" w:rsidRDefault="00EC42D7" w:rsidP="00EC42D7">
      <w:pPr>
        <w:tabs>
          <w:tab w:val="left" w:pos="5387"/>
        </w:tabs>
        <w:rPr>
          <w:rFonts w:ascii="Cambria" w:hAnsi="Cambria"/>
          <w:sz w:val="22"/>
          <w:szCs w:val="22"/>
          <w:lang w:val="sk-SK"/>
        </w:rPr>
      </w:pPr>
      <w:r>
        <w:rPr>
          <w:rFonts w:ascii="Cambria" w:hAnsi="Cambria"/>
          <w:sz w:val="22"/>
          <w:szCs w:val="22"/>
          <w:lang w:val="sk-SK"/>
        </w:rPr>
        <w:tab/>
        <w:t xml:space="preserve">           </w:t>
      </w:r>
      <w:r w:rsidR="002712F0" w:rsidRPr="00AE16F4">
        <w:rPr>
          <w:rFonts w:ascii="Cambria" w:hAnsi="Cambria"/>
          <w:sz w:val="22"/>
          <w:szCs w:val="22"/>
          <w:lang w:val="sk-SK"/>
        </w:rPr>
        <w:t>Číslo spisu:</w:t>
      </w:r>
      <w:r w:rsidR="00981F06" w:rsidRPr="00AE16F4">
        <w:rPr>
          <w:rFonts w:ascii="Cambria" w:hAnsi="Cambria"/>
          <w:sz w:val="22"/>
          <w:szCs w:val="22"/>
          <w:lang w:val="sk-SK"/>
        </w:rPr>
        <w:t xml:space="preserve"> </w:t>
      </w:r>
      <w:r w:rsidR="00432DE7" w:rsidRPr="00432DE7">
        <w:rPr>
          <w:rFonts w:ascii="Cambria" w:hAnsi="Cambria"/>
          <w:sz w:val="22"/>
          <w:szCs w:val="22"/>
          <w:lang w:val="sk-SK"/>
        </w:rPr>
        <w:t>NBS1-000-074-299</w:t>
      </w:r>
    </w:p>
    <w:p w14:paraId="40F6DCF7" w14:textId="75FD5090" w:rsidR="00B66DB9" w:rsidRPr="00AE16F4" w:rsidRDefault="00EC42D7" w:rsidP="00EC42D7">
      <w:pPr>
        <w:tabs>
          <w:tab w:val="left" w:pos="5529"/>
        </w:tabs>
        <w:rPr>
          <w:rFonts w:ascii="Cambria" w:hAnsi="Cambria"/>
          <w:sz w:val="22"/>
          <w:szCs w:val="22"/>
          <w:lang w:val="sk-SK"/>
        </w:rPr>
      </w:pPr>
      <w:r>
        <w:rPr>
          <w:rFonts w:ascii="Cambria" w:hAnsi="Cambria"/>
          <w:sz w:val="22"/>
          <w:szCs w:val="22"/>
          <w:lang w:val="sk-SK"/>
        </w:rPr>
        <w:tab/>
        <w:t xml:space="preserve">        </w:t>
      </w:r>
      <w:r w:rsidR="00B66DB9" w:rsidRPr="00AE16F4">
        <w:rPr>
          <w:rFonts w:ascii="Cambria" w:hAnsi="Cambria"/>
          <w:sz w:val="22"/>
          <w:szCs w:val="22"/>
          <w:lang w:val="sk-SK"/>
        </w:rPr>
        <w:t>Číslo záznamu:</w:t>
      </w:r>
      <w:r w:rsidR="001F5339">
        <w:rPr>
          <w:rFonts w:ascii="Cambria" w:hAnsi="Cambria"/>
          <w:sz w:val="22"/>
          <w:szCs w:val="22"/>
          <w:lang w:val="sk-SK"/>
        </w:rPr>
        <w:t xml:space="preserve"> </w:t>
      </w:r>
      <w:r w:rsidR="006173F3" w:rsidRPr="006173F3">
        <w:rPr>
          <w:rFonts w:ascii="Cambria" w:hAnsi="Cambria"/>
          <w:sz w:val="22"/>
          <w:szCs w:val="22"/>
          <w:lang w:val="sk-SK"/>
        </w:rPr>
        <w:t>100-000-399-703</w:t>
      </w:r>
    </w:p>
    <w:p w14:paraId="5987CF6A" w14:textId="32F6D822" w:rsidR="005F4847" w:rsidRPr="00AE16F4" w:rsidRDefault="00EC42D7" w:rsidP="00EC42D7">
      <w:pPr>
        <w:tabs>
          <w:tab w:val="left" w:pos="5245"/>
        </w:tabs>
        <w:rPr>
          <w:rFonts w:ascii="Cambria" w:hAnsi="Cambria"/>
          <w:sz w:val="22"/>
          <w:szCs w:val="22"/>
          <w:lang w:val="sk-SK"/>
        </w:rPr>
      </w:pPr>
      <w:r>
        <w:rPr>
          <w:rFonts w:ascii="Cambria" w:hAnsi="Cambria"/>
          <w:sz w:val="22"/>
          <w:szCs w:val="22"/>
          <w:lang w:val="sk-SK"/>
        </w:rPr>
        <w:t xml:space="preserve">                                                                                                                          </w:t>
      </w:r>
      <w:r w:rsidR="005F4847" w:rsidRPr="00AE16F4">
        <w:rPr>
          <w:rFonts w:ascii="Cambria" w:hAnsi="Cambria"/>
          <w:sz w:val="22"/>
          <w:szCs w:val="22"/>
          <w:lang w:val="sk-SK"/>
        </w:rPr>
        <w:t xml:space="preserve">Dátum: </w:t>
      </w:r>
      <w:r w:rsidR="00A15417">
        <w:rPr>
          <w:rFonts w:ascii="Cambria" w:hAnsi="Cambria"/>
          <w:sz w:val="22"/>
          <w:szCs w:val="22"/>
          <w:lang w:val="sk-SK"/>
        </w:rPr>
        <w:t>03</w:t>
      </w:r>
      <w:r w:rsidR="00F95786">
        <w:rPr>
          <w:rFonts w:ascii="Cambria" w:hAnsi="Cambria"/>
          <w:sz w:val="22"/>
          <w:szCs w:val="22"/>
          <w:lang w:val="sk-SK"/>
        </w:rPr>
        <w:t>.</w:t>
      </w:r>
      <w:r w:rsidR="00A15417">
        <w:rPr>
          <w:rFonts w:ascii="Cambria" w:hAnsi="Cambria"/>
          <w:sz w:val="22"/>
          <w:szCs w:val="22"/>
          <w:lang w:val="sk-SK"/>
        </w:rPr>
        <w:t>10</w:t>
      </w:r>
      <w:r w:rsidR="00F95786">
        <w:rPr>
          <w:rFonts w:ascii="Cambria" w:hAnsi="Cambria"/>
          <w:sz w:val="22"/>
          <w:szCs w:val="22"/>
          <w:lang w:val="sk-SK"/>
        </w:rPr>
        <w:t>.</w:t>
      </w:r>
      <w:r>
        <w:rPr>
          <w:rFonts w:ascii="Cambria" w:hAnsi="Cambria"/>
          <w:sz w:val="22"/>
          <w:szCs w:val="22"/>
          <w:lang w:val="sk-SK"/>
        </w:rPr>
        <w:t>202</w:t>
      </w:r>
      <w:r w:rsidR="00432DE7">
        <w:rPr>
          <w:rFonts w:ascii="Cambria" w:hAnsi="Cambria"/>
          <w:sz w:val="22"/>
          <w:szCs w:val="22"/>
          <w:lang w:val="sk-SK"/>
        </w:rPr>
        <w:t>2</w:t>
      </w:r>
    </w:p>
    <w:p w14:paraId="4A2CEDA0" w14:textId="77777777" w:rsidR="004865D1" w:rsidRPr="00AE16F4" w:rsidRDefault="004865D1" w:rsidP="00EE0D3D">
      <w:pPr>
        <w:tabs>
          <w:tab w:val="left" w:pos="5529"/>
        </w:tabs>
        <w:jc w:val="center"/>
        <w:rPr>
          <w:rFonts w:ascii="Cambria" w:hAnsi="Cambria"/>
          <w:b/>
          <w:sz w:val="22"/>
          <w:szCs w:val="22"/>
          <w:lang w:val="sk-SK"/>
        </w:rPr>
      </w:pPr>
    </w:p>
    <w:p w14:paraId="27E4AB45" w14:textId="77777777" w:rsidR="00052C97" w:rsidRPr="00AE16F4" w:rsidRDefault="00052C97" w:rsidP="00EE0D3D">
      <w:pPr>
        <w:jc w:val="center"/>
        <w:rPr>
          <w:rFonts w:ascii="Cambria" w:hAnsi="Cambria"/>
          <w:b/>
          <w:sz w:val="22"/>
          <w:szCs w:val="22"/>
          <w:lang w:val="sk-SK"/>
        </w:rPr>
      </w:pPr>
    </w:p>
    <w:p w14:paraId="0A8B3BAE" w14:textId="77777777" w:rsidR="001B469A" w:rsidRPr="00AE16F4" w:rsidRDefault="00E6446D" w:rsidP="003F5E9A">
      <w:pPr>
        <w:spacing w:after="120"/>
        <w:ind w:left="357"/>
        <w:jc w:val="center"/>
        <w:rPr>
          <w:rFonts w:ascii="Cambria" w:hAnsi="Cambria"/>
          <w:b/>
          <w:sz w:val="22"/>
          <w:szCs w:val="22"/>
          <w:lang w:val="sk-SK"/>
        </w:rPr>
      </w:pPr>
      <w:r w:rsidRPr="00AE16F4">
        <w:rPr>
          <w:rFonts w:ascii="Cambria" w:hAnsi="Cambria"/>
          <w:b/>
          <w:sz w:val="22"/>
          <w:szCs w:val="22"/>
          <w:lang w:val="sk-SK"/>
        </w:rPr>
        <w:t>VYSVETLENIE</w:t>
      </w:r>
    </w:p>
    <w:p w14:paraId="4F08E38D" w14:textId="73618D73" w:rsidR="001B469A" w:rsidRDefault="00B23E2A" w:rsidP="002D543C">
      <w:pPr>
        <w:autoSpaceDE w:val="0"/>
        <w:autoSpaceDN w:val="0"/>
        <w:adjustRightInd w:val="0"/>
        <w:jc w:val="center"/>
        <w:rPr>
          <w:rFonts w:ascii="Cambria" w:hAnsi="Cambria"/>
          <w:color w:val="000000"/>
          <w:sz w:val="22"/>
          <w:szCs w:val="22"/>
          <w:lang w:val="sk-SK"/>
        </w:rPr>
      </w:pPr>
      <w:r w:rsidRPr="00AE16F4">
        <w:rPr>
          <w:rFonts w:ascii="Cambria" w:hAnsi="Cambria"/>
          <w:color w:val="000000"/>
          <w:sz w:val="22"/>
          <w:szCs w:val="22"/>
          <w:lang w:val="sk-SK"/>
        </w:rPr>
        <w:t>i</w:t>
      </w:r>
      <w:r w:rsidR="00527AC3" w:rsidRPr="00AE16F4">
        <w:rPr>
          <w:rFonts w:ascii="Cambria" w:hAnsi="Cambria"/>
          <w:color w:val="000000"/>
          <w:sz w:val="22"/>
          <w:szCs w:val="22"/>
          <w:lang w:val="sk-SK"/>
        </w:rPr>
        <w:t xml:space="preserve">nformácií uvedených </w:t>
      </w:r>
      <w:r w:rsidR="003F6DDC">
        <w:rPr>
          <w:rFonts w:ascii="Cambria" w:hAnsi="Cambria"/>
          <w:color w:val="000000"/>
          <w:sz w:val="22"/>
          <w:szCs w:val="22"/>
          <w:lang w:val="sk-SK"/>
        </w:rPr>
        <w:t>v oznámení o vyhlásení verejného obstarávania</w:t>
      </w:r>
      <w:r w:rsidR="00527AC3" w:rsidRPr="00AE16F4">
        <w:rPr>
          <w:rFonts w:ascii="Cambria" w:hAnsi="Cambria"/>
          <w:color w:val="000000"/>
          <w:sz w:val="22"/>
          <w:szCs w:val="22"/>
          <w:lang w:val="sk-SK"/>
        </w:rPr>
        <w:t xml:space="preserve">, v súťažných podkladoch alebo v inej sprievodnej dokumentácii </w:t>
      </w:r>
      <w:r w:rsidR="00923673" w:rsidRPr="00AE16F4">
        <w:rPr>
          <w:rFonts w:ascii="Cambria" w:hAnsi="Cambria"/>
          <w:sz w:val="22"/>
          <w:szCs w:val="22"/>
          <w:lang w:val="sk-SK"/>
        </w:rPr>
        <w:t xml:space="preserve">podľa § </w:t>
      </w:r>
      <w:r w:rsidR="001F5339">
        <w:rPr>
          <w:rFonts w:ascii="Cambria" w:hAnsi="Cambria"/>
          <w:sz w:val="22"/>
          <w:szCs w:val="22"/>
          <w:lang w:val="sk-SK"/>
        </w:rPr>
        <w:t>48</w:t>
      </w:r>
      <w:r w:rsidR="000D6E7E" w:rsidRPr="00AE16F4">
        <w:rPr>
          <w:rFonts w:ascii="Cambria" w:hAnsi="Cambria"/>
          <w:sz w:val="22"/>
          <w:szCs w:val="22"/>
          <w:lang w:val="sk-SK"/>
        </w:rPr>
        <w:t xml:space="preserve"> </w:t>
      </w:r>
      <w:r w:rsidR="00E6446D" w:rsidRPr="00AE16F4">
        <w:rPr>
          <w:rFonts w:ascii="Cambria" w:hAnsi="Cambria"/>
          <w:color w:val="000000"/>
          <w:sz w:val="22"/>
          <w:szCs w:val="22"/>
          <w:lang w:val="sk-SK"/>
        </w:rPr>
        <w:t>zákona č. 343/2015 Z. z. o verejnom obstarávaní a o zmene a doplnení niektorých zákonov v znení neskorších predpisov (ďalej len „zákon o verejnom obstarávaní“)</w:t>
      </w:r>
    </w:p>
    <w:p w14:paraId="7F905823" w14:textId="77777777" w:rsidR="002D543C" w:rsidRPr="002D543C" w:rsidRDefault="002D543C" w:rsidP="002D543C">
      <w:pPr>
        <w:autoSpaceDE w:val="0"/>
        <w:autoSpaceDN w:val="0"/>
        <w:adjustRightInd w:val="0"/>
        <w:jc w:val="center"/>
        <w:rPr>
          <w:rFonts w:ascii="Cambria" w:hAnsi="Cambria"/>
          <w:color w:val="000000"/>
          <w:sz w:val="22"/>
          <w:szCs w:val="22"/>
          <w:lang w:val="sk-SK"/>
        </w:rPr>
      </w:pPr>
    </w:p>
    <w:p w14:paraId="230E7463" w14:textId="1C982C01" w:rsidR="00E6446D" w:rsidRPr="00432DE7" w:rsidRDefault="00E6446D" w:rsidP="00BA37F3">
      <w:pPr>
        <w:jc w:val="both"/>
        <w:rPr>
          <w:rFonts w:ascii="Cambria" w:hAnsi="Cambria"/>
          <w:sz w:val="22"/>
          <w:szCs w:val="22"/>
          <w:lang w:val="sk-SK"/>
        </w:rPr>
      </w:pPr>
      <w:r w:rsidRPr="0075503B">
        <w:rPr>
          <w:rFonts w:ascii="Cambria" w:hAnsi="Cambria"/>
          <w:sz w:val="22"/>
          <w:szCs w:val="22"/>
          <w:lang w:val="sk-SK"/>
        </w:rPr>
        <w:t>Verejný obstarávateľ, Národná banka Slovenska so sídlom Imricha Karvaša 1, 813 25 Bratislava (ďalej len „verejný obstarávateľ</w:t>
      </w:r>
      <w:bookmarkStart w:id="0" w:name="_Hlk75852783"/>
      <w:r w:rsidRPr="0075503B">
        <w:rPr>
          <w:rFonts w:ascii="Cambria" w:hAnsi="Cambria"/>
          <w:sz w:val="22"/>
          <w:szCs w:val="22"/>
          <w:lang w:val="sk-SK"/>
        </w:rPr>
        <w:t>“</w:t>
      </w:r>
      <w:bookmarkEnd w:id="0"/>
      <w:r w:rsidRPr="0075503B">
        <w:rPr>
          <w:rFonts w:ascii="Cambria" w:hAnsi="Cambria"/>
          <w:sz w:val="22"/>
          <w:szCs w:val="22"/>
          <w:lang w:val="sk-SK"/>
        </w:rPr>
        <w:t>)</w:t>
      </w:r>
      <w:r w:rsidR="00F65D06" w:rsidRPr="0075503B">
        <w:rPr>
          <w:rFonts w:ascii="Cambria" w:hAnsi="Cambria"/>
          <w:sz w:val="22"/>
          <w:szCs w:val="22"/>
          <w:lang w:val="sk-SK"/>
        </w:rPr>
        <w:t>,</w:t>
      </w:r>
      <w:r w:rsidRPr="0075503B">
        <w:rPr>
          <w:rFonts w:ascii="Cambria" w:hAnsi="Cambria"/>
          <w:bCs/>
          <w:kern w:val="32"/>
          <w:sz w:val="22"/>
          <w:szCs w:val="22"/>
          <w:lang w:val="sk-SK" w:eastAsia="sk-SK"/>
        </w:rPr>
        <w:t xml:space="preserve"> obdržal dňa </w:t>
      </w:r>
      <w:r w:rsidR="00406533" w:rsidRPr="00406533">
        <w:rPr>
          <w:rFonts w:ascii="Cambria" w:hAnsi="Cambria"/>
          <w:bCs/>
          <w:kern w:val="32"/>
          <w:sz w:val="22"/>
          <w:szCs w:val="22"/>
          <w:lang w:val="sk-SK" w:eastAsia="sk-SK"/>
        </w:rPr>
        <w:t>2</w:t>
      </w:r>
      <w:r w:rsidR="00A859B8">
        <w:rPr>
          <w:rFonts w:ascii="Cambria" w:hAnsi="Cambria"/>
          <w:bCs/>
          <w:kern w:val="32"/>
          <w:sz w:val="22"/>
          <w:szCs w:val="22"/>
          <w:lang w:val="sk-SK" w:eastAsia="sk-SK"/>
        </w:rPr>
        <w:t>3</w:t>
      </w:r>
      <w:r w:rsidR="00406533" w:rsidRPr="00406533">
        <w:rPr>
          <w:rFonts w:ascii="Cambria" w:hAnsi="Cambria"/>
          <w:bCs/>
          <w:kern w:val="32"/>
          <w:sz w:val="22"/>
          <w:szCs w:val="22"/>
          <w:lang w:val="sk-SK" w:eastAsia="sk-SK"/>
        </w:rPr>
        <w:t xml:space="preserve">.09.2022 </w:t>
      </w:r>
      <w:r w:rsidRPr="0075503B">
        <w:rPr>
          <w:rFonts w:ascii="Cambria" w:hAnsi="Cambria"/>
          <w:sz w:val="22"/>
          <w:szCs w:val="22"/>
          <w:lang w:val="sk-SK"/>
        </w:rPr>
        <w:t xml:space="preserve">prostredníctvom elektronického prostriedku, komunikačného rozhrania systému JOSEPHINE </w:t>
      </w:r>
      <w:r w:rsidRPr="0075503B">
        <w:rPr>
          <w:rFonts w:ascii="Cambria" w:hAnsi="Cambria"/>
          <w:bCs/>
          <w:kern w:val="32"/>
          <w:sz w:val="22"/>
          <w:szCs w:val="22"/>
          <w:lang w:val="sk-SK" w:eastAsia="sk-SK"/>
        </w:rPr>
        <w:t>žiadosť o</w:t>
      </w:r>
      <w:r w:rsidR="00527AC3" w:rsidRPr="0075503B">
        <w:rPr>
          <w:rFonts w:ascii="Cambria" w:hAnsi="Cambria"/>
          <w:bCs/>
          <w:kern w:val="32"/>
          <w:sz w:val="22"/>
          <w:szCs w:val="22"/>
          <w:lang w:val="sk-SK" w:eastAsia="sk-SK"/>
        </w:rPr>
        <w:t> </w:t>
      </w:r>
      <w:r w:rsidRPr="0075503B">
        <w:rPr>
          <w:rFonts w:ascii="Cambria" w:hAnsi="Cambria"/>
          <w:bCs/>
          <w:kern w:val="32"/>
          <w:sz w:val="22"/>
          <w:szCs w:val="22"/>
          <w:lang w:val="sk-SK" w:eastAsia="sk-SK"/>
        </w:rPr>
        <w:t>vysvetlenie</w:t>
      </w:r>
      <w:r w:rsidR="00527AC3" w:rsidRPr="0075503B">
        <w:rPr>
          <w:rFonts w:ascii="Cambria" w:hAnsi="Cambria"/>
          <w:bCs/>
          <w:kern w:val="32"/>
          <w:sz w:val="22"/>
          <w:szCs w:val="22"/>
          <w:lang w:val="sk-SK" w:eastAsia="sk-SK"/>
        </w:rPr>
        <w:t xml:space="preserve"> i</w:t>
      </w:r>
      <w:r w:rsidR="00527AC3" w:rsidRPr="0075503B">
        <w:rPr>
          <w:rFonts w:ascii="Cambria" w:hAnsi="Cambria"/>
          <w:sz w:val="22"/>
          <w:szCs w:val="22"/>
          <w:lang w:val="sk-SK"/>
        </w:rPr>
        <w:t>nformácií uvedených v súťažných podkladoch</w:t>
      </w:r>
      <w:r w:rsidRPr="0075503B">
        <w:rPr>
          <w:rFonts w:ascii="Cambria" w:hAnsi="Cambria"/>
          <w:bCs/>
          <w:kern w:val="32"/>
          <w:sz w:val="22"/>
          <w:szCs w:val="22"/>
          <w:lang w:val="sk-SK" w:eastAsia="sk-SK"/>
        </w:rPr>
        <w:t xml:space="preserve"> </w:t>
      </w:r>
      <w:r w:rsidRPr="0075503B">
        <w:rPr>
          <w:rFonts w:ascii="Cambria" w:hAnsi="Cambria"/>
          <w:sz w:val="22"/>
          <w:szCs w:val="22"/>
          <w:lang w:val="sk-SK"/>
        </w:rPr>
        <w:t>v </w:t>
      </w:r>
      <w:r w:rsidR="00C44A15" w:rsidRPr="0075503B">
        <w:rPr>
          <w:rFonts w:ascii="Cambria" w:hAnsi="Cambria"/>
          <w:sz w:val="22"/>
          <w:szCs w:val="22"/>
          <w:lang w:val="sk-SK"/>
        </w:rPr>
        <w:t xml:space="preserve"> nadlimitnej zákazke s názvom </w:t>
      </w:r>
      <w:r w:rsidR="00432DE7">
        <w:rPr>
          <w:rFonts w:ascii="Cambria" w:hAnsi="Cambria"/>
          <w:sz w:val="22"/>
          <w:szCs w:val="22"/>
          <w:lang w:val="sk-SK"/>
        </w:rPr>
        <w:t>„</w:t>
      </w:r>
      <w:r w:rsidR="00432DE7" w:rsidRPr="00432DE7">
        <w:rPr>
          <w:rFonts w:ascii="Cambria" w:hAnsi="Cambria"/>
          <w:b/>
          <w:bCs/>
          <w:sz w:val="22"/>
          <w:szCs w:val="22"/>
          <w:lang w:val="sk-SK"/>
        </w:rPr>
        <w:t>Konsolidácia údajov DWH/BI</w:t>
      </w:r>
      <w:r w:rsidR="00432DE7">
        <w:rPr>
          <w:rFonts w:ascii="Cambria" w:hAnsi="Cambria"/>
          <w:sz w:val="22"/>
          <w:szCs w:val="22"/>
          <w:lang w:val="sk-SK"/>
        </w:rPr>
        <w:t>“</w:t>
      </w:r>
      <w:r w:rsidR="00432DE7" w:rsidRPr="00003D8D">
        <w:rPr>
          <w:rFonts w:ascii="Cambria" w:hAnsi="Cambria"/>
          <w:sz w:val="22"/>
          <w:szCs w:val="22"/>
          <w:lang w:val="sk-SK"/>
        </w:rPr>
        <w:t xml:space="preserve">  uverejnenej v Ú. v. EÚ/S 155 dňa 12.08.2022 pod číslom 2022/S 155-442756 a vo Vestníku verejného obstarávania 180/2022 dňa 15. 8. 2022 pod číslom 37325-MSS</w:t>
      </w:r>
      <w:r w:rsidR="00BA37F3" w:rsidRPr="00B060A4">
        <w:rPr>
          <w:rFonts w:ascii="Cambria" w:hAnsi="Cambria"/>
          <w:sz w:val="22"/>
          <w:szCs w:val="22"/>
          <w:lang w:val="sk-SK"/>
        </w:rPr>
        <w:t xml:space="preserve"> </w:t>
      </w:r>
      <w:r w:rsidRPr="0075503B">
        <w:rPr>
          <w:rFonts w:ascii="Cambria" w:hAnsi="Cambria"/>
          <w:sz w:val="22"/>
          <w:szCs w:val="22"/>
          <w:lang w:val="sk-SK"/>
        </w:rPr>
        <w:t>(ďalej len „žiados</w:t>
      </w:r>
      <w:r w:rsidR="005F4847" w:rsidRPr="0075503B">
        <w:rPr>
          <w:rFonts w:ascii="Cambria" w:hAnsi="Cambria"/>
          <w:sz w:val="22"/>
          <w:szCs w:val="22"/>
          <w:lang w:val="sk-SK"/>
        </w:rPr>
        <w:t>ť</w:t>
      </w:r>
      <w:r w:rsidRPr="0075503B">
        <w:rPr>
          <w:rFonts w:ascii="Cambria" w:hAnsi="Cambria"/>
          <w:sz w:val="22"/>
          <w:szCs w:val="22"/>
          <w:lang w:val="sk-SK"/>
        </w:rPr>
        <w:t xml:space="preserve"> o vysvetlenie“)</w:t>
      </w:r>
      <w:r w:rsidRPr="0075503B">
        <w:rPr>
          <w:rFonts w:ascii="Cambria" w:hAnsi="Cambria"/>
          <w:bCs/>
          <w:sz w:val="22"/>
          <w:szCs w:val="22"/>
          <w:lang w:val="sk-SK"/>
        </w:rPr>
        <w:t xml:space="preserve">. </w:t>
      </w:r>
    </w:p>
    <w:p w14:paraId="1C891E76" w14:textId="5362639E" w:rsidR="00003D8D" w:rsidRDefault="00003D8D" w:rsidP="00BA37F3">
      <w:pPr>
        <w:jc w:val="both"/>
        <w:rPr>
          <w:rFonts w:ascii="Cambria" w:hAnsi="Cambria"/>
          <w:bCs/>
          <w:sz w:val="22"/>
          <w:szCs w:val="22"/>
          <w:lang w:val="sk-SK"/>
        </w:rPr>
      </w:pPr>
    </w:p>
    <w:p w14:paraId="4AD8BE0C" w14:textId="1399331C" w:rsidR="00E6446D" w:rsidRPr="00AE16F4" w:rsidRDefault="00E6446D" w:rsidP="003F5E9A">
      <w:pPr>
        <w:jc w:val="both"/>
        <w:rPr>
          <w:rFonts w:ascii="Cambria" w:hAnsi="Cambria"/>
          <w:sz w:val="22"/>
          <w:szCs w:val="22"/>
          <w:u w:val="single"/>
          <w:lang w:val="sk-SK"/>
        </w:rPr>
      </w:pPr>
      <w:r w:rsidRPr="00AE16F4">
        <w:rPr>
          <w:rFonts w:ascii="Cambria" w:hAnsi="Cambria"/>
          <w:sz w:val="22"/>
          <w:szCs w:val="22"/>
          <w:u w:val="single"/>
          <w:lang w:val="sk-SK"/>
        </w:rPr>
        <w:t>Po podro</w:t>
      </w:r>
      <w:r w:rsidR="0025232E" w:rsidRPr="00AE16F4">
        <w:rPr>
          <w:rFonts w:ascii="Cambria" w:hAnsi="Cambria"/>
          <w:sz w:val="22"/>
          <w:szCs w:val="22"/>
          <w:u w:val="single"/>
          <w:lang w:val="sk-SK"/>
        </w:rPr>
        <w:t>bnom oboznámení sa so žiadosťou</w:t>
      </w:r>
      <w:r w:rsidRPr="00AE16F4">
        <w:rPr>
          <w:rFonts w:ascii="Cambria" w:hAnsi="Cambria"/>
          <w:sz w:val="22"/>
          <w:szCs w:val="22"/>
          <w:u w:val="single"/>
          <w:lang w:val="sk-SK"/>
        </w:rPr>
        <w:t xml:space="preserve"> o vysvetlenie </w:t>
      </w:r>
      <w:r w:rsidR="00B23E2A" w:rsidRPr="00AE16F4">
        <w:rPr>
          <w:rFonts w:ascii="Cambria" w:hAnsi="Cambria"/>
          <w:sz w:val="22"/>
          <w:szCs w:val="22"/>
          <w:u w:val="single"/>
          <w:lang w:val="sk-SK"/>
        </w:rPr>
        <w:t xml:space="preserve">Vám </w:t>
      </w:r>
      <w:r w:rsidRPr="00AE16F4">
        <w:rPr>
          <w:rFonts w:ascii="Cambria" w:hAnsi="Cambria"/>
          <w:sz w:val="22"/>
          <w:szCs w:val="22"/>
          <w:u w:val="single"/>
          <w:lang w:val="sk-SK"/>
        </w:rPr>
        <w:t xml:space="preserve">verejný obstarávateľ v súlade s ustanovením </w:t>
      </w:r>
      <w:r w:rsidR="00C44A15">
        <w:rPr>
          <w:rFonts w:ascii="Cambria" w:hAnsi="Cambria"/>
          <w:sz w:val="22"/>
          <w:szCs w:val="22"/>
          <w:u w:val="single"/>
          <w:lang w:val="sk-SK"/>
        </w:rPr>
        <w:t>§ 48</w:t>
      </w:r>
      <w:r w:rsidR="00A87068" w:rsidRPr="00AE16F4">
        <w:rPr>
          <w:rFonts w:ascii="Cambria" w:hAnsi="Cambria"/>
          <w:sz w:val="22"/>
          <w:szCs w:val="22"/>
          <w:u w:val="single"/>
          <w:lang w:val="sk-SK"/>
        </w:rPr>
        <w:t xml:space="preserve"> </w:t>
      </w:r>
      <w:r w:rsidRPr="00AE16F4">
        <w:rPr>
          <w:rFonts w:ascii="Cambria" w:hAnsi="Cambria"/>
          <w:sz w:val="22"/>
          <w:szCs w:val="22"/>
          <w:u w:val="single"/>
          <w:lang w:val="sk-SK"/>
        </w:rPr>
        <w:t xml:space="preserve">zákona </w:t>
      </w:r>
      <w:r w:rsidR="0025232E" w:rsidRPr="00AE16F4">
        <w:rPr>
          <w:rFonts w:ascii="Cambria" w:hAnsi="Cambria"/>
          <w:sz w:val="22"/>
          <w:szCs w:val="22"/>
          <w:u w:val="single"/>
          <w:lang w:val="sk-SK"/>
        </w:rPr>
        <w:t>o verej</w:t>
      </w:r>
      <w:r w:rsidRPr="00AE16F4">
        <w:rPr>
          <w:rFonts w:ascii="Cambria" w:hAnsi="Cambria"/>
          <w:sz w:val="22"/>
          <w:szCs w:val="22"/>
          <w:u w:val="single"/>
          <w:lang w:val="sk-SK"/>
        </w:rPr>
        <w:t xml:space="preserve">nom obstarávaní poskytuje </w:t>
      </w:r>
      <w:r w:rsidR="0025232E" w:rsidRPr="00AE16F4">
        <w:rPr>
          <w:rFonts w:ascii="Cambria" w:hAnsi="Cambria"/>
          <w:sz w:val="22"/>
          <w:szCs w:val="22"/>
          <w:u w:val="single"/>
          <w:lang w:val="sk-SK"/>
        </w:rPr>
        <w:t xml:space="preserve">nasledujúce </w:t>
      </w:r>
      <w:r w:rsidRPr="00AE16F4">
        <w:rPr>
          <w:rFonts w:ascii="Cambria" w:hAnsi="Cambria"/>
          <w:sz w:val="22"/>
          <w:szCs w:val="22"/>
          <w:u w:val="single"/>
          <w:lang w:val="sk-SK"/>
        </w:rPr>
        <w:t>vysvetlenie:</w:t>
      </w:r>
    </w:p>
    <w:p w14:paraId="222521B7" w14:textId="77777777" w:rsidR="006E6AB0" w:rsidRDefault="006E6AB0" w:rsidP="006E6AB0">
      <w:pPr>
        <w:spacing w:after="60"/>
        <w:jc w:val="both"/>
        <w:rPr>
          <w:rFonts w:ascii="Cambria" w:hAnsi="Cambria"/>
          <w:b/>
          <w:sz w:val="22"/>
          <w:szCs w:val="22"/>
          <w:u w:val="single"/>
          <w:lang w:val="sk-SK"/>
        </w:rPr>
      </w:pPr>
    </w:p>
    <w:p w14:paraId="625DC879" w14:textId="7476BD11" w:rsidR="005845D2" w:rsidRPr="00406533" w:rsidRDefault="005845D2" w:rsidP="005845D2">
      <w:pPr>
        <w:spacing w:after="60"/>
        <w:jc w:val="both"/>
        <w:rPr>
          <w:rFonts w:ascii="Cambria" w:hAnsi="Cambria"/>
          <w:b/>
          <w:sz w:val="22"/>
          <w:szCs w:val="22"/>
          <w:u w:val="single"/>
          <w:lang w:val="sk-SK"/>
        </w:rPr>
      </w:pPr>
      <w:r w:rsidRPr="00406533">
        <w:rPr>
          <w:rFonts w:ascii="Cambria" w:hAnsi="Cambria"/>
          <w:b/>
          <w:sz w:val="22"/>
          <w:szCs w:val="22"/>
          <w:u w:val="single"/>
          <w:lang w:val="sk-SK"/>
        </w:rPr>
        <w:t xml:space="preserve">Otázka č. </w:t>
      </w:r>
      <w:r w:rsidR="00A859B8">
        <w:rPr>
          <w:rFonts w:ascii="Cambria" w:hAnsi="Cambria"/>
          <w:b/>
          <w:sz w:val="22"/>
          <w:szCs w:val="22"/>
          <w:u w:val="single"/>
          <w:lang w:val="sk-SK"/>
        </w:rPr>
        <w:t>6</w:t>
      </w:r>
    </w:p>
    <w:p w14:paraId="192DCFC0" w14:textId="77777777" w:rsidR="00A859B8" w:rsidRPr="00A859B8" w:rsidRDefault="00A859B8" w:rsidP="00A859B8">
      <w:pPr>
        <w:jc w:val="both"/>
        <w:rPr>
          <w:rFonts w:ascii="Cambria" w:hAnsi="Cambria"/>
          <w:sz w:val="22"/>
          <w:szCs w:val="22"/>
          <w:lang w:val="sk-SK"/>
        </w:rPr>
      </w:pPr>
      <w:r w:rsidRPr="00A859B8">
        <w:rPr>
          <w:rFonts w:ascii="Cambria" w:hAnsi="Cambria"/>
          <w:sz w:val="22"/>
          <w:szCs w:val="22"/>
          <w:lang w:val="sk-SK"/>
        </w:rPr>
        <w:t>K prílohe č. 1 SP OPIS PREDMETU:</w:t>
      </w:r>
    </w:p>
    <w:p w14:paraId="0FE5AFF6" w14:textId="1DEEFD43" w:rsidR="00E7562E" w:rsidRDefault="00A859B8" w:rsidP="00E7562E">
      <w:pPr>
        <w:jc w:val="both"/>
        <w:rPr>
          <w:rFonts w:ascii="Cambria" w:hAnsi="Cambria"/>
          <w:sz w:val="22"/>
          <w:szCs w:val="22"/>
          <w:lang w:val="sk-SK"/>
        </w:rPr>
      </w:pPr>
      <w:r w:rsidRPr="00A859B8">
        <w:rPr>
          <w:rFonts w:ascii="Cambria" w:hAnsi="Cambria"/>
          <w:sz w:val="22"/>
          <w:szCs w:val="22"/>
          <w:lang w:val="sk-SK"/>
        </w:rPr>
        <w:t>V prílohe č. 1 SP Opis predmetu chýba príloha G – v zmysle bodu 4.3.3 Opisu predmetu Servisné služby čiastkového plnenia. Žiadame verejného obstarávateľa o vysvetlenie, resp. doplnenie tejto prílohy do SP .</w:t>
      </w:r>
    </w:p>
    <w:p w14:paraId="209A6FE6" w14:textId="7BFBA6DC" w:rsidR="00E7562E" w:rsidRDefault="00E7562E" w:rsidP="00E7562E">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06B66F9F" w14:textId="77777777" w:rsidR="004763A8" w:rsidRPr="004763A8" w:rsidRDefault="004763A8" w:rsidP="004763A8">
      <w:pPr>
        <w:jc w:val="both"/>
        <w:rPr>
          <w:rFonts w:ascii="Cambria" w:hAnsi="Cambria"/>
          <w:sz w:val="22"/>
          <w:szCs w:val="22"/>
          <w:lang w:val="sk-SK"/>
        </w:rPr>
      </w:pPr>
      <w:r w:rsidRPr="004763A8">
        <w:rPr>
          <w:rFonts w:ascii="Cambria" w:hAnsi="Cambria"/>
          <w:sz w:val="22"/>
          <w:szCs w:val="22"/>
          <w:lang w:val="sk-SK"/>
        </w:rPr>
        <w:t>Keďže plán projektu je rozdelený na niekoľko produkčných fáz, verejný obstarávateľ požaduje poskytovanie servisných služieb od akceptácie prvej fázy projektu pre už akceptovanú časť riešenia  a v rozsahu, ktorý je deklarovaný v prílohe G. S cieľom rozlíšiť požadované servisné služby po odovzdaní celého diela, ktoré sú vymedzené v Servisnej zmluve od servisných služieb požadovaných počas implementácie diela, bol zavedený názov pre tieto služby Servisné služby čiastkového plnenia popísané  v kapitole 4.3.3.</w:t>
      </w:r>
    </w:p>
    <w:p w14:paraId="50E08613" w14:textId="7F973894" w:rsidR="00E7562E" w:rsidRPr="00E7562E" w:rsidRDefault="004763A8" w:rsidP="004763A8">
      <w:pPr>
        <w:jc w:val="both"/>
        <w:rPr>
          <w:rFonts w:ascii="Cambria" w:hAnsi="Cambria"/>
          <w:sz w:val="22"/>
          <w:szCs w:val="22"/>
          <w:lang w:val="sk-SK"/>
        </w:rPr>
      </w:pPr>
      <w:r w:rsidRPr="004763A8">
        <w:rPr>
          <w:rFonts w:ascii="Cambria" w:hAnsi="Cambria"/>
          <w:sz w:val="22"/>
          <w:szCs w:val="22"/>
          <w:lang w:val="sk-SK"/>
        </w:rPr>
        <w:t xml:space="preserve">Príloha G je súčasťou dokumentu </w:t>
      </w:r>
      <w:r w:rsidR="00FF3C5B">
        <w:rPr>
          <w:rFonts w:ascii="Cambria" w:hAnsi="Cambria"/>
          <w:sz w:val="22"/>
          <w:szCs w:val="22"/>
          <w:lang w:val="sk-SK"/>
        </w:rPr>
        <w:t xml:space="preserve">Príloha </w:t>
      </w:r>
      <w:r w:rsidRPr="004763A8">
        <w:rPr>
          <w:rFonts w:ascii="Cambria" w:hAnsi="Cambria"/>
          <w:sz w:val="22"/>
          <w:szCs w:val="22"/>
          <w:lang w:val="sk-SK"/>
        </w:rPr>
        <w:t>1  Opis predmetu</w:t>
      </w:r>
      <w:r w:rsidR="00FF3C5B">
        <w:rPr>
          <w:rFonts w:ascii="Cambria" w:hAnsi="Cambria"/>
          <w:sz w:val="22"/>
          <w:szCs w:val="22"/>
          <w:lang w:val="sk-SK"/>
        </w:rPr>
        <w:t xml:space="preserve"> súťažných podkladov (ďalej len „Opis predmetu zákazky“)</w:t>
      </w:r>
      <w:r w:rsidRPr="004763A8">
        <w:rPr>
          <w:rFonts w:ascii="Cambria" w:hAnsi="Cambria"/>
          <w:sz w:val="22"/>
          <w:szCs w:val="22"/>
          <w:lang w:val="sk-SK"/>
        </w:rPr>
        <w:t>. Technickou chybou sa po zverejnení súťažných podkladov nedala verejným obstarávateľom zverejnená príloha G otvoriť. Chyba bola opravená zverejnením prílohy 27.09.2022 v systéme JOSEPHINE.</w:t>
      </w:r>
    </w:p>
    <w:p w14:paraId="585E28CF" w14:textId="77777777" w:rsidR="004763A8" w:rsidRDefault="004763A8" w:rsidP="00E7562E">
      <w:pPr>
        <w:jc w:val="both"/>
        <w:rPr>
          <w:rFonts w:ascii="Cambria" w:hAnsi="Cambria"/>
          <w:b/>
          <w:bCs/>
          <w:sz w:val="22"/>
          <w:szCs w:val="22"/>
          <w:lang w:val="sk-SK"/>
        </w:rPr>
      </w:pPr>
    </w:p>
    <w:p w14:paraId="50845BDF" w14:textId="2872D4E5" w:rsidR="00E7562E" w:rsidRPr="00FF3C5B" w:rsidRDefault="00E7562E" w:rsidP="00E7562E">
      <w:pPr>
        <w:jc w:val="both"/>
        <w:rPr>
          <w:rFonts w:ascii="Cambria" w:hAnsi="Cambria"/>
          <w:b/>
          <w:sz w:val="22"/>
          <w:u w:val="single"/>
          <w:lang w:val="sk-SK"/>
        </w:rPr>
      </w:pPr>
      <w:r w:rsidRPr="00FF3C5B">
        <w:rPr>
          <w:rFonts w:ascii="Cambria" w:hAnsi="Cambria"/>
          <w:b/>
          <w:sz w:val="22"/>
          <w:u w:val="single"/>
          <w:lang w:val="sk-SK"/>
        </w:rPr>
        <w:t xml:space="preserve">Otázka č. </w:t>
      </w:r>
      <w:r w:rsidR="00A859B8" w:rsidRPr="00FF3C5B">
        <w:rPr>
          <w:rFonts w:ascii="Cambria" w:hAnsi="Cambria"/>
          <w:b/>
          <w:sz w:val="22"/>
          <w:u w:val="single"/>
          <w:lang w:val="sk-SK"/>
        </w:rPr>
        <w:t>7</w:t>
      </w:r>
    </w:p>
    <w:p w14:paraId="78A94A25" w14:textId="77777777" w:rsidR="00A859B8" w:rsidRPr="00A859B8" w:rsidRDefault="00A859B8" w:rsidP="00A859B8">
      <w:pPr>
        <w:jc w:val="both"/>
        <w:rPr>
          <w:rFonts w:ascii="Cambria" w:hAnsi="Cambria"/>
          <w:sz w:val="22"/>
          <w:szCs w:val="22"/>
          <w:lang w:val="sk-SK"/>
        </w:rPr>
      </w:pPr>
      <w:r w:rsidRPr="00A859B8">
        <w:rPr>
          <w:rFonts w:ascii="Cambria" w:hAnsi="Cambria"/>
          <w:sz w:val="22"/>
          <w:szCs w:val="22"/>
          <w:lang w:val="sk-SK"/>
        </w:rPr>
        <w:t>K prílohe č. 1 SP OPIS PREDMETU:</w:t>
      </w:r>
    </w:p>
    <w:p w14:paraId="0760A49F" w14:textId="118E5F69" w:rsidR="00E7562E" w:rsidRDefault="00A859B8" w:rsidP="00A859B8">
      <w:pPr>
        <w:jc w:val="both"/>
        <w:rPr>
          <w:rFonts w:ascii="Cambria" w:hAnsi="Cambria"/>
          <w:sz w:val="22"/>
          <w:szCs w:val="22"/>
          <w:lang w:val="sk-SK"/>
        </w:rPr>
      </w:pPr>
      <w:r w:rsidRPr="00A859B8">
        <w:rPr>
          <w:rFonts w:ascii="Cambria" w:hAnsi="Cambria"/>
          <w:sz w:val="22"/>
          <w:szCs w:val="22"/>
          <w:lang w:val="sk-SK"/>
        </w:rPr>
        <w:t>Požaduje verejný obstarávateľ, aby dodávateľ okrem dodávky frameworku pre manuálne vstupy aj vytvoril formuláre? Ak áno, aký má byť ich počet a komplexita?</w:t>
      </w:r>
    </w:p>
    <w:p w14:paraId="2D21ED1E" w14:textId="20187072" w:rsidR="00E7562E" w:rsidRDefault="00E7562E" w:rsidP="00E7562E">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6CC3710E" w14:textId="39F793D9" w:rsidR="004763A8" w:rsidRPr="004763A8" w:rsidRDefault="004763A8" w:rsidP="004763A8">
      <w:pPr>
        <w:jc w:val="both"/>
        <w:rPr>
          <w:rFonts w:ascii="Cambria" w:hAnsi="Cambria"/>
          <w:bCs/>
          <w:sz w:val="22"/>
          <w:szCs w:val="22"/>
          <w:lang w:val="sk-SK"/>
        </w:rPr>
      </w:pPr>
      <w:r w:rsidRPr="004763A8">
        <w:rPr>
          <w:rFonts w:ascii="Cambria" w:hAnsi="Cambria"/>
          <w:bCs/>
          <w:sz w:val="22"/>
          <w:szCs w:val="22"/>
          <w:lang w:val="sk-SK"/>
        </w:rPr>
        <w:t xml:space="preserve">Áno, verejný obstarávateľ </w:t>
      </w:r>
      <w:r w:rsidR="007940AC">
        <w:rPr>
          <w:rFonts w:ascii="Cambria" w:hAnsi="Cambria"/>
          <w:bCs/>
          <w:sz w:val="22"/>
          <w:szCs w:val="22"/>
          <w:lang w:val="sk-SK"/>
        </w:rPr>
        <w:t>má za to</w:t>
      </w:r>
      <w:r w:rsidRPr="004763A8">
        <w:rPr>
          <w:rFonts w:ascii="Cambria" w:hAnsi="Cambria"/>
          <w:bCs/>
          <w:sz w:val="22"/>
          <w:szCs w:val="22"/>
          <w:lang w:val="sk-SK"/>
        </w:rPr>
        <w:t>, že formuláre sú rovnako dôležité pre úspešný DWH projekt ako ETL. Preto táto úloha by mala počítať s takouto predpokladanou náročnosťou:</w:t>
      </w:r>
    </w:p>
    <w:p w14:paraId="20D50EB0" w14:textId="77777777" w:rsidR="004763A8" w:rsidRPr="004763A8" w:rsidRDefault="004763A8" w:rsidP="004763A8">
      <w:pPr>
        <w:jc w:val="both"/>
        <w:rPr>
          <w:rFonts w:ascii="Cambria" w:hAnsi="Cambria"/>
          <w:bCs/>
          <w:sz w:val="22"/>
          <w:szCs w:val="22"/>
          <w:lang w:val="sk-SK"/>
        </w:rPr>
      </w:pPr>
      <w:r w:rsidRPr="004763A8">
        <w:rPr>
          <w:rFonts w:ascii="Cambria" w:hAnsi="Cambria"/>
          <w:bCs/>
          <w:sz w:val="22"/>
          <w:szCs w:val="22"/>
          <w:lang w:val="sk-SK"/>
        </w:rPr>
        <w:t>•</w:t>
      </w:r>
      <w:r w:rsidRPr="004763A8">
        <w:rPr>
          <w:rFonts w:ascii="Cambria" w:hAnsi="Cambria"/>
          <w:bCs/>
          <w:sz w:val="22"/>
          <w:szCs w:val="22"/>
          <w:lang w:val="sk-SK"/>
        </w:rPr>
        <w:tab/>
        <w:t>40 základných referenčných číselníkov</w:t>
      </w:r>
    </w:p>
    <w:p w14:paraId="28A13F4B" w14:textId="77777777" w:rsidR="004763A8" w:rsidRPr="004763A8" w:rsidRDefault="004763A8" w:rsidP="004763A8">
      <w:pPr>
        <w:jc w:val="both"/>
        <w:rPr>
          <w:rFonts w:ascii="Cambria" w:hAnsi="Cambria"/>
          <w:bCs/>
          <w:sz w:val="22"/>
          <w:szCs w:val="22"/>
          <w:lang w:val="sk-SK"/>
        </w:rPr>
      </w:pPr>
      <w:r w:rsidRPr="004763A8">
        <w:rPr>
          <w:rFonts w:ascii="Cambria" w:hAnsi="Cambria"/>
          <w:bCs/>
          <w:sz w:val="22"/>
          <w:szCs w:val="22"/>
          <w:lang w:val="sk-SK"/>
        </w:rPr>
        <w:t>•</w:t>
      </w:r>
      <w:r w:rsidRPr="004763A8">
        <w:rPr>
          <w:rFonts w:ascii="Cambria" w:hAnsi="Cambria"/>
          <w:bCs/>
          <w:sz w:val="22"/>
          <w:szCs w:val="22"/>
          <w:lang w:val="sk-SK"/>
        </w:rPr>
        <w:tab/>
        <w:t>30 master-detail</w:t>
      </w:r>
    </w:p>
    <w:p w14:paraId="4D05F36B" w14:textId="77777777" w:rsidR="004763A8" w:rsidRPr="004763A8" w:rsidRDefault="004763A8" w:rsidP="004763A8">
      <w:pPr>
        <w:jc w:val="both"/>
        <w:rPr>
          <w:rFonts w:ascii="Cambria" w:hAnsi="Cambria"/>
          <w:bCs/>
          <w:sz w:val="22"/>
          <w:szCs w:val="22"/>
          <w:lang w:val="sk-SK"/>
        </w:rPr>
      </w:pPr>
      <w:r w:rsidRPr="004763A8">
        <w:rPr>
          <w:rFonts w:ascii="Cambria" w:hAnsi="Cambria"/>
          <w:bCs/>
          <w:sz w:val="22"/>
          <w:szCs w:val="22"/>
          <w:lang w:val="sk-SK"/>
        </w:rPr>
        <w:t>•</w:t>
      </w:r>
      <w:r w:rsidRPr="004763A8">
        <w:rPr>
          <w:rFonts w:ascii="Cambria" w:hAnsi="Cambria"/>
          <w:bCs/>
          <w:sz w:val="22"/>
          <w:szCs w:val="22"/>
          <w:lang w:val="sk-SK"/>
        </w:rPr>
        <w:tab/>
        <w:t>20 mostíkov pre definovanie tzv.  „business rules“</w:t>
      </w:r>
    </w:p>
    <w:p w14:paraId="78581B2C" w14:textId="77777777" w:rsidR="004763A8" w:rsidRPr="004763A8" w:rsidRDefault="004763A8" w:rsidP="004763A8">
      <w:pPr>
        <w:jc w:val="both"/>
        <w:rPr>
          <w:rFonts w:ascii="Cambria" w:hAnsi="Cambria"/>
          <w:bCs/>
          <w:sz w:val="22"/>
          <w:szCs w:val="22"/>
          <w:lang w:val="sk-SK"/>
        </w:rPr>
      </w:pPr>
      <w:r w:rsidRPr="004763A8">
        <w:rPr>
          <w:rFonts w:ascii="Cambria" w:hAnsi="Cambria"/>
          <w:bCs/>
          <w:sz w:val="22"/>
          <w:szCs w:val="22"/>
          <w:lang w:val="sk-SK"/>
        </w:rPr>
        <w:t>•</w:t>
      </w:r>
      <w:r w:rsidRPr="004763A8">
        <w:rPr>
          <w:rFonts w:ascii="Cambria" w:hAnsi="Cambria"/>
          <w:bCs/>
          <w:sz w:val="22"/>
          <w:szCs w:val="22"/>
          <w:lang w:val="sk-SK"/>
        </w:rPr>
        <w:tab/>
        <w:t>Zaškolenie pracovníkov NBS</w:t>
      </w:r>
    </w:p>
    <w:p w14:paraId="21048F04" w14:textId="77777777" w:rsidR="00E7562E" w:rsidRPr="00E7562E" w:rsidRDefault="00E7562E" w:rsidP="00E7562E">
      <w:pPr>
        <w:jc w:val="both"/>
        <w:rPr>
          <w:rFonts w:ascii="Cambria" w:hAnsi="Cambria"/>
          <w:sz w:val="22"/>
          <w:szCs w:val="22"/>
          <w:lang w:val="sk-SK"/>
        </w:rPr>
      </w:pPr>
    </w:p>
    <w:p w14:paraId="46EF5E0D" w14:textId="46B3CFFC" w:rsidR="00E7562E" w:rsidRPr="00FF3C5B" w:rsidRDefault="00E7562E" w:rsidP="00E7562E">
      <w:pPr>
        <w:jc w:val="both"/>
        <w:rPr>
          <w:rFonts w:ascii="Cambria" w:hAnsi="Cambria"/>
          <w:b/>
          <w:sz w:val="22"/>
          <w:u w:val="single"/>
          <w:lang w:val="sk-SK"/>
        </w:rPr>
      </w:pPr>
      <w:r w:rsidRPr="00FF3C5B">
        <w:rPr>
          <w:rFonts w:ascii="Cambria" w:hAnsi="Cambria"/>
          <w:b/>
          <w:sz w:val="22"/>
          <w:u w:val="single"/>
          <w:lang w:val="sk-SK"/>
        </w:rPr>
        <w:t xml:space="preserve">Otázka č. </w:t>
      </w:r>
      <w:r w:rsidR="00A859B8" w:rsidRPr="00FF3C5B">
        <w:rPr>
          <w:rFonts w:ascii="Cambria" w:hAnsi="Cambria"/>
          <w:b/>
          <w:sz w:val="22"/>
          <w:u w:val="single"/>
          <w:lang w:val="sk-SK"/>
        </w:rPr>
        <w:t>8</w:t>
      </w:r>
    </w:p>
    <w:p w14:paraId="6A5B31F3" w14:textId="77777777" w:rsidR="00A859B8" w:rsidRPr="00A859B8" w:rsidRDefault="00A859B8" w:rsidP="00A859B8">
      <w:pPr>
        <w:jc w:val="both"/>
        <w:rPr>
          <w:rFonts w:ascii="Cambria" w:hAnsi="Cambria"/>
          <w:sz w:val="22"/>
          <w:szCs w:val="22"/>
          <w:lang w:val="sk-SK"/>
        </w:rPr>
      </w:pPr>
      <w:r w:rsidRPr="00A859B8">
        <w:rPr>
          <w:rFonts w:ascii="Cambria" w:hAnsi="Cambria"/>
          <w:sz w:val="22"/>
          <w:szCs w:val="22"/>
          <w:lang w:val="sk-SK"/>
        </w:rPr>
        <w:t>K bodu 3.2.7.7 Prezentačná vrstva (PL + L2 - Analytická vrstva) Opisu predmetu (príloha č. 1 SP)</w:t>
      </w:r>
    </w:p>
    <w:p w14:paraId="29CB5CC3" w14:textId="4798159D" w:rsidR="00E7562E" w:rsidRDefault="00A859B8" w:rsidP="00A859B8">
      <w:pPr>
        <w:jc w:val="both"/>
        <w:rPr>
          <w:rFonts w:ascii="Cambria" w:hAnsi="Cambria"/>
          <w:sz w:val="22"/>
          <w:szCs w:val="22"/>
          <w:lang w:val="sk-SK"/>
        </w:rPr>
      </w:pPr>
      <w:r w:rsidRPr="00A859B8">
        <w:rPr>
          <w:rFonts w:ascii="Cambria" w:hAnsi="Cambria"/>
          <w:sz w:val="22"/>
          <w:szCs w:val="22"/>
          <w:lang w:val="sk-SK"/>
        </w:rPr>
        <w:t>V kapitole 3.3.2 Reportingová oblasť sa spomína analytická vrstva tvorená z datamartov. Bude teda celá PL a Analytická vrstva tvorená len datamartami, alebo je požadovaná aj všeobecná prezentačná vrstva? Ak áno, aký je požadovaný rozsah prezentačnej vrstvy a odhadovaná komplexnosť biznis transformácií?</w:t>
      </w:r>
    </w:p>
    <w:p w14:paraId="732F469D" w14:textId="1F11435A" w:rsidR="00E7562E" w:rsidRDefault="00E7562E" w:rsidP="00E7562E">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74519CBF" w14:textId="69EFB556" w:rsidR="004763A8" w:rsidRPr="004763A8" w:rsidRDefault="004763A8" w:rsidP="00E7562E">
      <w:pPr>
        <w:jc w:val="both"/>
        <w:rPr>
          <w:rFonts w:ascii="Cambria" w:hAnsi="Cambria"/>
          <w:bCs/>
          <w:sz w:val="22"/>
          <w:szCs w:val="22"/>
          <w:lang w:val="sk-SK"/>
        </w:rPr>
      </w:pPr>
      <w:r w:rsidRPr="004763A8">
        <w:rPr>
          <w:rFonts w:ascii="Cambria" w:hAnsi="Cambria"/>
          <w:bCs/>
          <w:sz w:val="22"/>
          <w:szCs w:val="22"/>
          <w:lang w:val="sk-SK"/>
        </w:rPr>
        <w:t xml:space="preserve">V rámci návrhu PL a Analytickej vrstvy verejný obstarávateľ </w:t>
      </w:r>
      <w:r w:rsidR="007940AC">
        <w:rPr>
          <w:rFonts w:ascii="Cambria" w:hAnsi="Cambria"/>
          <w:bCs/>
          <w:sz w:val="22"/>
          <w:szCs w:val="22"/>
          <w:lang w:val="sk-SK"/>
        </w:rPr>
        <w:t>má za to</w:t>
      </w:r>
      <w:r w:rsidRPr="004763A8">
        <w:rPr>
          <w:rFonts w:ascii="Cambria" w:hAnsi="Cambria"/>
          <w:bCs/>
          <w:sz w:val="22"/>
          <w:szCs w:val="22"/>
          <w:lang w:val="sk-SK"/>
        </w:rPr>
        <w:t>, že niektoré dimenzie budú spoločné naprieč datamartami. Tieto spoločné dimenzie vytvoria „všeobecnú prezentačnú vrstvu“. Tento základ bude doplnený o ďalšie tabuľky, ktoré budú kategorizované ako „všeobecná prezentačná vrstva“, t.</w:t>
      </w:r>
      <w:r w:rsidR="00AB4128">
        <w:rPr>
          <w:rFonts w:ascii="Cambria" w:hAnsi="Cambria"/>
          <w:bCs/>
          <w:sz w:val="22"/>
          <w:szCs w:val="22"/>
          <w:lang w:val="sk-SK"/>
        </w:rPr>
        <w:t xml:space="preserve"> </w:t>
      </w:r>
      <w:r w:rsidRPr="004763A8">
        <w:rPr>
          <w:rFonts w:ascii="Cambria" w:hAnsi="Cambria"/>
          <w:bCs/>
          <w:sz w:val="22"/>
          <w:szCs w:val="22"/>
          <w:lang w:val="sk-SK"/>
        </w:rPr>
        <w:t>j. nebudú obsahovať sumárne dáta, či KPI vypočítané cez business pravidlá. Predpokladaný rozsah je do 40 objektov.</w:t>
      </w:r>
    </w:p>
    <w:p w14:paraId="74A6D187" w14:textId="77777777" w:rsidR="00E7562E" w:rsidRPr="00E7562E" w:rsidRDefault="00E7562E" w:rsidP="00E7562E">
      <w:pPr>
        <w:jc w:val="both"/>
        <w:rPr>
          <w:rFonts w:ascii="Cambria" w:hAnsi="Cambria"/>
          <w:sz w:val="22"/>
          <w:szCs w:val="22"/>
          <w:lang w:val="sk-SK"/>
        </w:rPr>
      </w:pPr>
    </w:p>
    <w:p w14:paraId="79B27456" w14:textId="04BFF4DF" w:rsidR="00E7562E" w:rsidRPr="00FF3C5B" w:rsidRDefault="00E7562E" w:rsidP="00E7562E">
      <w:pPr>
        <w:jc w:val="both"/>
        <w:rPr>
          <w:rFonts w:ascii="Cambria" w:hAnsi="Cambria"/>
          <w:b/>
          <w:sz w:val="22"/>
          <w:u w:val="single"/>
          <w:lang w:val="sk-SK"/>
        </w:rPr>
      </w:pPr>
      <w:bookmarkStart w:id="1" w:name="_Hlk115174788"/>
      <w:r w:rsidRPr="00FF3C5B">
        <w:rPr>
          <w:rFonts w:ascii="Cambria" w:hAnsi="Cambria"/>
          <w:b/>
          <w:sz w:val="22"/>
          <w:u w:val="single"/>
          <w:lang w:val="sk-SK"/>
        </w:rPr>
        <w:t xml:space="preserve">Otázka č. </w:t>
      </w:r>
      <w:r w:rsidR="00A859B8" w:rsidRPr="00FF3C5B">
        <w:rPr>
          <w:rFonts w:ascii="Cambria" w:hAnsi="Cambria"/>
          <w:b/>
          <w:sz w:val="22"/>
          <w:u w:val="single"/>
          <w:lang w:val="sk-SK"/>
        </w:rPr>
        <w:t>9</w:t>
      </w:r>
    </w:p>
    <w:bookmarkEnd w:id="1"/>
    <w:p w14:paraId="0C26E386" w14:textId="77777777" w:rsidR="00A859B8" w:rsidRPr="00A859B8" w:rsidRDefault="00A859B8" w:rsidP="00A859B8">
      <w:pPr>
        <w:jc w:val="both"/>
        <w:rPr>
          <w:rFonts w:ascii="Cambria" w:hAnsi="Cambria"/>
          <w:sz w:val="22"/>
          <w:szCs w:val="22"/>
          <w:lang w:val="sk-SK"/>
        </w:rPr>
      </w:pPr>
      <w:r w:rsidRPr="00A859B8">
        <w:rPr>
          <w:rFonts w:ascii="Cambria" w:hAnsi="Cambria"/>
          <w:sz w:val="22"/>
          <w:szCs w:val="22"/>
          <w:lang w:val="sk-SK"/>
        </w:rPr>
        <w:t>K 3.2.10 Iniciálny load Opisu predmetu (príloha č. 1 SP)</w:t>
      </w:r>
    </w:p>
    <w:p w14:paraId="4AF33E2E" w14:textId="77777777" w:rsidR="00A859B8" w:rsidRPr="00A859B8" w:rsidRDefault="00A859B8" w:rsidP="00A859B8">
      <w:pPr>
        <w:jc w:val="both"/>
        <w:rPr>
          <w:rFonts w:ascii="Cambria" w:hAnsi="Cambria"/>
          <w:sz w:val="22"/>
          <w:szCs w:val="22"/>
          <w:lang w:val="sk-SK"/>
        </w:rPr>
      </w:pPr>
      <w:r w:rsidRPr="00A859B8">
        <w:rPr>
          <w:rFonts w:ascii="Cambria" w:hAnsi="Cambria"/>
          <w:sz w:val="22"/>
          <w:szCs w:val="22"/>
          <w:lang w:val="sk-SK"/>
        </w:rPr>
        <w:t>Podľa bodu 3.2.10 Iniciálny load Opisu predmetu platí, že :</w:t>
      </w:r>
    </w:p>
    <w:p w14:paraId="70A554E2" w14:textId="77777777" w:rsidR="00A859B8" w:rsidRPr="00A859B8" w:rsidRDefault="00A859B8" w:rsidP="00A859B8">
      <w:pPr>
        <w:jc w:val="both"/>
        <w:rPr>
          <w:rFonts w:ascii="Cambria" w:hAnsi="Cambria"/>
          <w:sz w:val="22"/>
          <w:szCs w:val="22"/>
          <w:lang w:val="sk-SK"/>
        </w:rPr>
      </w:pPr>
      <w:r w:rsidRPr="00A859B8">
        <w:rPr>
          <w:rFonts w:ascii="Cambria" w:hAnsi="Cambria"/>
          <w:sz w:val="22"/>
          <w:szCs w:val="22"/>
          <w:lang w:val="sk-SK"/>
        </w:rPr>
        <w:t>„Pre každú tabuľku DWH v transakčnej vrstve bude zabezpečený tzv. „iniciálny load“ - prvotné nahratie kompletného obrazu dát zo zdrojového systému. To môže obsahovať aj historické položky číselníkov a kmeňových dát, ak existujú, prípadne historické transakcie a snímky, ak ich daný systém udržiava v produkčných tabuľkách (veľmi často teda ide napr. o historické transakcie - k nim musia byť dohraté aj relevantné referenčné a kmeňové dáta, aj keď dnes už nemusia byť aktívne - dlhopis, platobná karta, subjekt).</w:t>
      </w:r>
    </w:p>
    <w:p w14:paraId="11B64AB4" w14:textId="77777777" w:rsidR="00A859B8" w:rsidRPr="00A859B8" w:rsidRDefault="00A859B8" w:rsidP="00A859B8">
      <w:pPr>
        <w:jc w:val="both"/>
        <w:rPr>
          <w:rFonts w:ascii="Cambria" w:hAnsi="Cambria"/>
          <w:sz w:val="22"/>
          <w:szCs w:val="22"/>
          <w:lang w:val="sk-SK"/>
        </w:rPr>
      </w:pPr>
      <w:r w:rsidRPr="00A859B8">
        <w:rPr>
          <w:rFonts w:ascii="Cambria" w:hAnsi="Cambria"/>
          <w:sz w:val="22"/>
          <w:szCs w:val="22"/>
          <w:lang w:val="sk-SK"/>
        </w:rPr>
        <w:t>Zvyčajne sa nerekonštruujú historické stavy statických, resp. pomaly sa meniacich dát, ak tieto zmeny neobsahuje aj samotný zdrojový systém vo svojich základných zdrojových štruktúrach“.</w:t>
      </w:r>
    </w:p>
    <w:p w14:paraId="195CA4C0" w14:textId="77777777" w:rsidR="00A859B8" w:rsidRPr="00A859B8" w:rsidRDefault="00A859B8" w:rsidP="00A859B8">
      <w:pPr>
        <w:jc w:val="both"/>
        <w:rPr>
          <w:rFonts w:ascii="Cambria" w:hAnsi="Cambria"/>
          <w:sz w:val="22"/>
          <w:szCs w:val="22"/>
          <w:lang w:val="sk-SK"/>
        </w:rPr>
      </w:pPr>
      <w:r w:rsidRPr="00A859B8">
        <w:rPr>
          <w:rFonts w:ascii="Cambria" w:hAnsi="Cambria"/>
          <w:sz w:val="22"/>
          <w:szCs w:val="22"/>
          <w:lang w:val="sk-SK"/>
        </w:rPr>
        <w:t>Naša otázka znie:</w:t>
      </w:r>
    </w:p>
    <w:p w14:paraId="50831AFB" w14:textId="5ECBBBF6" w:rsidR="00EB695E" w:rsidRDefault="00A859B8" w:rsidP="00A859B8">
      <w:pPr>
        <w:jc w:val="both"/>
        <w:rPr>
          <w:rFonts w:ascii="Cambria" w:hAnsi="Cambria"/>
          <w:b/>
          <w:sz w:val="22"/>
          <w:szCs w:val="22"/>
          <w:u w:val="single"/>
          <w:lang w:val="sk-SK"/>
        </w:rPr>
      </w:pPr>
      <w:r w:rsidRPr="00A859B8">
        <w:rPr>
          <w:rFonts w:ascii="Cambria" w:hAnsi="Cambria"/>
          <w:sz w:val="22"/>
          <w:szCs w:val="22"/>
          <w:lang w:val="sk-SK"/>
        </w:rPr>
        <w:t>Predpokladá sa aj historický load nejakých DWH tabuliek? V tom zmysle, že pre dohratie kompletnej histórie údajov, je potrebné použiť iné zdrojové tabuľky a iné ETL, ako pre iniciálny load (prvý load s full obrazom zdrojovej tabuľky) a štandardný denný (inkrementálny) load? Ak áno,</w:t>
      </w:r>
      <w:r w:rsidR="001F5FD2">
        <w:rPr>
          <w:rFonts w:ascii="Cambria" w:hAnsi="Cambria"/>
          <w:sz w:val="22"/>
          <w:szCs w:val="22"/>
          <w:lang w:val="sk-SK"/>
        </w:rPr>
        <w:t xml:space="preserve"> </w:t>
      </w:r>
      <w:r w:rsidRPr="00A859B8">
        <w:rPr>
          <w:rFonts w:ascii="Cambria" w:hAnsi="Cambria"/>
          <w:sz w:val="22"/>
          <w:szCs w:val="22"/>
          <w:lang w:val="sk-SK"/>
        </w:rPr>
        <w:t>môže verejný obstarávateľ kvantifikovať počet takýchto prípadov?</w:t>
      </w:r>
    </w:p>
    <w:p w14:paraId="00C0313D" w14:textId="02C9F281" w:rsidR="00EB695E" w:rsidRDefault="005845D2" w:rsidP="005845D2">
      <w:pPr>
        <w:jc w:val="both"/>
        <w:rPr>
          <w:rFonts w:ascii="Cambria" w:hAnsi="Cambria"/>
          <w:b/>
          <w:sz w:val="22"/>
          <w:szCs w:val="22"/>
          <w:u w:val="single"/>
          <w:lang w:val="sk-SK"/>
        </w:rPr>
      </w:pPr>
      <w:bookmarkStart w:id="2" w:name="_Hlk114732665"/>
      <w:r w:rsidRPr="00763560">
        <w:rPr>
          <w:rFonts w:ascii="Cambria" w:hAnsi="Cambria"/>
          <w:b/>
          <w:sz w:val="22"/>
          <w:szCs w:val="22"/>
          <w:u w:val="single"/>
          <w:lang w:val="sk-SK"/>
        </w:rPr>
        <w:t xml:space="preserve">Odpoveď: </w:t>
      </w:r>
    </w:p>
    <w:bookmarkEnd w:id="2"/>
    <w:p w14:paraId="1B77AB5C" w14:textId="32DDF4B8" w:rsidR="00E7562E" w:rsidRPr="007940AC" w:rsidRDefault="00F008FE" w:rsidP="0023624B">
      <w:pPr>
        <w:pStyle w:val="Footer"/>
        <w:tabs>
          <w:tab w:val="left" w:pos="567"/>
          <w:tab w:val="left" w:pos="3686"/>
          <w:tab w:val="center" w:pos="4678"/>
          <w:tab w:val="left" w:pos="7088"/>
          <w:tab w:val="left" w:pos="8222"/>
        </w:tabs>
        <w:jc w:val="both"/>
        <w:rPr>
          <w:rFonts w:ascii="Cambria" w:hAnsi="Cambria"/>
          <w:color w:val="000000"/>
          <w:sz w:val="22"/>
          <w:szCs w:val="22"/>
          <w:lang w:val="sk-SK"/>
        </w:rPr>
      </w:pPr>
      <w:r>
        <w:rPr>
          <w:rFonts w:ascii="Cambria" w:hAnsi="Cambria"/>
          <w:color w:val="000000"/>
          <w:sz w:val="22"/>
          <w:szCs w:val="22"/>
          <w:lang w:val="sk-SK"/>
        </w:rPr>
        <w:t xml:space="preserve">Podľa </w:t>
      </w:r>
      <w:r w:rsidR="000668F4">
        <w:rPr>
          <w:rFonts w:ascii="Cambria" w:hAnsi="Cambria"/>
          <w:color w:val="000000"/>
          <w:sz w:val="22"/>
          <w:szCs w:val="22"/>
          <w:lang w:val="sk-SK"/>
        </w:rPr>
        <w:t xml:space="preserve">dokumentu Opis predmetu zákazky </w:t>
      </w:r>
      <w:r>
        <w:rPr>
          <w:rFonts w:ascii="Cambria" w:hAnsi="Cambria"/>
          <w:color w:val="000000"/>
          <w:sz w:val="22"/>
          <w:szCs w:val="22"/>
          <w:lang w:val="sk-SK"/>
        </w:rPr>
        <w:t>kapitol</w:t>
      </w:r>
      <w:r w:rsidR="000668F4">
        <w:rPr>
          <w:rFonts w:ascii="Cambria" w:hAnsi="Cambria"/>
          <w:color w:val="000000"/>
          <w:sz w:val="22"/>
          <w:szCs w:val="22"/>
          <w:lang w:val="sk-SK"/>
        </w:rPr>
        <w:t>y</w:t>
      </w:r>
      <w:r>
        <w:rPr>
          <w:rFonts w:ascii="Cambria" w:hAnsi="Cambria"/>
          <w:color w:val="000000"/>
          <w:sz w:val="22"/>
          <w:szCs w:val="22"/>
          <w:lang w:val="sk-SK"/>
        </w:rPr>
        <w:t xml:space="preserve"> 3.2.10 (Iniciálny load) požadujeme p</w:t>
      </w:r>
      <w:r w:rsidRPr="007940AC">
        <w:rPr>
          <w:rFonts w:ascii="Cambria" w:hAnsi="Cambria"/>
          <w:color w:val="000000"/>
          <w:sz w:val="22"/>
          <w:szCs w:val="22"/>
          <w:lang w:val="sk-SK"/>
        </w:rPr>
        <w:t xml:space="preserve">očas </w:t>
      </w:r>
      <w:r w:rsidR="004763A8" w:rsidRPr="007940AC">
        <w:rPr>
          <w:rFonts w:ascii="Cambria" w:hAnsi="Cambria"/>
          <w:color w:val="000000"/>
          <w:sz w:val="22"/>
          <w:szCs w:val="22"/>
          <w:lang w:val="sk-SK"/>
        </w:rPr>
        <w:t>projektu pre každý objekt DWH vytvor</w:t>
      </w:r>
      <w:r>
        <w:rPr>
          <w:rFonts w:ascii="Cambria" w:hAnsi="Cambria"/>
          <w:color w:val="000000"/>
          <w:sz w:val="22"/>
          <w:szCs w:val="22"/>
          <w:lang w:val="sk-SK"/>
        </w:rPr>
        <w:t>iť</w:t>
      </w:r>
      <w:r w:rsidR="004763A8" w:rsidRPr="007940AC">
        <w:rPr>
          <w:rFonts w:ascii="Cambria" w:hAnsi="Cambria"/>
          <w:color w:val="000000"/>
          <w:sz w:val="22"/>
          <w:szCs w:val="22"/>
          <w:lang w:val="sk-SK"/>
        </w:rPr>
        <w:t xml:space="preserve"> stratégi</w:t>
      </w:r>
      <w:r>
        <w:rPr>
          <w:rFonts w:ascii="Cambria" w:hAnsi="Cambria"/>
          <w:color w:val="000000"/>
          <w:sz w:val="22"/>
          <w:szCs w:val="22"/>
          <w:lang w:val="sk-SK"/>
        </w:rPr>
        <w:t xml:space="preserve">u, </w:t>
      </w:r>
      <w:r w:rsidR="004763A8" w:rsidRPr="007940AC">
        <w:rPr>
          <w:rFonts w:ascii="Cambria" w:hAnsi="Cambria"/>
          <w:color w:val="000000"/>
          <w:sz w:val="22"/>
          <w:szCs w:val="22"/>
          <w:lang w:val="sk-SK"/>
        </w:rPr>
        <w:t>pre prístup k „iniciálnemu loadu“,</w:t>
      </w:r>
      <w:r>
        <w:rPr>
          <w:rFonts w:ascii="Cambria" w:hAnsi="Cambria"/>
          <w:color w:val="000000"/>
          <w:sz w:val="22"/>
          <w:szCs w:val="22"/>
          <w:lang w:val="sk-SK"/>
        </w:rPr>
        <w:t xml:space="preserve"> t.j. </w:t>
      </w:r>
      <w:r w:rsidR="000668F4">
        <w:rPr>
          <w:rFonts w:ascii="Cambria" w:hAnsi="Cambria"/>
          <w:color w:val="000000"/>
          <w:sz w:val="22"/>
          <w:szCs w:val="22"/>
          <w:lang w:val="sk-SK"/>
        </w:rPr>
        <w:t xml:space="preserve">vytvoriť dokument  ako je uvedené v dokumente Opisu  predmetu zákazky </w:t>
      </w:r>
      <w:r>
        <w:rPr>
          <w:rFonts w:ascii="Cambria" w:hAnsi="Cambria"/>
          <w:color w:val="000000"/>
          <w:sz w:val="22"/>
          <w:szCs w:val="22"/>
          <w:lang w:val="sk-SK"/>
        </w:rPr>
        <w:t xml:space="preserve"> podľa kapitoly 3.4.5.4 (Nábeh do produkcie), </w:t>
      </w:r>
      <w:r w:rsidR="004763A8" w:rsidRPr="007940AC">
        <w:rPr>
          <w:rFonts w:ascii="Cambria" w:hAnsi="Cambria"/>
          <w:color w:val="000000"/>
          <w:sz w:val="22"/>
          <w:szCs w:val="22"/>
          <w:lang w:val="sk-SK"/>
        </w:rPr>
        <w:t xml:space="preserve"> ktorá  pre každý objekt popíše hĺbku histórie nahrávania. ETL systém bude musieť byť pripravený na vykonanie transformácií v dennom spracovaní vo väčšom rozsahu (podľa celkového objemu obsiahnutom v zdrojovom systéme) ako normálny denný inkrement. Je isté, že denný inkrement znamená, že ETL pobeží raz za deň, pokiaľ nebude iná požiadavka (workflow manager podľa zadania bude musieť podporiť near-online režim), ale tento inkrement bude môcť obsahovať všetky vyskytnuté transakcie. T.</w:t>
      </w:r>
      <w:r w:rsidR="001F5FD2">
        <w:rPr>
          <w:rFonts w:ascii="Cambria" w:hAnsi="Cambria"/>
          <w:color w:val="000000"/>
          <w:sz w:val="22"/>
          <w:szCs w:val="22"/>
          <w:lang w:val="sk-SK"/>
        </w:rPr>
        <w:t xml:space="preserve"> </w:t>
      </w:r>
      <w:r w:rsidR="004763A8" w:rsidRPr="007940AC">
        <w:rPr>
          <w:rFonts w:ascii="Cambria" w:hAnsi="Cambria"/>
          <w:color w:val="000000"/>
          <w:sz w:val="22"/>
          <w:szCs w:val="22"/>
          <w:lang w:val="sk-SK"/>
        </w:rPr>
        <w:t>j. denný inkrement neznamená prenos len snímok k času prenosu. Pre veľké objekty, obsahujúce transakcie, bude dohodnuté a dopredu schválené postupné spracovanie. Počet týchto objektov odhadujeme do 10</w:t>
      </w:r>
      <w:r w:rsidR="001F5FD2">
        <w:rPr>
          <w:rFonts w:ascii="Cambria" w:hAnsi="Cambria"/>
          <w:color w:val="000000"/>
          <w:sz w:val="22"/>
          <w:szCs w:val="22"/>
          <w:lang w:val="sk-SK"/>
        </w:rPr>
        <w:t xml:space="preserve"> </w:t>
      </w:r>
      <w:r w:rsidR="004763A8" w:rsidRPr="007940AC">
        <w:rPr>
          <w:rFonts w:ascii="Cambria" w:hAnsi="Cambria"/>
          <w:color w:val="000000"/>
          <w:sz w:val="22"/>
          <w:szCs w:val="22"/>
          <w:lang w:val="sk-SK"/>
        </w:rPr>
        <w:t>k</w:t>
      </w:r>
      <w:r w:rsidR="001F5FD2">
        <w:rPr>
          <w:rFonts w:ascii="Cambria" w:hAnsi="Cambria"/>
          <w:color w:val="000000"/>
          <w:sz w:val="22"/>
          <w:szCs w:val="22"/>
          <w:lang w:val="sk-SK"/>
        </w:rPr>
        <w:t>u</w:t>
      </w:r>
      <w:r w:rsidR="004763A8" w:rsidRPr="007940AC">
        <w:rPr>
          <w:rFonts w:ascii="Cambria" w:hAnsi="Cambria"/>
          <w:color w:val="000000"/>
          <w:sz w:val="22"/>
          <w:szCs w:val="22"/>
          <w:lang w:val="sk-SK"/>
        </w:rPr>
        <w:t>s</w:t>
      </w:r>
      <w:r w:rsidR="001F5FD2">
        <w:rPr>
          <w:rFonts w:ascii="Cambria" w:hAnsi="Cambria"/>
          <w:color w:val="000000"/>
          <w:sz w:val="22"/>
          <w:szCs w:val="22"/>
          <w:lang w:val="sk-SK"/>
        </w:rPr>
        <w:t>ov</w:t>
      </w:r>
      <w:r w:rsidR="004763A8" w:rsidRPr="007940AC">
        <w:rPr>
          <w:rFonts w:ascii="Cambria" w:hAnsi="Cambria"/>
          <w:color w:val="000000"/>
          <w:sz w:val="22"/>
          <w:szCs w:val="22"/>
          <w:lang w:val="sk-SK"/>
        </w:rPr>
        <w:t>. Vo všeobecnosti verejný obstarávateľ neplánuje rekonštrukciu statických, resp. pomaly sa meniacich dát. Je možné, že budú existovať výnimky – max</w:t>
      </w:r>
      <w:r w:rsidR="001F5FD2">
        <w:rPr>
          <w:rFonts w:ascii="Cambria" w:hAnsi="Cambria"/>
          <w:color w:val="000000"/>
          <w:sz w:val="22"/>
          <w:szCs w:val="22"/>
          <w:lang w:val="sk-SK"/>
        </w:rPr>
        <w:t>imálne</w:t>
      </w:r>
      <w:r w:rsidR="004763A8" w:rsidRPr="007940AC">
        <w:rPr>
          <w:rFonts w:ascii="Cambria" w:hAnsi="Cambria"/>
          <w:color w:val="000000"/>
          <w:sz w:val="22"/>
          <w:szCs w:val="22"/>
          <w:lang w:val="sk-SK"/>
        </w:rPr>
        <w:t xml:space="preserve"> do 5 objektov.</w:t>
      </w:r>
    </w:p>
    <w:p w14:paraId="2A153E02" w14:textId="77777777" w:rsidR="004763A8" w:rsidRDefault="004763A8" w:rsidP="0023624B">
      <w:pPr>
        <w:pStyle w:val="Footer"/>
        <w:tabs>
          <w:tab w:val="left" w:pos="567"/>
          <w:tab w:val="left" w:pos="3686"/>
          <w:tab w:val="center" w:pos="4678"/>
          <w:tab w:val="left" w:pos="7088"/>
          <w:tab w:val="left" w:pos="8222"/>
        </w:tabs>
        <w:jc w:val="both"/>
        <w:rPr>
          <w:rFonts w:ascii="Cambria" w:hAnsi="Cambria"/>
          <w:color w:val="000000"/>
          <w:lang w:val="sk-SK"/>
        </w:rPr>
      </w:pPr>
    </w:p>
    <w:p w14:paraId="43EFDC56" w14:textId="562D6EE6" w:rsidR="00A859B8" w:rsidRPr="00FF3C5B" w:rsidRDefault="00A859B8" w:rsidP="00A859B8">
      <w:pPr>
        <w:jc w:val="both"/>
        <w:rPr>
          <w:rFonts w:ascii="Cambria" w:hAnsi="Cambria"/>
          <w:b/>
          <w:sz w:val="22"/>
          <w:u w:val="single"/>
          <w:lang w:val="sk-SK"/>
        </w:rPr>
      </w:pPr>
      <w:r w:rsidRPr="00FF3C5B">
        <w:rPr>
          <w:rFonts w:ascii="Cambria" w:hAnsi="Cambria"/>
          <w:b/>
          <w:sz w:val="22"/>
          <w:u w:val="single"/>
          <w:lang w:val="sk-SK"/>
        </w:rPr>
        <w:t xml:space="preserve">Otázka č. </w:t>
      </w:r>
      <w:r w:rsidR="00D869C9" w:rsidRPr="00FF3C5B">
        <w:rPr>
          <w:rFonts w:ascii="Cambria" w:hAnsi="Cambria"/>
          <w:b/>
          <w:sz w:val="22"/>
          <w:u w:val="single"/>
          <w:lang w:val="sk-SK"/>
        </w:rPr>
        <w:t>10</w:t>
      </w:r>
    </w:p>
    <w:p w14:paraId="0A69805E"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K bodu 3.2.13 Nástroje na podporu prevádzky Opisu predmetu (príloha č. 1 SP)</w:t>
      </w:r>
    </w:p>
    <w:p w14:paraId="0C6E505F"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a) V bode 3.2.13 Nástroje na podporu prevádzky Opisu predmetu je uvedené, že RunTime časť by mala používať DBMS_SCHEDULER balíček DWH relačnej časti a to z dôvodu riešenia hraničných stavov počas pádu celej databázy transparentného nábehu. Ak je potrebné zabezpečiť obnovu, tento balíček zrejme musí byť použitý . Žiadame verejného obstarávateľa o vysvetlenie, resp. prosíme o klarifikáciu, či ide o nutnú alebo voliteľnú požiadavku.</w:t>
      </w:r>
    </w:p>
    <w:p w14:paraId="76603EC2" w14:textId="7F0E0527" w:rsidR="00A859B8" w:rsidRPr="002801CE" w:rsidRDefault="002801CE" w:rsidP="002801CE">
      <w:pPr>
        <w:jc w:val="both"/>
        <w:rPr>
          <w:rFonts w:ascii="Cambria" w:hAnsi="Cambria"/>
          <w:sz w:val="22"/>
          <w:szCs w:val="22"/>
          <w:lang w:val="sk-SK"/>
        </w:rPr>
      </w:pPr>
      <w:r w:rsidRPr="002801CE">
        <w:rPr>
          <w:rFonts w:ascii="Cambria" w:hAnsi="Cambria"/>
          <w:sz w:val="22"/>
          <w:szCs w:val="22"/>
          <w:lang w:val="sk-SK"/>
        </w:rPr>
        <w:t xml:space="preserve">b) V bode 3.2.13 Nástroje na podporu prevádzky Opisu predmetu chýba nástroj pre riadené nasadzovanie objektov riešenia. Má verejný obstarávateľ dostupné nástroje pre nasadzovanie </w:t>
      </w:r>
      <w:r w:rsidRPr="002801CE">
        <w:rPr>
          <w:rFonts w:ascii="Cambria" w:hAnsi="Cambria"/>
          <w:sz w:val="22"/>
          <w:szCs w:val="22"/>
          <w:lang w:val="sk-SK"/>
        </w:rPr>
        <w:lastRenderedPageBreak/>
        <w:t>DWH objektov na Oracle DB (tabuľky, procedúry, metadáta, atď.), BI / Reporting (naríklad Azure DevOps) a Data Lake? Ak nie majú byť takéto nástroje súčasťou dodávky (implementácia, konfigurácia)?</w:t>
      </w:r>
    </w:p>
    <w:p w14:paraId="39F02749" w14:textId="77777777" w:rsidR="00A859B8" w:rsidRDefault="00A859B8" w:rsidP="00A859B8">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307EA665" w14:textId="5B172873" w:rsidR="004763A8" w:rsidRPr="007940AC" w:rsidRDefault="004763A8" w:rsidP="007940AC">
      <w:pPr>
        <w:pStyle w:val="ListParagraph"/>
        <w:numPr>
          <w:ilvl w:val="0"/>
          <w:numId w:val="7"/>
        </w:numPr>
        <w:spacing w:after="0" w:line="240" w:lineRule="auto"/>
        <w:ind w:left="284" w:hanging="284"/>
        <w:contextualSpacing w:val="0"/>
        <w:jc w:val="both"/>
        <w:rPr>
          <w:rFonts w:ascii="Cambria" w:hAnsi="Cambria"/>
        </w:rPr>
      </w:pPr>
      <w:r w:rsidRPr="007940AC">
        <w:rPr>
          <w:rFonts w:ascii="Cambria" w:hAnsi="Cambria"/>
        </w:rPr>
        <w:t xml:space="preserve">Nutná požiadavka je aby bol systém preukázateľne rezistentný pred nečakaným pádom databázy z ľubovoľného dôvodu (hraničný stav systému ako celku). T.j. riadiaci framework musí presne vedieť, v ktorom bode ETL úlohy systém zlyhal, musí vedieť zabezpečiť správne a konzistentné zmazanie neúplných dát, správne a konzistentné nastavenie stavov ETL úloh. Systém musí vedieť sám pokračovať v bode kde prišlo k nežiadúcemu stavu celej infraštruktúry a relačnej databázy. Nie je žiadúce aby túto rekonštrukciu robil človek. Ak je možné túto požiadavku vyriešiť len zakomponovaním a použitím DBMS_SCHEDULER v rozsahu riadenia procesov a závislostí v RunTime frameworku, tak je to nutná podmienka. </w:t>
      </w:r>
    </w:p>
    <w:p w14:paraId="05C23DCC" w14:textId="7B4B4C2C" w:rsidR="004763A8" w:rsidRPr="004763A8" w:rsidRDefault="004763A8" w:rsidP="007940AC">
      <w:pPr>
        <w:pStyle w:val="ListParagraph"/>
        <w:numPr>
          <w:ilvl w:val="0"/>
          <w:numId w:val="7"/>
        </w:numPr>
        <w:spacing w:after="0" w:line="240" w:lineRule="auto"/>
        <w:ind w:left="284" w:hanging="284"/>
        <w:contextualSpacing w:val="0"/>
        <w:jc w:val="both"/>
        <w:rPr>
          <w:rFonts w:ascii="Cambria" w:hAnsi="Cambria"/>
        </w:rPr>
      </w:pPr>
      <w:r w:rsidRPr="004763A8">
        <w:rPr>
          <w:rFonts w:ascii="Cambria" w:hAnsi="Cambria"/>
        </w:rPr>
        <w:t xml:space="preserve">Vo všeobecnosti verejný obstarávateľ </w:t>
      </w:r>
      <w:r w:rsidR="00F008FE">
        <w:rPr>
          <w:rFonts w:ascii="Cambria" w:hAnsi="Cambria"/>
        </w:rPr>
        <w:t xml:space="preserve">nepožaduje </w:t>
      </w:r>
      <w:r w:rsidRPr="004763A8">
        <w:rPr>
          <w:rFonts w:ascii="Cambria" w:hAnsi="Cambria"/>
        </w:rPr>
        <w:t>implementovať špecializovaný „nástroj pre nasadzovanie“.</w:t>
      </w:r>
    </w:p>
    <w:p w14:paraId="07C96B11" w14:textId="77777777" w:rsidR="004763A8" w:rsidRPr="004763A8" w:rsidRDefault="004763A8" w:rsidP="004763A8">
      <w:pPr>
        <w:jc w:val="both"/>
        <w:rPr>
          <w:rFonts w:ascii="Cambria" w:hAnsi="Cambria"/>
          <w:sz w:val="22"/>
          <w:szCs w:val="22"/>
          <w:lang w:val="sk-SK"/>
        </w:rPr>
      </w:pPr>
      <w:r w:rsidRPr="004763A8">
        <w:rPr>
          <w:rFonts w:ascii="Cambria" w:hAnsi="Cambria"/>
          <w:sz w:val="22"/>
          <w:szCs w:val="22"/>
          <w:lang w:val="sk-SK"/>
        </w:rPr>
        <w:t xml:space="preserve"> Dôvody:</w:t>
      </w:r>
    </w:p>
    <w:p w14:paraId="551D283E" w14:textId="6AD6E5D1" w:rsidR="004763A8" w:rsidRPr="004763A8" w:rsidRDefault="004763A8" w:rsidP="004763A8">
      <w:pPr>
        <w:jc w:val="both"/>
        <w:rPr>
          <w:rFonts w:ascii="Cambria" w:hAnsi="Cambria"/>
          <w:sz w:val="22"/>
          <w:szCs w:val="22"/>
          <w:lang w:val="sk-SK"/>
        </w:rPr>
      </w:pPr>
      <w:r w:rsidRPr="004763A8">
        <w:rPr>
          <w:rFonts w:ascii="Cambria" w:hAnsi="Cambria"/>
          <w:sz w:val="22"/>
          <w:szCs w:val="22"/>
          <w:lang w:val="sk-SK"/>
        </w:rPr>
        <w:t>•</w:t>
      </w:r>
      <w:r w:rsidRPr="004763A8">
        <w:rPr>
          <w:rFonts w:ascii="Cambria" w:hAnsi="Cambria"/>
          <w:sz w:val="22"/>
          <w:szCs w:val="22"/>
          <w:lang w:val="sk-SK"/>
        </w:rPr>
        <w:tab/>
        <w:t xml:space="preserve">V oblasti Relačnej časti DWH pre ETL úlohy </w:t>
      </w:r>
      <w:r w:rsidR="00F008FE">
        <w:rPr>
          <w:rFonts w:ascii="Cambria" w:hAnsi="Cambria"/>
          <w:sz w:val="22"/>
          <w:szCs w:val="22"/>
          <w:lang w:val="sk-SK"/>
        </w:rPr>
        <w:t>verejný obstaráv</w:t>
      </w:r>
      <w:r w:rsidR="00531494">
        <w:rPr>
          <w:rFonts w:ascii="Cambria" w:hAnsi="Cambria"/>
          <w:sz w:val="22"/>
          <w:szCs w:val="22"/>
          <w:lang w:val="sk-SK"/>
        </w:rPr>
        <w:t>a</w:t>
      </w:r>
      <w:r w:rsidR="00F008FE">
        <w:rPr>
          <w:rFonts w:ascii="Cambria" w:hAnsi="Cambria"/>
          <w:sz w:val="22"/>
          <w:szCs w:val="22"/>
          <w:lang w:val="sk-SK"/>
        </w:rPr>
        <w:t>teľ</w:t>
      </w:r>
      <w:r w:rsidR="00F008FE" w:rsidRPr="004763A8">
        <w:rPr>
          <w:rFonts w:ascii="Cambria" w:hAnsi="Cambria"/>
          <w:sz w:val="22"/>
          <w:szCs w:val="22"/>
          <w:lang w:val="sk-SK"/>
        </w:rPr>
        <w:t xml:space="preserve"> </w:t>
      </w:r>
      <w:r w:rsidRPr="004763A8">
        <w:rPr>
          <w:rFonts w:ascii="Cambria" w:hAnsi="Cambria"/>
          <w:sz w:val="22"/>
          <w:szCs w:val="22"/>
          <w:lang w:val="sk-SK"/>
        </w:rPr>
        <w:t>predpokladá  štandardná funkcionalita aplikácie Oracle Data Integrator pre nasadzovanie do produkcie pre metadáta ETL.</w:t>
      </w:r>
    </w:p>
    <w:p w14:paraId="5A9DADC9" w14:textId="77777777" w:rsidR="004763A8" w:rsidRPr="004763A8" w:rsidRDefault="004763A8" w:rsidP="004763A8">
      <w:pPr>
        <w:jc w:val="both"/>
        <w:rPr>
          <w:rFonts w:ascii="Cambria" w:hAnsi="Cambria"/>
          <w:sz w:val="22"/>
          <w:szCs w:val="22"/>
          <w:lang w:val="sk-SK"/>
        </w:rPr>
      </w:pPr>
      <w:r w:rsidRPr="004763A8">
        <w:rPr>
          <w:rFonts w:ascii="Cambria" w:hAnsi="Cambria"/>
          <w:sz w:val="22"/>
          <w:szCs w:val="22"/>
          <w:lang w:val="sk-SK"/>
        </w:rPr>
        <w:t>•</w:t>
      </w:r>
      <w:r w:rsidRPr="004763A8">
        <w:rPr>
          <w:rFonts w:ascii="Cambria" w:hAnsi="Cambria"/>
          <w:sz w:val="22"/>
          <w:szCs w:val="22"/>
          <w:lang w:val="sk-SK"/>
        </w:rPr>
        <w:tab/>
        <w:t>Metadáta o závislostiach jednotlivých ETL úloh musí vedieť zabezpečiť Workflow manager sám v rámci svojej funkcionality.</w:t>
      </w:r>
    </w:p>
    <w:p w14:paraId="76308276" w14:textId="699D2357" w:rsidR="00A859B8" w:rsidRDefault="004763A8" w:rsidP="004763A8">
      <w:pPr>
        <w:jc w:val="both"/>
        <w:rPr>
          <w:rFonts w:ascii="Cambria" w:hAnsi="Cambria"/>
          <w:sz w:val="22"/>
          <w:szCs w:val="22"/>
          <w:lang w:val="sk-SK"/>
        </w:rPr>
      </w:pPr>
      <w:r w:rsidRPr="004763A8">
        <w:rPr>
          <w:rFonts w:ascii="Cambria" w:hAnsi="Cambria"/>
          <w:sz w:val="22"/>
          <w:szCs w:val="22"/>
          <w:lang w:val="sk-SK"/>
        </w:rPr>
        <w:t xml:space="preserve">Avšak pre oblasť BI riešenia </w:t>
      </w:r>
      <w:r w:rsidR="0056428C">
        <w:rPr>
          <w:rFonts w:ascii="Cambria" w:hAnsi="Cambria"/>
          <w:sz w:val="22"/>
          <w:szCs w:val="22"/>
          <w:lang w:val="sk-SK"/>
        </w:rPr>
        <w:t xml:space="preserve">verejný obstarávateľ požaduje </w:t>
      </w:r>
      <w:r w:rsidRPr="004763A8">
        <w:rPr>
          <w:rFonts w:ascii="Cambria" w:hAnsi="Cambria"/>
          <w:sz w:val="22"/>
          <w:szCs w:val="22"/>
          <w:lang w:val="sk-SK"/>
        </w:rPr>
        <w:t>navrhnúť</w:t>
      </w:r>
      <w:r w:rsidR="002A40E6">
        <w:rPr>
          <w:rFonts w:ascii="Cambria" w:hAnsi="Cambria"/>
          <w:sz w:val="22"/>
          <w:szCs w:val="22"/>
          <w:lang w:val="sk-SK"/>
        </w:rPr>
        <w:t xml:space="preserve"> </w:t>
      </w:r>
      <w:r w:rsidR="00531494">
        <w:rPr>
          <w:rFonts w:ascii="Cambria" w:hAnsi="Cambria"/>
          <w:sz w:val="22"/>
          <w:szCs w:val="22"/>
          <w:lang w:val="sk-SK"/>
        </w:rPr>
        <w:t>uvedený spôsob riešenia</w:t>
      </w:r>
      <w:r w:rsidRPr="004763A8">
        <w:rPr>
          <w:rFonts w:ascii="Cambria" w:hAnsi="Cambria"/>
          <w:sz w:val="22"/>
          <w:szCs w:val="22"/>
          <w:lang w:val="sk-SK"/>
        </w:rPr>
        <w:t xml:space="preserve">. Cenu za dodatočné licencie </w:t>
      </w:r>
      <w:r w:rsidR="0056428C">
        <w:rPr>
          <w:rFonts w:ascii="Cambria" w:hAnsi="Cambria"/>
          <w:sz w:val="22"/>
          <w:szCs w:val="22"/>
          <w:lang w:val="sk-SK"/>
        </w:rPr>
        <w:t xml:space="preserve">verejný obstarávateľ požadujeme </w:t>
      </w:r>
      <w:r w:rsidRPr="004763A8">
        <w:rPr>
          <w:rFonts w:ascii="Cambria" w:hAnsi="Cambria"/>
          <w:sz w:val="22"/>
          <w:szCs w:val="22"/>
          <w:lang w:val="sk-SK"/>
        </w:rPr>
        <w:t xml:space="preserve">uviesť  v cenovej tabuľke ponuky do ceny (C) a pre oblasť DataLake </w:t>
      </w:r>
      <w:r w:rsidR="0056428C">
        <w:rPr>
          <w:rFonts w:ascii="Cambria" w:hAnsi="Cambria"/>
          <w:sz w:val="22"/>
          <w:szCs w:val="22"/>
          <w:lang w:val="sk-SK"/>
        </w:rPr>
        <w:t xml:space="preserve">verejný obstarávateľ požaduje </w:t>
      </w:r>
      <w:r w:rsidRPr="004763A8">
        <w:rPr>
          <w:rFonts w:ascii="Cambria" w:hAnsi="Cambria"/>
          <w:sz w:val="22"/>
          <w:szCs w:val="22"/>
          <w:lang w:val="sk-SK"/>
        </w:rPr>
        <w:t xml:space="preserve">navrhnúť a ponúknuť nástroje, ktoré verejnému obstarávateľovi túto službu zabezpečia. Cenu za tieto licencie </w:t>
      </w:r>
      <w:r w:rsidR="0056428C">
        <w:rPr>
          <w:rFonts w:ascii="Cambria" w:hAnsi="Cambria"/>
          <w:sz w:val="22"/>
          <w:szCs w:val="22"/>
          <w:lang w:val="sk-SK"/>
        </w:rPr>
        <w:t xml:space="preserve">verejný obstarávateľ požaduje </w:t>
      </w:r>
      <w:r w:rsidRPr="004763A8">
        <w:rPr>
          <w:rFonts w:ascii="Cambria" w:hAnsi="Cambria"/>
          <w:sz w:val="22"/>
          <w:szCs w:val="22"/>
          <w:lang w:val="sk-SK"/>
        </w:rPr>
        <w:t>zahrnúť  v cenovej tabuľke ponuky do ceny (B) .</w:t>
      </w:r>
    </w:p>
    <w:p w14:paraId="753B3544" w14:textId="77777777" w:rsidR="004763A8" w:rsidRPr="004763A8" w:rsidRDefault="004763A8" w:rsidP="004763A8">
      <w:pPr>
        <w:jc w:val="both"/>
        <w:rPr>
          <w:rFonts w:ascii="Cambria" w:hAnsi="Cambria"/>
          <w:sz w:val="22"/>
          <w:szCs w:val="22"/>
          <w:lang w:val="sk-SK"/>
        </w:rPr>
      </w:pPr>
    </w:p>
    <w:p w14:paraId="30C29C2D" w14:textId="47FA1671" w:rsidR="00A859B8" w:rsidRPr="00FF3C5B" w:rsidRDefault="00A859B8" w:rsidP="00A859B8">
      <w:pPr>
        <w:jc w:val="both"/>
        <w:rPr>
          <w:rFonts w:ascii="Cambria" w:hAnsi="Cambria"/>
          <w:b/>
          <w:sz w:val="22"/>
          <w:u w:val="single"/>
          <w:lang w:val="sk-SK"/>
        </w:rPr>
      </w:pPr>
      <w:r w:rsidRPr="00FF3C5B">
        <w:rPr>
          <w:rFonts w:ascii="Cambria" w:hAnsi="Cambria"/>
          <w:b/>
          <w:sz w:val="22"/>
          <w:u w:val="single"/>
          <w:lang w:val="sk-SK"/>
        </w:rPr>
        <w:t>Otázka č. 1</w:t>
      </w:r>
      <w:r w:rsidR="00D869C9" w:rsidRPr="00FF3C5B">
        <w:rPr>
          <w:rFonts w:ascii="Cambria" w:hAnsi="Cambria"/>
          <w:b/>
          <w:sz w:val="22"/>
          <w:u w:val="single"/>
          <w:lang w:val="sk-SK"/>
        </w:rPr>
        <w:t>1</w:t>
      </w:r>
    </w:p>
    <w:p w14:paraId="133320F3"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K bodu 3.3.1 Zdrojové systémy Opisu predmetu (príloha č. 1 SP)</w:t>
      </w:r>
    </w:p>
    <w:p w14:paraId="2B83B331"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a) V tabuľke č. 17 – Zoznam hlavných zdrojových systémov sa nachádzajú zdrojové systémy „Ministerstvo financií SR“ a „ Sociálna poisťovňa“, ktoré sa nenachádzajú v prílohe A. Môže verejný obstarávateľ doplniť ich do prílohy?</w:t>
      </w:r>
    </w:p>
    <w:p w14:paraId="767E1904"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b) V tabuľke č. 17 je uvedený počet systémov - 38 , avšak v texte pod tabuľkou , je uvedený počet 36 systémov. Žiadame verejného obstarávateľa o vysvetlenie, ktorý počet systémov je správny? Môže verejný obstarávateľ počet systémov zjednotiť a upraviť SP ak, tak aby to bolo správne?</w:t>
      </w:r>
    </w:p>
    <w:p w14:paraId="5E92B3D3"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c) Systémy typu REGISTERS nemajú uvedené počty objektov a komplexitu. Môže verejný obstarávateľ doplniť počet objektov a komplexitu ?</w:t>
      </w:r>
    </w:p>
    <w:p w14:paraId="5DA76102" w14:textId="3244413D" w:rsidR="00A859B8" w:rsidRPr="002801CE" w:rsidRDefault="002801CE" w:rsidP="00A859B8">
      <w:pPr>
        <w:jc w:val="both"/>
        <w:rPr>
          <w:rFonts w:ascii="Cambria" w:hAnsi="Cambria"/>
          <w:sz w:val="22"/>
          <w:szCs w:val="22"/>
          <w:lang w:val="sk-SK"/>
        </w:rPr>
      </w:pPr>
      <w:r w:rsidRPr="002801CE">
        <w:rPr>
          <w:rFonts w:ascii="Cambria" w:hAnsi="Cambria"/>
          <w:sz w:val="22"/>
          <w:szCs w:val="22"/>
          <w:lang w:val="sk-SK"/>
        </w:rPr>
        <w:t>d) Budú systémy REGISTERS vstupovať do datamartov, ak áno tak do ktorých?</w:t>
      </w:r>
    </w:p>
    <w:p w14:paraId="70C3AAEF" w14:textId="77777777" w:rsidR="00A859B8" w:rsidRDefault="00A859B8" w:rsidP="00A859B8">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7D69D361" w14:textId="640D660E" w:rsidR="004763A8" w:rsidRPr="004763A8" w:rsidRDefault="002A40E6" w:rsidP="004763A8">
      <w:pPr>
        <w:jc w:val="both"/>
        <w:rPr>
          <w:rFonts w:ascii="Cambria" w:hAnsi="Cambria"/>
          <w:sz w:val="22"/>
          <w:szCs w:val="22"/>
          <w:lang w:val="sk-SK"/>
        </w:rPr>
      </w:pPr>
      <w:r>
        <w:rPr>
          <w:rFonts w:ascii="Cambria" w:hAnsi="Cambria"/>
          <w:sz w:val="22"/>
          <w:szCs w:val="22"/>
          <w:lang w:val="sk-SK"/>
        </w:rPr>
        <w:t>a)</w:t>
      </w:r>
      <w:r w:rsidR="004763A8" w:rsidRPr="004763A8">
        <w:rPr>
          <w:rFonts w:ascii="Cambria" w:hAnsi="Cambria"/>
          <w:sz w:val="22"/>
          <w:szCs w:val="22"/>
          <w:lang w:val="sk-SK"/>
        </w:rPr>
        <w:t xml:space="preserve"> Tieto </w:t>
      </w:r>
      <w:r>
        <w:rPr>
          <w:rFonts w:ascii="Cambria" w:hAnsi="Cambria"/>
          <w:sz w:val="22"/>
          <w:szCs w:val="22"/>
          <w:lang w:val="sk-SK"/>
        </w:rPr>
        <w:t xml:space="preserve">dva zdrojové </w:t>
      </w:r>
      <w:r w:rsidR="004763A8" w:rsidRPr="004763A8">
        <w:rPr>
          <w:rFonts w:ascii="Cambria" w:hAnsi="Cambria"/>
          <w:sz w:val="22"/>
          <w:szCs w:val="22"/>
          <w:lang w:val="sk-SK"/>
        </w:rPr>
        <w:t xml:space="preserve">systémy </w:t>
      </w:r>
      <w:r>
        <w:rPr>
          <w:rFonts w:ascii="Cambria" w:hAnsi="Cambria"/>
          <w:sz w:val="22"/>
          <w:szCs w:val="22"/>
          <w:lang w:val="sk-SK"/>
        </w:rPr>
        <w:t>(</w:t>
      </w:r>
      <w:r w:rsidRPr="002801CE">
        <w:rPr>
          <w:rFonts w:ascii="Cambria" w:hAnsi="Cambria"/>
          <w:sz w:val="22"/>
          <w:szCs w:val="22"/>
          <w:lang w:val="sk-SK"/>
        </w:rPr>
        <w:t>„Ministerstvo financií SR“ a „ Sociálna poisťovňa“</w:t>
      </w:r>
      <w:r>
        <w:rPr>
          <w:rFonts w:ascii="Cambria" w:hAnsi="Cambria"/>
          <w:sz w:val="22"/>
          <w:szCs w:val="22"/>
          <w:lang w:val="sk-SK"/>
        </w:rPr>
        <w:t xml:space="preserve">) </w:t>
      </w:r>
      <w:r w:rsidR="004763A8" w:rsidRPr="004763A8">
        <w:rPr>
          <w:rFonts w:ascii="Cambria" w:hAnsi="Cambria"/>
          <w:sz w:val="22"/>
          <w:szCs w:val="22"/>
          <w:lang w:val="sk-SK"/>
        </w:rPr>
        <w:t>sú požadovanou súčasťou rozsahu riešenia</w:t>
      </w:r>
      <w:r>
        <w:rPr>
          <w:rFonts w:ascii="Cambria" w:hAnsi="Cambria"/>
          <w:sz w:val="22"/>
          <w:szCs w:val="22"/>
          <w:lang w:val="sk-SK"/>
        </w:rPr>
        <w:t>.</w:t>
      </w:r>
      <w:r w:rsidR="000668F4">
        <w:rPr>
          <w:rFonts w:ascii="Cambria" w:hAnsi="Cambria"/>
          <w:sz w:val="22"/>
          <w:szCs w:val="22"/>
          <w:lang w:val="sk-SK"/>
        </w:rPr>
        <w:t xml:space="preserve"> Verejný obstarávateľ</w:t>
      </w:r>
      <w:r w:rsidR="005831B5">
        <w:rPr>
          <w:rFonts w:ascii="Cambria" w:hAnsi="Cambria"/>
          <w:sz w:val="22"/>
          <w:szCs w:val="22"/>
          <w:lang w:val="sk-SK"/>
        </w:rPr>
        <w:t xml:space="preserve"> </w:t>
      </w:r>
      <w:r w:rsidR="000668F4">
        <w:rPr>
          <w:rFonts w:ascii="Cambria" w:hAnsi="Cambria"/>
          <w:sz w:val="22"/>
          <w:szCs w:val="22"/>
          <w:lang w:val="sk-SK"/>
        </w:rPr>
        <w:t xml:space="preserve">týmto  upravuje </w:t>
      </w:r>
      <w:r w:rsidR="005831B5">
        <w:rPr>
          <w:rFonts w:ascii="Cambria" w:hAnsi="Cambria"/>
          <w:sz w:val="22"/>
          <w:szCs w:val="22"/>
          <w:lang w:val="sk-SK"/>
        </w:rPr>
        <w:t xml:space="preserve"> Prílohu A dokumentu Opisu predmetu zákazky podľa tabuľky č. 17 a opravu zverejní. </w:t>
      </w:r>
    </w:p>
    <w:p w14:paraId="5FDF3C6D" w14:textId="5BF6B7CA" w:rsidR="004763A8" w:rsidRPr="004763A8" w:rsidRDefault="004763A8" w:rsidP="004763A8">
      <w:pPr>
        <w:jc w:val="both"/>
        <w:rPr>
          <w:rFonts w:ascii="Cambria" w:hAnsi="Cambria"/>
          <w:sz w:val="22"/>
          <w:szCs w:val="22"/>
          <w:lang w:val="sk-SK"/>
        </w:rPr>
      </w:pPr>
      <w:r w:rsidRPr="004763A8">
        <w:rPr>
          <w:rFonts w:ascii="Cambria" w:hAnsi="Cambria"/>
          <w:sz w:val="22"/>
          <w:szCs w:val="22"/>
          <w:lang w:val="sk-SK"/>
        </w:rPr>
        <w:t>b</w:t>
      </w:r>
      <w:r w:rsidR="005831B5">
        <w:rPr>
          <w:rFonts w:ascii="Cambria" w:hAnsi="Cambria"/>
          <w:sz w:val="22"/>
          <w:szCs w:val="22"/>
          <w:lang w:val="sk-SK"/>
        </w:rPr>
        <w:t>)</w:t>
      </w:r>
      <w:r w:rsidRPr="004763A8">
        <w:rPr>
          <w:rFonts w:ascii="Cambria" w:hAnsi="Cambria"/>
          <w:sz w:val="22"/>
          <w:szCs w:val="22"/>
          <w:lang w:val="sk-SK"/>
        </w:rPr>
        <w:t xml:space="preserve"> 3</w:t>
      </w:r>
      <w:r w:rsidR="004553FE">
        <w:rPr>
          <w:rFonts w:ascii="Cambria" w:hAnsi="Cambria"/>
          <w:sz w:val="22"/>
          <w:szCs w:val="22"/>
          <w:lang w:val="sk-SK"/>
        </w:rPr>
        <w:t>8</w:t>
      </w:r>
      <w:r w:rsidRPr="004763A8">
        <w:rPr>
          <w:rFonts w:ascii="Cambria" w:hAnsi="Cambria"/>
          <w:sz w:val="22"/>
          <w:szCs w:val="22"/>
          <w:lang w:val="sk-SK"/>
        </w:rPr>
        <w:t xml:space="preserve"> je správny počet systémov. </w:t>
      </w:r>
      <w:r w:rsidR="005831B5">
        <w:rPr>
          <w:rFonts w:ascii="Cambria" w:hAnsi="Cambria"/>
          <w:sz w:val="22"/>
          <w:szCs w:val="22"/>
          <w:lang w:val="sk-SK"/>
        </w:rPr>
        <w:t xml:space="preserve">Verejný obstarávateľ </w:t>
      </w:r>
      <w:r w:rsidR="00D4408D">
        <w:rPr>
          <w:rFonts w:ascii="Cambria" w:hAnsi="Cambria"/>
          <w:sz w:val="22"/>
          <w:szCs w:val="22"/>
          <w:lang w:val="sk-SK"/>
        </w:rPr>
        <w:t xml:space="preserve">týmto upravuje </w:t>
      </w:r>
      <w:r w:rsidR="002A6E78">
        <w:rPr>
          <w:rFonts w:ascii="Cambria" w:hAnsi="Cambria"/>
          <w:sz w:val="22"/>
          <w:szCs w:val="22"/>
          <w:lang w:val="sk-SK"/>
        </w:rPr>
        <w:t>Prílohu A dokumentu Opisu predmetu zákazky podľa tabuľky č. 17</w:t>
      </w:r>
      <w:r w:rsidR="005831B5">
        <w:rPr>
          <w:rFonts w:ascii="Cambria" w:hAnsi="Cambria"/>
          <w:sz w:val="22"/>
          <w:szCs w:val="22"/>
          <w:lang w:val="sk-SK"/>
        </w:rPr>
        <w:t>. a opravu zverejní.</w:t>
      </w:r>
    </w:p>
    <w:p w14:paraId="121E1C1C" w14:textId="2DA46B65" w:rsidR="004763A8" w:rsidRPr="004763A8" w:rsidRDefault="004763A8" w:rsidP="004763A8">
      <w:pPr>
        <w:jc w:val="both"/>
        <w:rPr>
          <w:rFonts w:ascii="Cambria" w:hAnsi="Cambria"/>
          <w:sz w:val="22"/>
          <w:szCs w:val="22"/>
          <w:lang w:val="sk-SK"/>
        </w:rPr>
      </w:pPr>
      <w:r w:rsidRPr="004763A8">
        <w:rPr>
          <w:rFonts w:ascii="Cambria" w:hAnsi="Cambria"/>
          <w:sz w:val="22"/>
          <w:szCs w:val="22"/>
          <w:lang w:val="sk-SK"/>
        </w:rPr>
        <w:t>c</w:t>
      </w:r>
      <w:r w:rsidR="005831B5">
        <w:rPr>
          <w:rFonts w:ascii="Cambria" w:hAnsi="Cambria"/>
          <w:sz w:val="22"/>
          <w:szCs w:val="22"/>
          <w:lang w:val="sk-SK"/>
        </w:rPr>
        <w:t>)</w:t>
      </w:r>
      <w:r w:rsidRPr="004763A8">
        <w:rPr>
          <w:rFonts w:ascii="Cambria" w:hAnsi="Cambria"/>
          <w:sz w:val="22"/>
          <w:szCs w:val="22"/>
          <w:lang w:val="sk-SK"/>
        </w:rPr>
        <w:t xml:space="preserve"> V priemere je možné počítať, že systém typu REGISTERS má  4 objekty. Z pohľadu zdrojov ide o 13 systémov, t.</w:t>
      </w:r>
      <w:r w:rsidR="005831B5">
        <w:rPr>
          <w:rFonts w:ascii="Cambria" w:hAnsi="Cambria"/>
          <w:sz w:val="22"/>
          <w:szCs w:val="22"/>
          <w:lang w:val="sk-SK"/>
        </w:rPr>
        <w:t xml:space="preserve"> </w:t>
      </w:r>
      <w:r w:rsidRPr="004763A8">
        <w:rPr>
          <w:rFonts w:ascii="Cambria" w:hAnsi="Cambria"/>
          <w:sz w:val="22"/>
          <w:szCs w:val="22"/>
          <w:lang w:val="sk-SK"/>
        </w:rPr>
        <w:t xml:space="preserve">j. celkovo </w:t>
      </w:r>
      <w:r w:rsidR="00EB4A71">
        <w:rPr>
          <w:rFonts w:ascii="Cambria" w:hAnsi="Cambria"/>
          <w:sz w:val="22"/>
          <w:szCs w:val="22"/>
          <w:lang w:val="sk-SK"/>
        </w:rPr>
        <w:t>sa predpokladá</w:t>
      </w:r>
      <w:r w:rsidRPr="004763A8">
        <w:rPr>
          <w:rFonts w:ascii="Cambria" w:hAnsi="Cambria"/>
          <w:sz w:val="22"/>
          <w:szCs w:val="22"/>
          <w:lang w:val="sk-SK"/>
        </w:rPr>
        <w:t xml:space="preserve"> do 52 objektov.</w:t>
      </w:r>
    </w:p>
    <w:p w14:paraId="282910FA" w14:textId="27FED6C6" w:rsidR="004763A8" w:rsidRPr="004763A8" w:rsidRDefault="004763A8" w:rsidP="004763A8">
      <w:pPr>
        <w:jc w:val="both"/>
        <w:rPr>
          <w:rFonts w:ascii="Cambria" w:hAnsi="Cambria"/>
          <w:sz w:val="22"/>
          <w:szCs w:val="22"/>
          <w:lang w:val="sk-SK"/>
        </w:rPr>
      </w:pPr>
      <w:r w:rsidRPr="004763A8">
        <w:rPr>
          <w:rFonts w:ascii="Cambria" w:hAnsi="Cambria"/>
          <w:sz w:val="22"/>
          <w:szCs w:val="22"/>
          <w:lang w:val="sk-SK"/>
        </w:rPr>
        <w:t>d</w:t>
      </w:r>
      <w:r w:rsidR="005831B5">
        <w:rPr>
          <w:rFonts w:ascii="Cambria" w:hAnsi="Cambria"/>
          <w:sz w:val="22"/>
          <w:szCs w:val="22"/>
          <w:lang w:val="sk-SK"/>
        </w:rPr>
        <w:t>)</w:t>
      </w:r>
      <w:r w:rsidRPr="004763A8">
        <w:rPr>
          <w:rFonts w:ascii="Cambria" w:hAnsi="Cambria"/>
          <w:sz w:val="22"/>
          <w:szCs w:val="22"/>
          <w:lang w:val="sk-SK"/>
        </w:rPr>
        <w:t xml:space="preserve"> Takéto systémy vstup</w:t>
      </w:r>
      <w:r w:rsidR="00EB4A71">
        <w:rPr>
          <w:rFonts w:ascii="Cambria" w:hAnsi="Cambria"/>
          <w:sz w:val="22"/>
          <w:szCs w:val="22"/>
          <w:lang w:val="sk-SK"/>
        </w:rPr>
        <w:t>ujú</w:t>
      </w:r>
      <w:r w:rsidRPr="004763A8">
        <w:rPr>
          <w:rFonts w:ascii="Cambria" w:hAnsi="Cambria"/>
          <w:sz w:val="22"/>
          <w:szCs w:val="22"/>
          <w:lang w:val="sk-SK"/>
        </w:rPr>
        <w:t xml:space="preserve"> do datamartov, ale nie ako primárne dáta. Systémy typu REGISTERS nebudú tvoriť tzv. primárne dáta, ale dáta z týchto zdrojov rozširujú už existujúce dáta. Napr. Subjekty2.0 obsahujú primárne dáta o subjektoch (tvoria záznam v dimenzii subjekty) a dáta z štatistického úradu doplnia tieto dáta o ďalšie informácie, t.</w:t>
      </w:r>
      <w:r w:rsidR="00EE7FAA">
        <w:rPr>
          <w:rFonts w:ascii="Cambria" w:hAnsi="Cambria"/>
          <w:sz w:val="22"/>
          <w:szCs w:val="22"/>
          <w:lang w:val="sk-SK"/>
        </w:rPr>
        <w:t xml:space="preserve"> </w:t>
      </w:r>
      <w:r w:rsidRPr="004763A8">
        <w:rPr>
          <w:rFonts w:ascii="Cambria" w:hAnsi="Cambria"/>
          <w:sz w:val="22"/>
          <w:szCs w:val="22"/>
          <w:lang w:val="sk-SK"/>
        </w:rPr>
        <w:t>j. budú vypĺňať ďalšie informačné stĺpce, ktoré v db Subjekty2.0 nie sú. Či to spôsobí zvýšenie komplexity ETL je na riešení dodávateľa.</w:t>
      </w:r>
    </w:p>
    <w:p w14:paraId="5CFCFEB1" w14:textId="4A7D0024" w:rsidR="00A859B8" w:rsidRDefault="00A859B8" w:rsidP="00A859B8">
      <w:pPr>
        <w:jc w:val="both"/>
        <w:rPr>
          <w:rFonts w:ascii="Cambria" w:hAnsi="Cambria"/>
          <w:sz w:val="22"/>
          <w:szCs w:val="22"/>
          <w:lang w:val="sk-SK"/>
        </w:rPr>
      </w:pPr>
    </w:p>
    <w:p w14:paraId="13EA6991" w14:textId="6DDA2690" w:rsidR="00A859B8" w:rsidRPr="00D4408D" w:rsidRDefault="00A859B8" w:rsidP="00A859B8">
      <w:pPr>
        <w:jc w:val="both"/>
        <w:rPr>
          <w:rFonts w:ascii="Cambria" w:hAnsi="Cambria"/>
          <w:b/>
          <w:sz w:val="22"/>
          <w:u w:val="single"/>
          <w:lang w:val="sk-SK"/>
        </w:rPr>
      </w:pPr>
      <w:r w:rsidRPr="00D4408D">
        <w:rPr>
          <w:rFonts w:ascii="Cambria" w:hAnsi="Cambria"/>
          <w:b/>
          <w:sz w:val="22"/>
          <w:u w:val="single"/>
          <w:lang w:val="sk-SK"/>
        </w:rPr>
        <w:t>Otázka č. 1</w:t>
      </w:r>
      <w:r w:rsidR="00D869C9" w:rsidRPr="00D4408D">
        <w:rPr>
          <w:rFonts w:ascii="Cambria" w:hAnsi="Cambria"/>
          <w:b/>
          <w:sz w:val="22"/>
          <w:u w:val="single"/>
          <w:lang w:val="sk-SK"/>
        </w:rPr>
        <w:t>2</w:t>
      </w:r>
    </w:p>
    <w:p w14:paraId="551DDE47"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K bodu 3.3.2 Reportingová oblasť Opisu predmetu (príloha č. 1 SP)</w:t>
      </w:r>
    </w:p>
    <w:p w14:paraId="75E53F6D"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lastRenderedPageBreak/>
        <w:t>a) Datamart Macrodrop_1 je požadované vytvoriť vo fáze 3, ale jeho zdrojom je aj systém ECB SDW integrovaný vo fáze 4. Môže verejný obstarávateľ vysvetliť, z akého dôvodu požaduje vytvoriť Datamart Macrodrop_1 vo fáze č.3 , keď to reálne nie je možné a upraviť SP tak, že posunie vytvorenie Datamart Macrodrop_1 do fázy 4 ?</w:t>
      </w:r>
    </w:p>
    <w:p w14:paraId="76BF3F8A"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b) V prílohe B – Datamarty NBS DWH - sú dve záložky s datamartami. Ktorá zo záložiek je záväzná?</w:t>
      </w:r>
    </w:p>
    <w:p w14:paraId="21F59695"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c) V časti Datamartov chýbajú počty objektov a metrík. Je možné to doplniť?</w:t>
      </w:r>
    </w:p>
    <w:p w14:paraId="659E98EF"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d) Zároveň záujemca uvádza, že všeobecne datamarty sa majú vytvárať v rovnakej fáze ako sa integrujú ich zdroje. Neuvažuje verejný obstarávateľ ich posunúť do nasledujúcej fázy, bolo by to vhodnejšie riešenie.</w:t>
      </w:r>
    </w:p>
    <w:p w14:paraId="105DFB9E"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e) Koľko z požadovaných reportov je existujúcich a v rámci projektu sa budú preklápať nad centrálne DWH a koľko z nich je úplne nových?</w:t>
      </w:r>
    </w:p>
    <w:p w14:paraId="008A9A5E"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f) Predpokladáme, že obsah BL vrstvy (aké mostíky, hierarchie je potrebné vytvoriť) by mal vyplynúť primárne z požiadaviek na reporty/extrakty. Vie verejný obstarávateľ kvantifikovať približne</w:t>
      </w:r>
    </w:p>
    <w:p w14:paraId="6050C3F1"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počet objektov BL vrstvy? Alebo je potrebné počítať, že napríklad pre 20% dimenzií z Datamartov bude existovať nejaký mostík/hierarchia v BL vrstve?</w:t>
      </w:r>
    </w:p>
    <w:p w14:paraId="0B910C4C" w14:textId="7CA4F2D3" w:rsidR="00A859B8" w:rsidRPr="002801CE" w:rsidRDefault="002801CE" w:rsidP="00A859B8">
      <w:pPr>
        <w:jc w:val="both"/>
        <w:rPr>
          <w:rFonts w:ascii="Cambria" w:hAnsi="Cambria"/>
          <w:sz w:val="22"/>
          <w:szCs w:val="22"/>
          <w:lang w:val="sk-SK"/>
        </w:rPr>
      </w:pPr>
      <w:r w:rsidRPr="002801CE">
        <w:rPr>
          <w:rFonts w:ascii="Cambria" w:hAnsi="Cambria"/>
          <w:sz w:val="22"/>
          <w:szCs w:val="22"/>
          <w:lang w:val="sk-SK"/>
        </w:rPr>
        <w:t>g) Vo viacerých bodoch je spomínaný nástroj Qlik, je potrebné aby dodávateľ nástroj istou formou spravoval, alebo iba aby sa verejný obstarávateľ vedel sa napojiť na Datamarty?</w:t>
      </w:r>
    </w:p>
    <w:p w14:paraId="24F9AB41" w14:textId="3E271228" w:rsidR="00A859B8" w:rsidRDefault="00A859B8" w:rsidP="00A859B8">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3EF7F230" w14:textId="54C3F39C"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a</w:t>
      </w:r>
      <w:r w:rsidR="00EE7FAA">
        <w:rPr>
          <w:rFonts w:ascii="Cambria" w:hAnsi="Cambria"/>
          <w:bCs/>
          <w:sz w:val="22"/>
          <w:szCs w:val="22"/>
          <w:lang w:val="sk-SK"/>
        </w:rPr>
        <w:t>)</w:t>
      </w:r>
      <w:r w:rsidRPr="00FE62D6">
        <w:rPr>
          <w:rFonts w:ascii="Cambria" w:hAnsi="Cambria"/>
          <w:bCs/>
          <w:sz w:val="22"/>
          <w:szCs w:val="22"/>
          <w:lang w:val="sk-SK"/>
        </w:rPr>
        <w:t xml:space="preserve"> Keďže systém ECB SDW nie je jediným zdrojom pre Datamart  Macrodrop, vo fáze 3 budú pripravené také podklady k vytvoreniu daného datamartu, ktoré budú v čase realizácie tejto fázy relevantné. A vo fáze 4 sa dokončia ďalšie KPI.</w:t>
      </w:r>
    </w:p>
    <w:p w14:paraId="4912E53E" w14:textId="3BAD2BD2"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b</w:t>
      </w:r>
      <w:r w:rsidR="00EE7FAA">
        <w:rPr>
          <w:rFonts w:ascii="Cambria" w:hAnsi="Cambria"/>
          <w:bCs/>
          <w:sz w:val="22"/>
          <w:szCs w:val="22"/>
          <w:lang w:val="sk-SK"/>
        </w:rPr>
        <w:t>)</w:t>
      </w:r>
      <w:r w:rsidRPr="00FE62D6">
        <w:rPr>
          <w:rFonts w:ascii="Cambria" w:hAnsi="Cambria"/>
          <w:bCs/>
          <w:sz w:val="22"/>
          <w:szCs w:val="22"/>
          <w:lang w:val="sk-SK"/>
        </w:rPr>
        <w:t xml:space="preserve"> V záložke “req_fin” je uvedená konsolidovaná požiadavka na datamart. Záložka “requirements”  má doplňujúci charakter a slúžila ako podklad pre vyhotovenie záložky “req_fin”.</w:t>
      </w:r>
    </w:p>
    <w:p w14:paraId="74F15223" w14:textId="66FA2FEE"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c</w:t>
      </w:r>
      <w:r w:rsidR="00EE7FAA">
        <w:rPr>
          <w:rFonts w:ascii="Cambria" w:hAnsi="Cambria"/>
          <w:bCs/>
          <w:sz w:val="22"/>
          <w:szCs w:val="22"/>
          <w:lang w:val="sk-SK"/>
        </w:rPr>
        <w:t>)</w:t>
      </w:r>
      <w:r w:rsidRPr="00FE62D6">
        <w:rPr>
          <w:rFonts w:ascii="Cambria" w:hAnsi="Cambria"/>
          <w:bCs/>
          <w:sz w:val="22"/>
          <w:szCs w:val="22"/>
          <w:lang w:val="sk-SK"/>
        </w:rPr>
        <w:t xml:space="preserve"> Odhad počtu dimenzionálnych a faktových tabuliek nie je dostupný pri datamartoch ESMA, MACROP_1, MACROP_3, ASDR z dôvodu, že NBS nevie posúdiť komplexitu dátového modelu, ktorý bude výsledkom dodávateľskej analýzy. Rámcovo možno uvedené odhadnúť len rozsahom vstupných systémov, ktoré sú uvedené v stĺpci G záložky “req_fin” a príbuznosti k iným datamartom nasledovne: do 40 dimenzionálnych tabuliek, do 15 faktových tabuliek, do 300 atribútov.</w:t>
      </w:r>
    </w:p>
    <w:p w14:paraId="68E90804" w14:textId="2ED94DBD"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d</w:t>
      </w:r>
      <w:r w:rsidR="00EE7FAA">
        <w:rPr>
          <w:rFonts w:ascii="Cambria" w:hAnsi="Cambria"/>
          <w:bCs/>
          <w:sz w:val="22"/>
          <w:szCs w:val="22"/>
          <w:lang w:val="sk-SK"/>
        </w:rPr>
        <w:t>)</w:t>
      </w:r>
      <w:r w:rsidRPr="00FE62D6">
        <w:rPr>
          <w:rFonts w:ascii="Cambria" w:hAnsi="Cambria"/>
          <w:bCs/>
          <w:sz w:val="22"/>
          <w:szCs w:val="22"/>
          <w:lang w:val="sk-SK"/>
        </w:rPr>
        <w:t xml:space="preserve"> </w:t>
      </w:r>
      <w:r w:rsidR="002A6E78" w:rsidRPr="002A6E78">
        <w:rPr>
          <w:rFonts w:ascii="Cambria" w:hAnsi="Cambria"/>
          <w:bCs/>
          <w:sz w:val="22"/>
          <w:szCs w:val="22"/>
          <w:lang w:val="sk-SK"/>
        </w:rPr>
        <w:t>Verejný obstarávateľ nemení zadanie, trvá na pôvodnom znení.</w:t>
      </w:r>
      <w:r w:rsidR="002A6E78">
        <w:rPr>
          <w:rFonts w:ascii="Cambria" w:hAnsi="Cambria"/>
          <w:bCs/>
          <w:sz w:val="22"/>
          <w:szCs w:val="22"/>
          <w:lang w:val="sk-SK"/>
        </w:rPr>
        <w:t xml:space="preserve"> </w:t>
      </w:r>
      <w:r w:rsidRPr="00FE62D6">
        <w:rPr>
          <w:rFonts w:ascii="Cambria" w:hAnsi="Cambria"/>
          <w:bCs/>
          <w:sz w:val="22"/>
          <w:szCs w:val="22"/>
          <w:lang w:val="sk-SK"/>
        </w:rPr>
        <w:t>Projektové fázy sú dostatočne dlhé aby bolo možné vytvoriť všeobecne datamarty v rovnakej fáze ako sa integrujú ich zdroje.</w:t>
      </w:r>
      <w:r w:rsidR="002A6E78">
        <w:rPr>
          <w:rFonts w:ascii="Cambria" w:hAnsi="Cambria"/>
          <w:bCs/>
          <w:sz w:val="22"/>
          <w:szCs w:val="22"/>
          <w:lang w:val="sk-SK"/>
        </w:rPr>
        <w:t xml:space="preserve"> </w:t>
      </w:r>
    </w:p>
    <w:p w14:paraId="4EE572AB" w14:textId="3C10CFB9"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e</w:t>
      </w:r>
      <w:r w:rsidR="00EE7FAA">
        <w:rPr>
          <w:rFonts w:ascii="Cambria" w:hAnsi="Cambria"/>
          <w:bCs/>
          <w:sz w:val="22"/>
          <w:szCs w:val="22"/>
          <w:lang w:val="sk-SK"/>
        </w:rPr>
        <w:t>)</w:t>
      </w:r>
      <w:r w:rsidRPr="00FE62D6">
        <w:rPr>
          <w:rFonts w:ascii="Cambria" w:hAnsi="Cambria"/>
          <w:bCs/>
          <w:sz w:val="22"/>
          <w:szCs w:val="22"/>
          <w:lang w:val="sk-SK"/>
        </w:rPr>
        <w:t xml:space="preserve"> Žiadny z reportov uvedených v stĺpci M záložky “req_fin” nie je existujúci. Všetky reporty sú z pohľadu verejného obstarávateľa nové a majú slúžiť na ukážku správnej funkcionality každého datamartu.</w:t>
      </w:r>
    </w:p>
    <w:p w14:paraId="536CF591" w14:textId="65CF419D"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f</w:t>
      </w:r>
      <w:r w:rsidR="00EE7FAA">
        <w:rPr>
          <w:rFonts w:ascii="Cambria" w:hAnsi="Cambria"/>
          <w:bCs/>
          <w:sz w:val="22"/>
          <w:szCs w:val="22"/>
          <w:lang w:val="sk-SK"/>
        </w:rPr>
        <w:t>)</w:t>
      </w:r>
      <w:r w:rsidRPr="00FE62D6">
        <w:rPr>
          <w:rFonts w:ascii="Cambria" w:hAnsi="Cambria"/>
          <w:bCs/>
          <w:sz w:val="22"/>
          <w:szCs w:val="22"/>
          <w:lang w:val="sk-SK"/>
        </w:rPr>
        <w:t xml:space="preserve"> Verejný obstarávateľ predpokladá, že v PL vrstve vznikne 20 mostíkov pre definovanie tzv.  „business rules“. </w:t>
      </w:r>
    </w:p>
    <w:p w14:paraId="7BF06DFB" w14:textId="50E71357"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g</w:t>
      </w:r>
      <w:r w:rsidR="00D54CDB">
        <w:rPr>
          <w:rFonts w:ascii="Cambria" w:hAnsi="Cambria"/>
          <w:bCs/>
          <w:sz w:val="22"/>
          <w:szCs w:val="22"/>
          <w:lang w:val="sk-SK"/>
        </w:rPr>
        <w:t>)</w:t>
      </w:r>
      <w:r w:rsidRPr="00FE62D6">
        <w:rPr>
          <w:rFonts w:ascii="Cambria" w:hAnsi="Cambria"/>
          <w:bCs/>
          <w:sz w:val="22"/>
          <w:szCs w:val="22"/>
          <w:lang w:val="sk-SK"/>
        </w:rPr>
        <w:t xml:space="preserve"> Nutnou </w:t>
      </w:r>
      <w:r w:rsidR="00D54CDB">
        <w:rPr>
          <w:rFonts w:ascii="Cambria" w:hAnsi="Cambria"/>
          <w:bCs/>
          <w:sz w:val="22"/>
          <w:szCs w:val="22"/>
          <w:lang w:val="sk-SK"/>
        </w:rPr>
        <w:t xml:space="preserve">a verejným obstarávateľom požadovanou </w:t>
      </w:r>
      <w:r w:rsidRPr="00FE62D6">
        <w:rPr>
          <w:rFonts w:ascii="Cambria" w:hAnsi="Cambria"/>
          <w:bCs/>
          <w:sz w:val="22"/>
          <w:szCs w:val="22"/>
          <w:lang w:val="sk-SK"/>
        </w:rPr>
        <w:t>podmienkou riešenia je, aby sa systém Qlik vedel napojiť na prezentačnú vrstvu DWH.</w:t>
      </w:r>
    </w:p>
    <w:p w14:paraId="232A197D" w14:textId="77777777" w:rsidR="00A859B8" w:rsidRPr="00E7562E" w:rsidRDefault="00A859B8" w:rsidP="00A859B8">
      <w:pPr>
        <w:jc w:val="both"/>
        <w:rPr>
          <w:rFonts w:ascii="Cambria" w:hAnsi="Cambria"/>
          <w:b/>
          <w:bCs/>
          <w:sz w:val="22"/>
          <w:szCs w:val="22"/>
          <w:lang w:val="sk-SK"/>
        </w:rPr>
      </w:pPr>
    </w:p>
    <w:p w14:paraId="52D85387" w14:textId="3CF6420E" w:rsidR="00A859B8" w:rsidRPr="00FF3C5B" w:rsidRDefault="00A859B8" w:rsidP="00A859B8">
      <w:pPr>
        <w:jc w:val="both"/>
        <w:rPr>
          <w:rFonts w:ascii="Cambria" w:hAnsi="Cambria"/>
          <w:b/>
          <w:sz w:val="22"/>
          <w:u w:val="single"/>
          <w:lang w:val="sk-SK"/>
        </w:rPr>
      </w:pPr>
      <w:r w:rsidRPr="00FF3C5B">
        <w:rPr>
          <w:rFonts w:ascii="Cambria" w:hAnsi="Cambria"/>
          <w:b/>
          <w:sz w:val="22"/>
          <w:u w:val="single"/>
          <w:lang w:val="sk-SK"/>
        </w:rPr>
        <w:t>Otázka č. 1</w:t>
      </w:r>
      <w:r w:rsidR="00D869C9" w:rsidRPr="00FF3C5B">
        <w:rPr>
          <w:rFonts w:ascii="Cambria" w:hAnsi="Cambria"/>
          <w:b/>
          <w:sz w:val="22"/>
          <w:u w:val="single"/>
          <w:lang w:val="sk-SK"/>
        </w:rPr>
        <w:t>3</w:t>
      </w:r>
    </w:p>
    <w:p w14:paraId="5639DEF2"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K bodu 3.3.3 Výstupné dátové oblasti Opisu predmetu (príloha č. 1 SP)</w:t>
      </w:r>
    </w:p>
    <w:p w14:paraId="052AE014"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a) V ktorej fáze projektu sa budú vytvárať OUT interface?</w:t>
      </w:r>
    </w:p>
    <w:p w14:paraId="58E323E6"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b) Tabuľka 20 – Zoznam štatistických domén – aké činnosti má verejný obstarávateľ na mysli na zvýšenie úrovne automatizácie?</w:t>
      </w:r>
    </w:p>
    <w:p w14:paraId="37F00C45" w14:textId="1BB34305" w:rsidR="00A859B8" w:rsidRPr="002801CE" w:rsidRDefault="002801CE" w:rsidP="00A859B8">
      <w:pPr>
        <w:jc w:val="both"/>
        <w:rPr>
          <w:rFonts w:ascii="Cambria" w:hAnsi="Cambria"/>
          <w:sz w:val="22"/>
          <w:szCs w:val="22"/>
          <w:lang w:val="sk-SK"/>
        </w:rPr>
      </w:pPr>
      <w:r w:rsidRPr="002801CE">
        <w:rPr>
          <w:rFonts w:ascii="Cambria" w:hAnsi="Cambria"/>
          <w:sz w:val="22"/>
          <w:szCs w:val="22"/>
          <w:lang w:val="sk-SK"/>
        </w:rPr>
        <w:t>c) Tabuľka 21 - Zoznam výstupov – definuje extrakty kompletný zoznam výstupov na úrovni výstupných systémov, ktoré sa majú dodať? Je možné kvantifikovať približný počet extraktov pre jednotlivé systémy?</w:t>
      </w:r>
    </w:p>
    <w:p w14:paraId="05B2047E" w14:textId="71285B71" w:rsidR="00A859B8" w:rsidRDefault="00A859B8" w:rsidP="00A859B8">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52A9CA19" w14:textId="5C8E4CC4"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a</w:t>
      </w:r>
      <w:r w:rsidR="00D54CDB">
        <w:rPr>
          <w:rFonts w:ascii="Cambria" w:hAnsi="Cambria"/>
          <w:bCs/>
          <w:sz w:val="22"/>
          <w:szCs w:val="22"/>
          <w:lang w:val="sk-SK"/>
        </w:rPr>
        <w:t>)</w:t>
      </w:r>
      <w:r w:rsidRPr="00FE62D6">
        <w:rPr>
          <w:rFonts w:ascii="Cambria" w:hAnsi="Cambria"/>
          <w:bCs/>
          <w:sz w:val="22"/>
          <w:szCs w:val="22"/>
          <w:lang w:val="sk-SK"/>
        </w:rPr>
        <w:t xml:space="preserve"> Objekty OUT vrstvy sú naplánované implementovať podľa  tabuľky číslo 25 v kapitole 3.4.4.</w:t>
      </w:r>
      <w:r w:rsidR="002A6E78">
        <w:rPr>
          <w:rFonts w:ascii="Cambria" w:hAnsi="Cambria"/>
          <w:bCs/>
          <w:sz w:val="22"/>
          <w:szCs w:val="22"/>
          <w:lang w:val="sk-SK"/>
        </w:rPr>
        <w:t xml:space="preserve"> Opisu predmetu zákazky </w:t>
      </w:r>
      <w:r w:rsidRPr="00FE62D6">
        <w:rPr>
          <w:rFonts w:ascii="Cambria" w:hAnsi="Cambria"/>
          <w:bCs/>
          <w:sz w:val="22"/>
          <w:szCs w:val="22"/>
          <w:lang w:val="sk-SK"/>
        </w:rPr>
        <w:t xml:space="preserve"> vo fáze 2 a 3 podľa dokončenej pripravenosti dát v DWH.</w:t>
      </w:r>
    </w:p>
    <w:p w14:paraId="56BB1452" w14:textId="61A7DDDE"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b</w:t>
      </w:r>
      <w:r w:rsidR="00D54CDB">
        <w:rPr>
          <w:rFonts w:ascii="Cambria" w:hAnsi="Cambria"/>
          <w:bCs/>
          <w:sz w:val="22"/>
          <w:szCs w:val="22"/>
          <w:lang w:val="sk-SK"/>
        </w:rPr>
        <w:t>)</w:t>
      </w:r>
      <w:r w:rsidRPr="00FE62D6">
        <w:rPr>
          <w:rFonts w:ascii="Cambria" w:hAnsi="Cambria"/>
          <w:bCs/>
          <w:sz w:val="22"/>
          <w:szCs w:val="22"/>
          <w:lang w:val="sk-SK"/>
        </w:rPr>
        <w:t xml:space="preserve"> Ide o spôsoby spracovania dát v DWH uvedené v tabuľke 20, konkrétne: príprava dátových zdrojov, transformácia dát, tvorba OUT, nastavenie DQ. V doménach, kde sú konkrétne činnosti požadované je uvedené “X”.</w:t>
      </w:r>
    </w:p>
    <w:p w14:paraId="344904C6" w14:textId="62E25BC8" w:rsidR="00FE62D6" w:rsidRPr="00FE62D6" w:rsidRDefault="00D54CDB" w:rsidP="00FE62D6">
      <w:pPr>
        <w:jc w:val="both"/>
        <w:rPr>
          <w:rFonts w:ascii="Cambria" w:hAnsi="Cambria"/>
          <w:bCs/>
          <w:sz w:val="22"/>
          <w:szCs w:val="22"/>
          <w:lang w:val="sk-SK"/>
        </w:rPr>
      </w:pPr>
      <w:r>
        <w:rPr>
          <w:rFonts w:ascii="Cambria" w:hAnsi="Cambria"/>
          <w:bCs/>
          <w:sz w:val="22"/>
          <w:szCs w:val="22"/>
          <w:lang w:val="sk-SK"/>
        </w:rPr>
        <w:lastRenderedPageBreak/>
        <w:t>c)</w:t>
      </w:r>
      <w:r w:rsidR="00FE62D6" w:rsidRPr="00FE62D6">
        <w:rPr>
          <w:rFonts w:ascii="Cambria" w:hAnsi="Cambria"/>
          <w:bCs/>
          <w:sz w:val="22"/>
          <w:szCs w:val="22"/>
          <w:lang w:val="sk-SK"/>
        </w:rPr>
        <w:t xml:space="preserve"> Tabuľka </w:t>
      </w:r>
      <w:r>
        <w:rPr>
          <w:rFonts w:ascii="Cambria" w:hAnsi="Cambria"/>
          <w:bCs/>
          <w:sz w:val="22"/>
          <w:szCs w:val="22"/>
          <w:lang w:val="sk-SK"/>
        </w:rPr>
        <w:t xml:space="preserve">21 </w:t>
      </w:r>
      <w:r w:rsidR="00FE62D6" w:rsidRPr="00FE62D6">
        <w:rPr>
          <w:rFonts w:ascii="Cambria" w:hAnsi="Cambria"/>
          <w:bCs/>
          <w:sz w:val="22"/>
          <w:szCs w:val="22"/>
          <w:lang w:val="sk-SK"/>
        </w:rPr>
        <w:t>obsahuje zoznam výstupov, ktoré verejný obstarávateľ požaduje dodať počas projektu. Jeden výstup zodpovedá jednému výstupnému súboru.</w:t>
      </w:r>
    </w:p>
    <w:p w14:paraId="7970D036" w14:textId="77777777" w:rsidR="00A859B8" w:rsidRPr="00FE62D6" w:rsidRDefault="00A859B8" w:rsidP="00A859B8">
      <w:pPr>
        <w:jc w:val="both"/>
        <w:rPr>
          <w:rFonts w:ascii="Cambria" w:hAnsi="Cambria"/>
          <w:sz w:val="22"/>
          <w:szCs w:val="22"/>
          <w:lang w:val="sk-SK"/>
        </w:rPr>
      </w:pPr>
    </w:p>
    <w:p w14:paraId="3D8D4F4F" w14:textId="109EAFDA" w:rsidR="00FE62D6" w:rsidRPr="00FF3C5B" w:rsidRDefault="00A859B8" w:rsidP="00A859B8">
      <w:pPr>
        <w:jc w:val="both"/>
        <w:rPr>
          <w:rFonts w:ascii="Cambria" w:hAnsi="Cambria"/>
          <w:b/>
          <w:sz w:val="22"/>
          <w:u w:val="single"/>
          <w:lang w:val="sk-SK"/>
        </w:rPr>
      </w:pPr>
      <w:r w:rsidRPr="00FF3C5B">
        <w:rPr>
          <w:rFonts w:ascii="Cambria" w:hAnsi="Cambria"/>
          <w:b/>
          <w:sz w:val="22"/>
          <w:u w:val="single"/>
          <w:lang w:val="sk-SK"/>
        </w:rPr>
        <w:t>Otázka č. 1</w:t>
      </w:r>
      <w:r w:rsidR="00D869C9" w:rsidRPr="00FF3C5B">
        <w:rPr>
          <w:rFonts w:ascii="Cambria" w:hAnsi="Cambria"/>
          <w:b/>
          <w:sz w:val="22"/>
          <w:u w:val="single"/>
          <w:lang w:val="sk-SK"/>
        </w:rPr>
        <w:t>4</w:t>
      </w:r>
    </w:p>
    <w:p w14:paraId="5BD203CB"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K bodu 3.3.4 Funkčné požiadavky Opisu predmetu (príloha č. 1 SP)</w:t>
      </w:r>
    </w:p>
    <w:p w14:paraId="08696249" w14:textId="22E87B88" w:rsidR="00A859B8" w:rsidRPr="002801CE" w:rsidRDefault="002801CE" w:rsidP="002801CE">
      <w:pPr>
        <w:jc w:val="both"/>
        <w:rPr>
          <w:rFonts w:ascii="Cambria" w:hAnsi="Cambria"/>
          <w:sz w:val="22"/>
          <w:szCs w:val="22"/>
          <w:lang w:val="sk-SK"/>
        </w:rPr>
      </w:pPr>
      <w:r w:rsidRPr="002801CE">
        <w:rPr>
          <w:rFonts w:ascii="Cambria" w:hAnsi="Cambria"/>
          <w:sz w:val="22"/>
          <w:szCs w:val="22"/>
          <w:lang w:val="sk-SK"/>
        </w:rPr>
        <w:t>V ktorej fáze projektu sa požaduje verejný obstarávateľ implementovať „konsolidačné mechanizmy pre oblasti“ – Subjekty, Cenné papiere, Adresy Slovenskej republiky?</w:t>
      </w:r>
    </w:p>
    <w:p w14:paraId="4F735328" w14:textId="00BDF4F9" w:rsidR="00A859B8" w:rsidRDefault="00A859B8" w:rsidP="00A859B8">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13FEBDE7" w14:textId="16AAD687" w:rsidR="00DF572E" w:rsidRDefault="00DF572E" w:rsidP="00A859B8">
      <w:pPr>
        <w:jc w:val="both"/>
        <w:rPr>
          <w:rFonts w:ascii="Cambria" w:hAnsi="Cambria"/>
          <w:bCs/>
          <w:sz w:val="22"/>
          <w:szCs w:val="22"/>
          <w:lang w:val="sk-SK"/>
        </w:rPr>
      </w:pPr>
      <w:r w:rsidRPr="00E45899">
        <w:rPr>
          <w:rFonts w:ascii="Cambria" w:hAnsi="Cambria"/>
          <w:bCs/>
          <w:sz w:val="22"/>
          <w:szCs w:val="22"/>
          <w:lang w:val="sk-SK"/>
        </w:rPr>
        <w:t>Týmto upravujeme</w:t>
      </w:r>
      <w:r w:rsidRPr="003267B1">
        <w:rPr>
          <w:rFonts w:ascii="Cambria" w:hAnsi="Cambria"/>
          <w:bCs/>
          <w:sz w:val="22"/>
          <w:szCs w:val="22"/>
          <w:lang w:val="sk-SK"/>
        </w:rPr>
        <w:t xml:space="preserve"> tabuľku  č. 25 v dokumente Opisu predmetu zákazky nasledovne: </w:t>
      </w:r>
    </w:p>
    <w:p w14:paraId="15322EC0" w14:textId="77777777" w:rsidR="0045195C" w:rsidRDefault="0045195C" w:rsidP="00A859B8">
      <w:pPr>
        <w:jc w:val="both"/>
        <w:rPr>
          <w:rFonts w:ascii="Cambria" w:hAnsi="Cambria"/>
          <w:bCs/>
          <w:sz w:val="22"/>
          <w:szCs w:val="22"/>
          <w:lang w:val="sk-SK"/>
        </w:rPr>
      </w:pPr>
    </w:p>
    <w:tbl>
      <w:tblPr>
        <w:tblStyle w:val="GridTable4-Accent5"/>
        <w:tblW w:w="0" w:type="auto"/>
        <w:tblLook w:val="04A0" w:firstRow="1" w:lastRow="0" w:firstColumn="1" w:lastColumn="0" w:noHBand="0" w:noVBand="1"/>
      </w:tblPr>
      <w:tblGrid>
        <w:gridCol w:w="698"/>
        <w:gridCol w:w="5960"/>
        <w:gridCol w:w="1829"/>
      </w:tblGrid>
      <w:tr w:rsidR="0045195C" w:rsidRPr="0048153E" w14:paraId="52D6E001" w14:textId="77777777" w:rsidTr="00C4272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698" w:type="dxa"/>
          </w:tcPr>
          <w:p w14:paraId="676931A8" w14:textId="77777777" w:rsidR="0045195C" w:rsidRPr="00C21E31" w:rsidRDefault="0045195C" w:rsidP="00C42728">
            <w:pPr>
              <w:keepNext/>
              <w:rPr>
                <w:rFonts w:ascii="Cambria" w:hAnsi="Cambria"/>
                <w:sz w:val="20"/>
                <w:szCs w:val="20"/>
              </w:rPr>
            </w:pPr>
            <w:r w:rsidRPr="00C21E31">
              <w:rPr>
                <w:rFonts w:ascii="Cambria" w:hAnsi="Cambria"/>
                <w:sz w:val="20"/>
                <w:szCs w:val="20"/>
              </w:rPr>
              <w:t>Fáza</w:t>
            </w:r>
          </w:p>
        </w:tc>
        <w:tc>
          <w:tcPr>
            <w:tcW w:w="5960" w:type="dxa"/>
          </w:tcPr>
          <w:p w14:paraId="49A2E866" w14:textId="77777777" w:rsidR="0045195C" w:rsidRPr="00C21E31" w:rsidRDefault="0045195C" w:rsidP="00C42728">
            <w:pPr>
              <w:keepN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Popis</w:t>
            </w:r>
          </w:p>
        </w:tc>
        <w:tc>
          <w:tcPr>
            <w:tcW w:w="1829" w:type="dxa"/>
          </w:tcPr>
          <w:p w14:paraId="09BA8040" w14:textId="77777777" w:rsidR="0045195C" w:rsidRPr="00C21E31" w:rsidRDefault="0045195C" w:rsidP="00C42728">
            <w:pPr>
              <w:keepNext/>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 xml:space="preserve">Platobný rozsah (z investičnej ceny implementácie  celého diela)  </w:t>
            </w:r>
          </w:p>
        </w:tc>
      </w:tr>
      <w:tr w:rsidR="0045195C" w:rsidRPr="0048153E" w14:paraId="5A820AD3" w14:textId="77777777" w:rsidTr="00C42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8" w:type="dxa"/>
          </w:tcPr>
          <w:p w14:paraId="185C6E84" w14:textId="77777777" w:rsidR="0045195C" w:rsidRPr="00C21E31" w:rsidRDefault="0045195C" w:rsidP="00C42728">
            <w:pPr>
              <w:rPr>
                <w:rFonts w:ascii="Cambria" w:hAnsi="Cambria"/>
                <w:sz w:val="20"/>
                <w:szCs w:val="20"/>
              </w:rPr>
            </w:pPr>
            <w:r w:rsidRPr="00C21E31">
              <w:rPr>
                <w:rFonts w:ascii="Cambria" w:hAnsi="Cambria"/>
                <w:sz w:val="20"/>
                <w:szCs w:val="20"/>
              </w:rPr>
              <w:t>1</w:t>
            </w:r>
          </w:p>
        </w:tc>
        <w:tc>
          <w:tcPr>
            <w:tcW w:w="5960" w:type="dxa"/>
          </w:tcPr>
          <w:p w14:paraId="2D0883DD" w14:textId="77777777" w:rsidR="0045195C" w:rsidRPr="00C21E31" w:rsidRDefault="0045195C" w:rsidP="0045195C">
            <w:pPr>
              <w:pStyle w:val="ListParagraph"/>
              <w:numPr>
                <w:ilvl w:val="0"/>
                <w:numId w:val="9"/>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Nastavenie relačnej časti DWH, príprava infraštruktúry, technických používateľov</w:t>
            </w:r>
          </w:p>
          <w:p w14:paraId="3AB77AD2" w14:textId="77777777" w:rsidR="0045195C" w:rsidRPr="00C21E31" w:rsidRDefault="0045195C" w:rsidP="0045195C">
            <w:pPr>
              <w:pStyle w:val="ListParagraph"/>
              <w:numPr>
                <w:ilvl w:val="0"/>
                <w:numId w:val="9"/>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Integrácia zdrojových systémov pre 1. fázu pre relačnú časť DWH</w:t>
            </w:r>
          </w:p>
          <w:p w14:paraId="2BEF9358" w14:textId="77777777" w:rsidR="0045195C" w:rsidRPr="00C21E31" w:rsidRDefault="0045195C" w:rsidP="0045195C">
            <w:pPr>
              <w:pStyle w:val="ListParagraph"/>
              <w:numPr>
                <w:ilvl w:val="0"/>
                <w:numId w:val="9"/>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Návrh a implementácia modelu DWH transakčnej vrstvy (L1)</w:t>
            </w:r>
          </w:p>
          <w:p w14:paraId="20F474A2" w14:textId="77777777" w:rsidR="0045195C" w:rsidRPr="00C21E31" w:rsidRDefault="0045195C" w:rsidP="0045195C">
            <w:pPr>
              <w:pStyle w:val="ListParagraph"/>
              <w:numPr>
                <w:ilvl w:val="0"/>
                <w:numId w:val="9"/>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 xml:space="preserve">Inštalácia frameworkov (Ingestion, Workflow manager, Security, Dátová retencia), ich úvodné nastavenie a odsúhlasenie ich funkcionalít </w:t>
            </w:r>
          </w:p>
        </w:tc>
        <w:tc>
          <w:tcPr>
            <w:tcW w:w="1829" w:type="dxa"/>
          </w:tcPr>
          <w:p w14:paraId="5D2B2046" w14:textId="77777777" w:rsidR="0045195C" w:rsidRPr="00C21E31" w:rsidRDefault="0045195C" w:rsidP="00C42728">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16</w:t>
            </w:r>
            <w:r>
              <w:rPr>
                <w:rFonts w:ascii="Cambria" w:hAnsi="Cambria"/>
                <w:sz w:val="20"/>
                <w:szCs w:val="20"/>
              </w:rPr>
              <w:t xml:space="preserve"> </w:t>
            </w:r>
            <w:r w:rsidRPr="00C21E31">
              <w:rPr>
                <w:rFonts w:ascii="Cambria" w:hAnsi="Cambria"/>
                <w:sz w:val="20"/>
                <w:szCs w:val="20"/>
              </w:rPr>
              <w:t>%</w:t>
            </w:r>
          </w:p>
        </w:tc>
      </w:tr>
      <w:tr w:rsidR="0045195C" w:rsidRPr="0048153E" w14:paraId="7B929424" w14:textId="77777777" w:rsidTr="00C42728">
        <w:trPr>
          <w:cantSplit/>
        </w:trPr>
        <w:tc>
          <w:tcPr>
            <w:cnfStyle w:val="001000000000" w:firstRow="0" w:lastRow="0" w:firstColumn="1" w:lastColumn="0" w:oddVBand="0" w:evenVBand="0" w:oddHBand="0" w:evenHBand="0" w:firstRowFirstColumn="0" w:firstRowLastColumn="0" w:lastRowFirstColumn="0" w:lastRowLastColumn="0"/>
            <w:tcW w:w="698" w:type="dxa"/>
          </w:tcPr>
          <w:p w14:paraId="49E621FC" w14:textId="77777777" w:rsidR="0045195C" w:rsidRPr="00C21E31" w:rsidRDefault="0045195C" w:rsidP="00C42728">
            <w:pPr>
              <w:rPr>
                <w:rFonts w:ascii="Cambria" w:hAnsi="Cambria"/>
                <w:sz w:val="20"/>
                <w:szCs w:val="20"/>
              </w:rPr>
            </w:pPr>
            <w:r w:rsidRPr="00C21E31">
              <w:rPr>
                <w:rFonts w:ascii="Cambria" w:hAnsi="Cambria"/>
                <w:sz w:val="20"/>
                <w:szCs w:val="20"/>
              </w:rPr>
              <w:t>2</w:t>
            </w:r>
          </w:p>
        </w:tc>
        <w:tc>
          <w:tcPr>
            <w:tcW w:w="5960" w:type="dxa"/>
          </w:tcPr>
          <w:p w14:paraId="1CB29884" w14:textId="77777777" w:rsidR="0045195C" w:rsidRPr="00C21E31"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Integrácia zdrojových systémov pre 2. fázu</w:t>
            </w:r>
          </w:p>
          <w:p w14:paraId="0A91BCE0" w14:textId="77777777" w:rsidR="0045195C" w:rsidRPr="00C21E31"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Návrh a implementácia modelu DWH transakčnej vrstvy (L1)</w:t>
            </w:r>
          </w:p>
          <w:p w14:paraId="14078457" w14:textId="77777777" w:rsidR="0045195C" w:rsidRPr="00C21E31"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Návrh a implementácia prezentačnej vrstvy relačnej časti (L2)</w:t>
            </w:r>
          </w:p>
          <w:p w14:paraId="7F6CC276" w14:textId="77777777" w:rsidR="0045195C"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Návrh a implementácia OUT vrstvy</w:t>
            </w:r>
          </w:p>
          <w:p w14:paraId="0A6D264D" w14:textId="77777777" w:rsidR="0045195C" w:rsidRPr="00C21E31"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Konsolidačná procedúra pre Subjekty</w:t>
            </w:r>
          </w:p>
          <w:p w14:paraId="18630E26" w14:textId="77777777" w:rsidR="0045195C" w:rsidRPr="00C21E31"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Nastavenie DataLake časti DWH, príprava infraštruktúry, technických používateľov, inštalácia BigData komponentov</w:t>
            </w:r>
          </w:p>
          <w:p w14:paraId="2B2287CC" w14:textId="77777777" w:rsidR="0045195C" w:rsidRPr="00C21E31"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Inštalácia frameworkov (Manuálne vstupy, RDM, Test framework, Data Quality framework)</w:t>
            </w:r>
          </w:p>
        </w:tc>
        <w:tc>
          <w:tcPr>
            <w:tcW w:w="1829" w:type="dxa"/>
          </w:tcPr>
          <w:p w14:paraId="66C0553B" w14:textId="77777777" w:rsidR="0045195C" w:rsidRPr="00C21E31" w:rsidRDefault="0045195C" w:rsidP="00C42728">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24</w:t>
            </w:r>
            <w:r>
              <w:rPr>
                <w:rFonts w:ascii="Cambria" w:hAnsi="Cambria"/>
                <w:sz w:val="20"/>
                <w:szCs w:val="20"/>
              </w:rPr>
              <w:t xml:space="preserve"> </w:t>
            </w:r>
            <w:r w:rsidRPr="00C21E31">
              <w:rPr>
                <w:rFonts w:ascii="Cambria" w:hAnsi="Cambria"/>
                <w:sz w:val="20"/>
                <w:szCs w:val="20"/>
              </w:rPr>
              <w:t>%</w:t>
            </w:r>
          </w:p>
        </w:tc>
      </w:tr>
      <w:tr w:rsidR="0045195C" w:rsidRPr="0048153E" w14:paraId="44F09568" w14:textId="77777777" w:rsidTr="00C42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8" w:type="dxa"/>
          </w:tcPr>
          <w:p w14:paraId="414A35DE" w14:textId="77777777" w:rsidR="0045195C" w:rsidRPr="00C21E31" w:rsidRDefault="0045195C" w:rsidP="00C42728">
            <w:pPr>
              <w:rPr>
                <w:rFonts w:ascii="Cambria" w:hAnsi="Cambria"/>
                <w:sz w:val="20"/>
                <w:szCs w:val="20"/>
              </w:rPr>
            </w:pPr>
            <w:r w:rsidRPr="00C21E31">
              <w:rPr>
                <w:rFonts w:ascii="Cambria" w:hAnsi="Cambria"/>
                <w:sz w:val="20"/>
                <w:szCs w:val="20"/>
              </w:rPr>
              <w:t>3</w:t>
            </w:r>
          </w:p>
        </w:tc>
        <w:tc>
          <w:tcPr>
            <w:tcW w:w="5960" w:type="dxa"/>
          </w:tcPr>
          <w:p w14:paraId="57016B2D" w14:textId="77777777" w:rsidR="0045195C" w:rsidRPr="00C21E31" w:rsidRDefault="0045195C" w:rsidP="0045195C">
            <w:pPr>
              <w:pStyle w:val="ListParagraph"/>
              <w:numPr>
                <w:ilvl w:val="0"/>
                <w:numId w:val="10"/>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Integrácia zdrojových systémov pre 3. fázu</w:t>
            </w:r>
          </w:p>
          <w:p w14:paraId="6C797BE8" w14:textId="77777777" w:rsidR="0045195C" w:rsidRPr="00C21E31" w:rsidRDefault="0045195C" w:rsidP="0045195C">
            <w:pPr>
              <w:pStyle w:val="ListParagraph"/>
              <w:numPr>
                <w:ilvl w:val="0"/>
                <w:numId w:val="10"/>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Návrh a implementácia modelu DWH transakčnej vrstvy (L1)</w:t>
            </w:r>
          </w:p>
          <w:p w14:paraId="0B9355F7" w14:textId="77777777" w:rsidR="0045195C" w:rsidRPr="00C21E31" w:rsidRDefault="0045195C" w:rsidP="0045195C">
            <w:pPr>
              <w:pStyle w:val="ListParagraph"/>
              <w:numPr>
                <w:ilvl w:val="0"/>
                <w:numId w:val="10"/>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Návrh a implementácia prezentačnej vrstvy relačnej časti (L2) a príprava Datamartov a Reportov</w:t>
            </w:r>
          </w:p>
          <w:p w14:paraId="2E55A0C0" w14:textId="77777777" w:rsidR="0045195C" w:rsidRDefault="0045195C" w:rsidP="0045195C">
            <w:pPr>
              <w:pStyle w:val="ListParagraph"/>
              <w:numPr>
                <w:ilvl w:val="0"/>
                <w:numId w:val="10"/>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Návrh a implementácia OUT vrstvy</w:t>
            </w:r>
          </w:p>
          <w:p w14:paraId="2604AC2F" w14:textId="77777777" w:rsidR="0045195C" w:rsidRDefault="0045195C" w:rsidP="0045195C">
            <w:pPr>
              <w:pStyle w:val="ListParagraph"/>
              <w:numPr>
                <w:ilvl w:val="0"/>
                <w:numId w:val="10"/>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Pr>
                <w:rFonts w:ascii="Cambria" w:hAnsi="Cambria"/>
                <w:sz w:val="20"/>
                <w:szCs w:val="20"/>
              </w:rPr>
              <w:t>Konsolidačná procedúra pre Adresy Slovenskej republiky</w:t>
            </w:r>
          </w:p>
          <w:p w14:paraId="1C4E5706" w14:textId="77777777" w:rsidR="0045195C" w:rsidRPr="00C21E31" w:rsidRDefault="0045195C" w:rsidP="0045195C">
            <w:pPr>
              <w:pStyle w:val="ListParagraph"/>
              <w:numPr>
                <w:ilvl w:val="0"/>
                <w:numId w:val="10"/>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Implementácia DataLake časti (nábeh do produkcie)</w:t>
            </w:r>
          </w:p>
          <w:p w14:paraId="046D53C1" w14:textId="77777777" w:rsidR="0045195C" w:rsidRPr="00C21E31" w:rsidRDefault="0045195C" w:rsidP="0045195C">
            <w:pPr>
              <w:pStyle w:val="ListParagraph"/>
              <w:numPr>
                <w:ilvl w:val="0"/>
                <w:numId w:val="10"/>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Inštalácia frameworku – Metadata Management (InfoHUB)</w:t>
            </w:r>
          </w:p>
        </w:tc>
        <w:tc>
          <w:tcPr>
            <w:tcW w:w="1829" w:type="dxa"/>
          </w:tcPr>
          <w:p w14:paraId="7132CD08" w14:textId="77777777" w:rsidR="0045195C" w:rsidRPr="00C21E31" w:rsidRDefault="0045195C" w:rsidP="00C42728">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29</w:t>
            </w:r>
            <w:r>
              <w:rPr>
                <w:rFonts w:ascii="Cambria" w:hAnsi="Cambria"/>
                <w:sz w:val="20"/>
                <w:szCs w:val="20"/>
              </w:rPr>
              <w:t xml:space="preserve"> </w:t>
            </w:r>
            <w:r w:rsidRPr="00C21E31">
              <w:rPr>
                <w:rFonts w:ascii="Cambria" w:hAnsi="Cambria"/>
                <w:sz w:val="20"/>
                <w:szCs w:val="20"/>
              </w:rPr>
              <w:t>%</w:t>
            </w:r>
          </w:p>
        </w:tc>
      </w:tr>
      <w:tr w:rsidR="0045195C" w:rsidRPr="0048153E" w14:paraId="02E008B0" w14:textId="77777777" w:rsidTr="00C42728">
        <w:trPr>
          <w:cantSplit/>
        </w:trPr>
        <w:tc>
          <w:tcPr>
            <w:cnfStyle w:val="001000000000" w:firstRow="0" w:lastRow="0" w:firstColumn="1" w:lastColumn="0" w:oddVBand="0" w:evenVBand="0" w:oddHBand="0" w:evenHBand="0" w:firstRowFirstColumn="0" w:firstRowLastColumn="0" w:lastRowFirstColumn="0" w:lastRowLastColumn="0"/>
            <w:tcW w:w="698" w:type="dxa"/>
          </w:tcPr>
          <w:p w14:paraId="5CA08707" w14:textId="77777777" w:rsidR="0045195C" w:rsidRPr="00C21E31" w:rsidRDefault="0045195C" w:rsidP="00C42728">
            <w:pPr>
              <w:rPr>
                <w:rFonts w:ascii="Cambria" w:hAnsi="Cambria"/>
                <w:sz w:val="20"/>
                <w:szCs w:val="20"/>
              </w:rPr>
            </w:pPr>
            <w:r w:rsidRPr="00C21E31">
              <w:rPr>
                <w:rFonts w:ascii="Cambria" w:hAnsi="Cambria"/>
                <w:sz w:val="20"/>
                <w:szCs w:val="20"/>
              </w:rPr>
              <w:t>4</w:t>
            </w:r>
          </w:p>
        </w:tc>
        <w:tc>
          <w:tcPr>
            <w:tcW w:w="5960" w:type="dxa"/>
          </w:tcPr>
          <w:p w14:paraId="156905FD" w14:textId="77777777" w:rsidR="0045195C" w:rsidRPr="00C21E31"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Integrácia zdrojových systémov pre 4. fázu</w:t>
            </w:r>
          </w:p>
          <w:p w14:paraId="79178AB5" w14:textId="77777777" w:rsidR="0045195C" w:rsidRPr="00C21E31"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Návrh a implementácia modelu DWH transakčnej vrstvy (L1)</w:t>
            </w:r>
          </w:p>
          <w:p w14:paraId="17312CC1" w14:textId="77777777" w:rsidR="0045195C"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Návrh a implementácia prezentačnej vrstva relačnej časti (L2) a príprava Datamartov a</w:t>
            </w:r>
            <w:r>
              <w:rPr>
                <w:rFonts w:ascii="Cambria" w:hAnsi="Cambria"/>
                <w:sz w:val="20"/>
                <w:szCs w:val="20"/>
              </w:rPr>
              <w:t> </w:t>
            </w:r>
            <w:r w:rsidRPr="00C21E31">
              <w:rPr>
                <w:rFonts w:ascii="Cambria" w:hAnsi="Cambria"/>
                <w:sz w:val="20"/>
                <w:szCs w:val="20"/>
              </w:rPr>
              <w:t>Reportov</w:t>
            </w:r>
          </w:p>
          <w:p w14:paraId="548EAA46" w14:textId="77777777" w:rsidR="0045195C" w:rsidRPr="00D23A1D"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Pr>
                <w:rFonts w:ascii="Cambria" w:hAnsi="Cambria"/>
                <w:sz w:val="20"/>
                <w:szCs w:val="20"/>
              </w:rPr>
              <w:t>Konsolidačná procedúra pre Cenné papiere</w:t>
            </w:r>
          </w:p>
          <w:p w14:paraId="0027282F" w14:textId="77777777" w:rsidR="0045195C" w:rsidRPr="00C21E31"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Implementácia DataDiscovery infraštruktúry na DataLake</w:t>
            </w:r>
          </w:p>
          <w:p w14:paraId="793D4400" w14:textId="77777777" w:rsidR="0045195C" w:rsidRPr="00C21E31" w:rsidRDefault="0045195C" w:rsidP="0045195C">
            <w:pPr>
              <w:pStyle w:val="ListParagraph"/>
              <w:numPr>
                <w:ilvl w:val="0"/>
                <w:numId w:val="10"/>
              </w:numPr>
              <w:spacing w:before="120" w:after="120" w:line="240" w:lineRule="atLeast"/>
              <w:ind w:left="457"/>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Vytvorenie Sand boxov pre power-userov</w:t>
            </w:r>
          </w:p>
        </w:tc>
        <w:tc>
          <w:tcPr>
            <w:tcW w:w="1829" w:type="dxa"/>
          </w:tcPr>
          <w:p w14:paraId="3E66A54B" w14:textId="77777777" w:rsidR="0045195C" w:rsidRPr="00C21E31" w:rsidRDefault="0045195C" w:rsidP="00C42728">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C21E31">
              <w:rPr>
                <w:rFonts w:ascii="Cambria" w:hAnsi="Cambria"/>
                <w:sz w:val="20"/>
                <w:szCs w:val="20"/>
              </w:rPr>
              <w:t>19</w:t>
            </w:r>
            <w:r>
              <w:rPr>
                <w:rFonts w:ascii="Cambria" w:hAnsi="Cambria"/>
                <w:sz w:val="20"/>
                <w:szCs w:val="20"/>
              </w:rPr>
              <w:t xml:space="preserve"> </w:t>
            </w:r>
            <w:r w:rsidRPr="00C21E31">
              <w:rPr>
                <w:rFonts w:ascii="Cambria" w:hAnsi="Cambria"/>
                <w:sz w:val="20"/>
                <w:szCs w:val="20"/>
              </w:rPr>
              <w:t>%</w:t>
            </w:r>
          </w:p>
        </w:tc>
      </w:tr>
      <w:tr w:rsidR="0045195C" w:rsidRPr="0048153E" w14:paraId="234AAD0F" w14:textId="77777777" w:rsidTr="00C4272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98" w:type="dxa"/>
          </w:tcPr>
          <w:p w14:paraId="67BA04A1" w14:textId="77777777" w:rsidR="0045195C" w:rsidRPr="00C21E31" w:rsidRDefault="0045195C" w:rsidP="00C42728">
            <w:pPr>
              <w:rPr>
                <w:rFonts w:ascii="Cambria" w:hAnsi="Cambria"/>
                <w:sz w:val="20"/>
                <w:szCs w:val="20"/>
              </w:rPr>
            </w:pPr>
            <w:r w:rsidRPr="00C21E31">
              <w:rPr>
                <w:rFonts w:ascii="Cambria" w:hAnsi="Cambria"/>
                <w:sz w:val="20"/>
                <w:szCs w:val="20"/>
              </w:rPr>
              <w:t>5</w:t>
            </w:r>
          </w:p>
        </w:tc>
        <w:tc>
          <w:tcPr>
            <w:tcW w:w="5960" w:type="dxa"/>
          </w:tcPr>
          <w:p w14:paraId="66507346" w14:textId="77777777" w:rsidR="0045195C" w:rsidRPr="00C21E31" w:rsidRDefault="0045195C" w:rsidP="0045195C">
            <w:pPr>
              <w:pStyle w:val="ListParagraph"/>
              <w:numPr>
                <w:ilvl w:val="0"/>
                <w:numId w:val="11"/>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Integrácia zdrojových systémov pre 5. fázu</w:t>
            </w:r>
          </w:p>
          <w:p w14:paraId="37632CA8" w14:textId="77777777" w:rsidR="0045195C" w:rsidRPr="00C21E31" w:rsidRDefault="0045195C" w:rsidP="0045195C">
            <w:pPr>
              <w:pStyle w:val="ListParagraph"/>
              <w:numPr>
                <w:ilvl w:val="0"/>
                <w:numId w:val="11"/>
              </w:numPr>
              <w:spacing w:before="120" w:after="120" w:line="240" w:lineRule="atLeast"/>
              <w:ind w:left="457"/>
              <w:jc w:val="both"/>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Tvorba prezentačnej vrstva relačnej časti (L2) a príprava Datamartov a Reportov</w:t>
            </w:r>
          </w:p>
        </w:tc>
        <w:tc>
          <w:tcPr>
            <w:tcW w:w="1829" w:type="dxa"/>
          </w:tcPr>
          <w:p w14:paraId="72B4F5E8" w14:textId="77777777" w:rsidR="0045195C" w:rsidRPr="00C21E31" w:rsidRDefault="0045195C" w:rsidP="00C42728">
            <w:pPr>
              <w:jc w:val="center"/>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C21E31">
              <w:rPr>
                <w:rFonts w:ascii="Cambria" w:hAnsi="Cambria"/>
                <w:sz w:val="20"/>
                <w:szCs w:val="20"/>
              </w:rPr>
              <w:t>12</w:t>
            </w:r>
            <w:r>
              <w:rPr>
                <w:rFonts w:ascii="Cambria" w:hAnsi="Cambria"/>
                <w:sz w:val="20"/>
                <w:szCs w:val="20"/>
              </w:rPr>
              <w:t xml:space="preserve"> </w:t>
            </w:r>
            <w:r w:rsidRPr="00C21E31">
              <w:rPr>
                <w:rFonts w:ascii="Cambria" w:hAnsi="Cambria"/>
                <w:sz w:val="20"/>
                <w:szCs w:val="20"/>
              </w:rPr>
              <w:t>%</w:t>
            </w:r>
          </w:p>
        </w:tc>
      </w:tr>
    </w:tbl>
    <w:p w14:paraId="20D43A89" w14:textId="77777777" w:rsidR="00D5602D" w:rsidRPr="003267B1" w:rsidRDefault="00D5602D" w:rsidP="00A859B8">
      <w:pPr>
        <w:jc w:val="both"/>
        <w:rPr>
          <w:rFonts w:ascii="Cambria" w:hAnsi="Cambria"/>
          <w:bCs/>
          <w:sz w:val="22"/>
          <w:szCs w:val="22"/>
          <w:lang w:val="sk-SK"/>
        </w:rPr>
      </w:pPr>
    </w:p>
    <w:p w14:paraId="0C90472F" w14:textId="7DF86FAF" w:rsidR="00A859B8" w:rsidRPr="00D54CDB" w:rsidRDefault="00A859B8" w:rsidP="00A859B8">
      <w:pPr>
        <w:jc w:val="both"/>
        <w:rPr>
          <w:rFonts w:ascii="Cambria" w:hAnsi="Cambria"/>
          <w:b/>
          <w:bCs/>
          <w:sz w:val="22"/>
          <w:szCs w:val="22"/>
          <w:lang w:val="sk-SK"/>
        </w:rPr>
      </w:pPr>
      <w:r w:rsidRPr="00D54CDB">
        <w:rPr>
          <w:rFonts w:ascii="Cambria" w:hAnsi="Cambria"/>
          <w:b/>
          <w:bCs/>
          <w:sz w:val="22"/>
          <w:szCs w:val="22"/>
          <w:lang w:val="sk-SK"/>
        </w:rPr>
        <w:lastRenderedPageBreak/>
        <w:t xml:space="preserve">Otázka č. </w:t>
      </w:r>
      <w:r w:rsidR="00D869C9" w:rsidRPr="00D54CDB">
        <w:rPr>
          <w:rFonts w:ascii="Cambria" w:hAnsi="Cambria"/>
          <w:b/>
          <w:bCs/>
          <w:sz w:val="22"/>
          <w:szCs w:val="22"/>
          <w:lang w:val="sk-SK"/>
        </w:rPr>
        <w:t>15</w:t>
      </w:r>
    </w:p>
    <w:p w14:paraId="243C3389"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K bodu 3.4.5 Požadované výstupy projektu Opisu predmetu (príloha č. 1 SP)</w:t>
      </w:r>
    </w:p>
    <w:p w14:paraId="3491D667"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a) Analýza zdrojových systémov – je správny predpoklad, že subjektový model zdrojového systému bude dodaný verejným obstarávateľom ? Ak bude vypracovaný verejným obstarávateľom , bude dostupný na začiatku analýzy zdrojového systému?</w:t>
      </w:r>
    </w:p>
    <w:p w14:paraId="59DAF9C5"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b) Pri analýze externých zdrojových systémov bude zrejme potrebná aj spolupráca tretej strany – správcu alebo autora systému. Bude zabezpečená spolupráca tretích strán?</w:t>
      </w:r>
    </w:p>
    <w:p w14:paraId="31915D45" w14:textId="41E48560" w:rsidR="00A859B8" w:rsidRPr="002801CE" w:rsidRDefault="002801CE" w:rsidP="00A859B8">
      <w:pPr>
        <w:jc w:val="both"/>
        <w:rPr>
          <w:rFonts w:ascii="Cambria" w:hAnsi="Cambria"/>
          <w:sz w:val="22"/>
          <w:szCs w:val="22"/>
          <w:lang w:val="sk-SK"/>
        </w:rPr>
      </w:pPr>
      <w:r w:rsidRPr="002801CE">
        <w:rPr>
          <w:rFonts w:ascii="Cambria" w:hAnsi="Cambria"/>
          <w:sz w:val="22"/>
          <w:szCs w:val="22"/>
          <w:lang w:val="sk-SK"/>
        </w:rPr>
        <w:t>c) Image pracovnej stanice vývojára – bude požadované aby tento image používali aj riešitelia projektu?</w:t>
      </w:r>
    </w:p>
    <w:p w14:paraId="6360CEAD" w14:textId="790C11F2" w:rsidR="00A859B8" w:rsidRDefault="00A859B8" w:rsidP="00A859B8">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29136213" w14:textId="07EF1D4D"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a</w:t>
      </w:r>
      <w:r w:rsidR="00D54CDB">
        <w:rPr>
          <w:rFonts w:ascii="Cambria" w:hAnsi="Cambria"/>
          <w:bCs/>
          <w:sz w:val="22"/>
          <w:szCs w:val="22"/>
          <w:lang w:val="sk-SK"/>
        </w:rPr>
        <w:t>) Uvedený predpoklad záujemcu n</w:t>
      </w:r>
      <w:r w:rsidRPr="00FE62D6">
        <w:rPr>
          <w:rFonts w:ascii="Cambria" w:hAnsi="Cambria"/>
          <w:bCs/>
          <w:sz w:val="22"/>
          <w:szCs w:val="22"/>
          <w:lang w:val="sk-SK"/>
        </w:rPr>
        <w:t>ie</w:t>
      </w:r>
      <w:r w:rsidR="00D54CDB">
        <w:rPr>
          <w:rFonts w:ascii="Cambria" w:hAnsi="Cambria"/>
          <w:bCs/>
          <w:sz w:val="22"/>
          <w:szCs w:val="22"/>
          <w:lang w:val="sk-SK"/>
        </w:rPr>
        <w:t xml:space="preserve"> je správ</w:t>
      </w:r>
      <w:r w:rsidR="003267B1">
        <w:rPr>
          <w:rFonts w:ascii="Cambria" w:hAnsi="Cambria"/>
          <w:bCs/>
          <w:sz w:val="22"/>
          <w:szCs w:val="22"/>
          <w:lang w:val="sk-SK"/>
        </w:rPr>
        <w:t>n</w:t>
      </w:r>
      <w:r w:rsidR="00D54CDB">
        <w:rPr>
          <w:rFonts w:ascii="Cambria" w:hAnsi="Cambria"/>
          <w:bCs/>
          <w:sz w:val="22"/>
          <w:szCs w:val="22"/>
          <w:lang w:val="sk-SK"/>
        </w:rPr>
        <w:t>y;</w:t>
      </w:r>
      <w:r w:rsidR="0056428C">
        <w:rPr>
          <w:rFonts w:ascii="Cambria" w:hAnsi="Cambria"/>
          <w:bCs/>
          <w:sz w:val="22"/>
          <w:szCs w:val="22"/>
          <w:lang w:val="sk-SK"/>
        </w:rPr>
        <w:t xml:space="preserve"> subjektový model zdrojového systému nebude dodaný verejným obstaráv</w:t>
      </w:r>
      <w:r w:rsidR="00746020">
        <w:rPr>
          <w:rFonts w:ascii="Cambria" w:hAnsi="Cambria"/>
          <w:bCs/>
          <w:sz w:val="22"/>
          <w:szCs w:val="22"/>
          <w:lang w:val="sk-SK"/>
        </w:rPr>
        <w:t>a</w:t>
      </w:r>
      <w:r w:rsidR="0056428C">
        <w:rPr>
          <w:rFonts w:ascii="Cambria" w:hAnsi="Cambria"/>
          <w:bCs/>
          <w:sz w:val="22"/>
          <w:szCs w:val="22"/>
          <w:lang w:val="sk-SK"/>
        </w:rPr>
        <w:t>teľom.</w:t>
      </w:r>
      <w:r w:rsidRPr="00FE62D6">
        <w:rPr>
          <w:rFonts w:ascii="Cambria" w:hAnsi="Cambria"/>
          <w:bCs/>
          <w:sz w:val="22"/>
          <w:szCs w:val="22"/>
          <w:lang w:val="sk-SK"/>
        </w:rPr>
        <w:t xml:space="preserve"> </w:t>
      </w:r>
      <w:r w:rsidR="00DF572E">
        <w:rPr>
          <w:rFonts w:ascii="Cambria" w:hAnsi="Cambria"/>
          <w:bCs/>
          <w:sz w:val="22"/>
          <w:szCs w:val="22"/>
          <w:lang w:val="sk-SK"/>
        </w:rPr>
        <w:t xml:space="preserve">Subjektový model zdrojového systému je predmetom zákazky podľa kapitoly 3.4.5.2. Opisu predmetu zákazky. </w:t>
      </w:r>
      <w:r w:rsidRPr="00FE62D6">
        <w:rPr>
          <w:rFonts w:ascii="Cambria" w:hAnsi="Cambria"/>
          <w:bCs/>
          <w:sz w:val="22"/>
          <w:szCs w:val="22"/>
          <w:lang w:val="sk-SK"/>
        </w:rPr>
        <w:t>Verejný obstarávateľ poskytne dodávateľovi súčinnosť pri analýze zdrojových systémov.</w:t>
      </w:r>
    </w:p>
    <w:p w14:paraId="67A62D92" w14:textId="5A7DB7FD"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b</w:t>
      </w:r>
      <w:r w:rsidR="00D54CDB">
        <w:rPr>
          <w:rFonts w:ascii="Cambria" w:hAnsi="Cambria"/>
          <w:bCs/>
          <w:sz w:val="22"/>
          <w:szCs w:val="22"/>
          <w:lang w:val="sk-SK"/>
        </w:rPr>
        <w:t>)</w:t>
      </w:r>
      <w:r w:rsidRPr="00FE62D6">
        <w:rPr>
          <w:rFonts w:ascii="Cambria" w:hAnsi="Cambria"/>
          <w:bCs/>
          <w:sz w:val="22"/>
          <w:szCs w:val="22"/>
          <w:lang w:val="sk-SK"/>
        </w:rPr>
        <w:t xml:space="preserve"> Nie</w:t>
      </w:r>
      <w:r w:rsidR="00DF572E">
        <w:rPr>
          <w:rFonts w:ascii="Cambria" w:hAnsi="Cambria"/>
          <w:bCs/>
          <w:sz w:val="22"/>
          <w:szCs w:val="22"/>
          <w:lang w:val="sk-SK"/>
        </w:rPr>
        <w:t>, spolupráca tretích strán</w:t>
      </w:r>
      <w:r w:rsidR="00D54CDB">
        <w:rPr>
          <w:rFonts w:ascii="Cambria" w:hAnsi="Cambria"/>
          <w:bCs/>
          <w:sz w:val="22"/>
          <w:szCs w:val="22"/>
          <w:lang w:val="sk-SK"/>
        </w:rPr>
        <w:t xml:space="preserve"> nebude zabezpečená verejným obstarávateľom</w:t>
      </w:r>
      <w:r w:rsidR="00DF572E">
        <w:rPr>
          <w:rFonts w:ascii="Cambria" w:hAnsi="Cambria"/>
          <w:bCs/>
          <w:sz w:val="22"/>
          <w:szCs w:val="22"/>
          <w:lang w:val="sk-SK"/>
        </w:rPr>
        <w:t>.</w:t>
      </w:r>
    </w:p>
    <w:p w14:paraId="5F197BC1" w14:textId="6E5AE142" w:rsidR="00FE62D6" w:rsidRPr="00FE62D6" w:rsidRDefault="00FE62D6" w:rsidP="00FE62D6">
      <w:pPr>
        <w:jc w:val="both"/>
        <w:rPr>
          <w:rFonts w:ascii="Cambria" w:hAnsi="Cambria"/>
          <w:bCs/>
          <w:sz w:val="22"/>
          <w:szCs w:val="22"/>
          <w:lang w:val="sk-SK"/>
        </w:rPr>
      </w:pPr>
      <w:r w:rsidRPr="00FE62D6">
        <w:rPr>
          <w:rFonts w:ascii="Cambria" w:hAnsi="Cambria"/>
          <w:bCs/>
          <w:sz w:val="22"/>
          <w:szCs w:val="22"/>
          <w:lang w:val="sk-SK"/>
        </w:rPr>
        <w:t>c</w:t>
      </w:r>
      <w:r w:rsidR="00D54CDB">
        <w:rPr>
          <w:rFonts w:ascii="Cambria" w:hAnsi="Cambria"/>
          <w:bCs/>
          <w:sz w:val="22"/>
          <w:szCs w:val="22"/>
          <w:lang w:val="sk-SK"/>
        </w:rPr>
        <w:t>)</w:t>
      </w:r>
      <w:r w:rsidR="0056428C">
        <w:rPr>
          <w:rFonts w:ascii="Cambria" w:hAnsi="Cambria"/>
          <w:bCs/>
          <w:sz w:val="22"/>
          <w:szCs w:val="22"/>
          <w:lang w:val="sk-SK"/>
        </w:rPr>
        <w:t xml:space="preserve"> </w:t>
      </w:r>
      <w:r w:rsidRPr="00FE62D6">
        <w:rPr>
          <w:rFonts w:ascii="Cambria" w:hAnsi="Cambria"/>
          <w:bCs/>
          <w:sz w:val="22"/>
          <w:szCs w:val="22"/>
          <w:lang w:val="sk-SK"/>
        </w:rPr>
        <w:t xml:space="preserve">Verejný obstarávateľ predpokladá vývoj na virtuálnych staniciach umiestnených </w:t>
      </w:r>
      <w:r>
        <w:rPr>
          <w:rFonts w:ascii="Cambria" w:hAnsi="Cambria"/>
          <w:bCs/>
          <w:sz w:val="22"/>
          <w:szCs w:val="22"/>
          <w:lang w:val="sk-SK"/>
        </w:rPr>
        <w:br/>
      </w:r>
      <w:r w:rsidRPr="00FE62D6">
        <w:rPr>
          <w:rFonts w:ascii="Cambria" w:hAnsi="Cambria"/>
          <w:bCs/>
          <w:sz w:val="22"/>
          <w:szCs w:val="22"/>
          <w:lang w:val="sk-SK"/>
        </w:rPr>
        <w:t xml:space="preserve">v infraštruktúre verejného obstarávateľa, ktoré budú mať definovanú konfiguráciu. Táto konfiguráciu musí byť postačujúca pre vývoj aj nasadzovanie diela a jeho častí. Keďže z hľadiska bezpečnosti budú tieto stanice jediným a kontrolovaným prístupovým bodom do IT systémov verejného obstarávateľa, aj riešitelia projektu budú musieť využívať tieto pracovné stanice. Informácie o verejným obstarávateľom poskytovaných SW pre tieto stanice sa nachádzajú </w:t>
      </w:r>
      <w:r>
        <w:rPr>
          <w:rFonts w:ascii="Cambria" w:hAnsi="Cambria"/>
          <w:bCs/>
          <w:sz w:val="22"/>
          <w:szCs w:val="22"/>
          <w:lang w:val="sk-SK"/>
        </w:rPr>
        <w:br/>
      </w:r>
      <w:r w:rsidRPr="00FE62D6">
        <w:rPr>
          <w:rFonts w:ascii="Cambria" w:hAnsi="Cambria"/>
          <w:bCs/>
          <w:sz w:val="22"/>
          <w:szCs w:val="22"/>
          <w:lang w:val="sk-SK"/>
        </w:rPr>
        <w:t>v tabuľke č.</w:t>
      </w:r>
      <w:r w:rsidR="003C6CAB">
        <w:rPr>
          <w:rFonts w:ascii="Cambria" w:hAnsi="Cambria"/>
          <w:bCs/>
          <w:sz w:val="22"/>
          <w:szCs w:val="22"/>
          <w:lang w:val="sk-SK"/>
        </w:rPr>
        <w:t xml:space="preserve"> </w:t>
      </w:r>
      <w:r w:rsidRPr="00FE62D6">
        <w:rPr>
          <w:rFonts w:ascii="Cambria" w:hAnsi="Cambria"/>
          <w:bCs/>
          <w:sz w:val="22"/>
          <w:szCs w:val="22"/>
          <w:lang w:val="sk-SK"/>
        </w:rPr>
        <w:t>15 Opis</w:t>
      </w:r>
      <w:r w:rsidR="003267B1">
        <w:rPr>
          <w:rFonts w:ascii="Cambria" w:hAnsi="Cambria"/>
          <w:bCs/>
          <w:sz w:val="22"/>
          <w:szCs w:val="22"/>
          <w:lang w:val="sk-SK"/>
        </w:rPr>
        <w:t>u</w:t>
      </w:r>
      <w:r w:rsidRPr="00FE62D6">
        <w:rPr>
          <w:rFonts w:ascii="Cambria" w:hAnsi="Cambria"/>
          <w:bCs/>
          <w:sz w:val="22"/>
          <w:szCs w:val="22"/>
          <w:lang w:val="sk-SK"/>
        </w:rPr>
        <w:t xml:space="preserve"> predmetu </w:t>
      </w:r>
      <w:r w:rsidR="003C6CAB">
        <w:rPr>
          <w:rFonts w:ascii="Cambria" w:hAnsi="Cambria"/>
          <w:bCs/>
          <w:sz w:val="22"/>
          <w:szCs w:val="22"/>
          <w:lang w:val="sk-SK"/>
        </w:rPr>
        <w:t>zákazky.</w:t>
      </w:r>
      <w:r w:rsidRPr="00FE62D6">
        <w:rPr>
          <w:rFonts w:ascii="Cambria" w:hAnsi="Cambria"/>
          <w:bCs/>
          <w:sz w:val="22"/>
          <w:szCs w:val="22"/>
          <w:lang w:val="sk-SK"/>
        </w:rPr>
        <w:t xml:space="preserve"> Návrh konfigurácie týchto staníc  môže  uchádzač  navrhnúť v ponuke. Náklady na  licencie dodatočného SW je nutné uviesť  v cenovej tabuľke ponuky do ceny (C).</w:t>
      </w:r>
    </w:p>
    <w:p w14:paraId="0056AFB0" w14:textId="77777777" w:rsidR="00A859B8" w:rsidRPr="00E7562E" w:rsidRDefault="00A859B8" w:rsidP="00A859B8">
      <w:pPr>
        <w:jc w:val="both"/>
        <w:rPr>
          <w:rFonts w:ascii="Cambria" w:hAnsi="Cambria"/>
          <w:b/>
          <w:bCs/>
          <w:sz w:val="22"/>
          <w:szCs w:val="22"/>
          <w:lang w:val="sk-SK"/>
        </w:rPr>
      </w:pPr>
    </w:p>
    <w:p w14:paraId="1D5F7139" w14:textId="6BCBD818" w:rsidR="00A859B8" w:rsidRPr="00FF3C5B" w:rsidRDefault="00A859B8" w:rsidP="00A859B8">
      <w:pPr>
        <w:jc w:val="both"/>
        <w:rPr>
          <w:rFonts w:ascii="Cambria" w:hAnsi="Cambria"/>
          <w:b/>
          <w:sz w:val="22"/>
          <w:u w:val="single"/>
          <w:lang w:val="sk-SK"/>
        </w:rPr>
      </w:pPr>
      <w:r w:rsidRPr="00FF3C5B">
        <w:rPr>
          <w:rFonts w:ascii="Cambria" w:hAnsi="Cambria"/>
          <w:b/>
          <w:sz w:val="22"/>
          <w:u w:val="single"/>
          <w:lang w:val="sk-SK"/>
        </w:rPr>
        <w:t>Otázka č. 1</w:t>
      </w:r>
      <w:r w:rsidR="00D869C9" w:rsidRPr="00FF3C5B">
        <w:rPr>
          <w:rFonts w:ascii="Cambria" w:hAnsi="Cambria"/>
          <w:b/>
          <w:sz w:val="22"/>
          <w:u w:val="single"/>
          <w:lang w:val="sk-SK"/>
        </w:rPr>
        <w:t>6</w:t>
      </w:r>
    </w:p>
    <w:p w14:paraId="4F98FB6D"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K časti A.3 KRITÉRIÁ NA VYHODNOTENIE PONÚK A PRAVIDLÁ ICH UPLATNENIA Súťažných podkladov</w:t>
      </w:r>
    </w:p>
    <w:p w14:paraId="3AF25D8A"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V bode 37.9 časti A3 SP sa uvádza:</w:t>
      </w:r>
    </w:p>
    <w:p w14:paraId="7EFB41E8"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„Kritérium č. 2: Osobné praktické skúsenosti kľúčových expertov č. 1 až č. 7 s ďalšími projektami v zmysle bodu 35.1.2.1 podľa pozície za predchádzajúcich 5 rokov od vyhlásenia verejného obstarávania. Spôsob prideľovania bodov pri vyhodnocovaní ponúk podľa kritéria č. 2:</w:t>
      </w:r>
    </w:p>
    <w:p w14:paraId="081C6C21"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Maximálny počet bodov pri kritériu č. 2 sa pridelí ponuke uchádzača s najvyššou hodnotou bodov zohľadňujúcich počet osobných praktických skúseností kľúčových expertov č. 1 až č. 7 s ďalšími projektami (s výnimkou projektov preukazujúcich splnenie podmienok účasti) v zmysle bodu 35.1.2.1 podľa pozície za predchádzajúcich 5 rokov od vyhlásenia verejného obstarávania a podiel kľúčových expertov č. 1 až č. 7 na plnení predmetu zákazky a pri ostatných ponukách sa určí úmerou. Takto vypočítané hodnoty bodov ostatných ponúk sa zaokrúhlia na dve desatinné miesta.....“</w:t>
      </w:r>
    </w:p>
    <w:p w14:paraId="456CD16E" w14:textId="77777777" w:rsidR="002801CE" w:rsidRPr="002801CE" w:rsidRDefault="002801CE" w:rsidP="002801CE">
      <w:pPr>
        <w:jc w:val="both"/>
        <w:rPr>
          <w:rFonts w:ascii="Cambria" w:hAnsi="Cambria"/>
          <w:sz w:val="22"/>
          <w:szCs w:val="22"/>
          <w:lang w:val="sk-SK"/>
        </w:rPr>
      </w:pPr>
      <w:r w:rsidRPr="002801CE">
        <w:rPr>
          <w:rFonts w:ascii="Cambria" w:hAnsi="Cambria"/>
          <w:sz w:val="22"/>
          <w:szCs w:val="22"/>
          <w:lang w:val="sk-SK"/>
        </w:rPr>
        <w:t>Naša otázka znie: Ak tomu rozumieme správne, kľúčoví experti si z dôvodu získania čo najviac bodov v Kritériu č. 2 hodnotenia ponúk nemôžu uplatniť ako svoje referencie projekt, ktorý bude použitý ako referencia/referencie, ktorými sa preukazuje splnenie podmienky účasti podľa § 34 ods. 1 písm. a) zákona o verejnom obstarávaní a v súlade s bodom 35.1.1. SP.</w:t>
      </w:r>
    </w:p>
    <w:p w14:paraId="6C339496" w14:textId="7AAB3F93" w:rsidR="00A859B8" w:rsidRPr="002801CE" w:rsidRDefault="002801CE" w:rsidP="002801CE">
      <w:pPr>
        <w:jc w:val="both"/>
        <w:rPr>
          <w:rFonts w:ascii="Cambria" w:hAnsi="Cambria"/>
          <w:sz w:val="22"/>
          <w:szCs w:val="22"/>
          <w:lang w:val="sk-SK"/>
        </w:rPr>
      </w:pPr>
      <w:r w:rsidRPr="002801CE">
        <w:rPr>
          <w:rFonts w:ascii="Cambria" w:hAnsi="Cambria"/>
          <w:sz w:val="22"/>
          <w:szCs w:val="22"/>
          <w:lang w:val="sk-SK"/>
        </w:rPr>
        <w:t>Znamená to, že na získanie čo najväčšieho počtu bodov v Kritériu č. 2 hodnotenia ponúk je vhodné predložiť zoznam expertov, ktorí nepracovali na hlavnom referenčnom projekte (referencii), ktorým sa preukazuje splnenie podmienky účasti podľa § 34 ods. 1 písm. a) zákona o verejnom obstarávaní a v súlade s bodom 35.1.1. SP? Je toto zámer verejného obstarávateľa?</w:t>
      </w:r>
    </w:p>
    <w:p w14:paraId="049E6AFE" w14:textId="4FE02EED" w:rsidR="00A859B8" w:rsidRDefault="00A859B8" w:rsidP="00A859B8">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033BF875" w14:textId="4A3D346F" w:rsidR="002B5CE8" w:rsidRPr="002B5CE8" w:rsidRDefault="002B5CE8" w:rsidP="002B5CE8">
      <w:pPr>
        <w:jc w:val="both"/>
        <w:rPr>
          <w:rFonts w:ascii="Cambria" w:hAnsi="Cambria"/>
          <w:bCs/>
          <w:sz w:val="22"/>
          <w:szCs w:val="22"/>
          <w:lang w:val="sk-SK"/>
        </w:rPr>
      </w:pPr>
      <w:r w:rsidRPr="002B5CE8">
        <w:rPr>
          <w:rFonts w:ascii="Cambria" w:hAnsi="Cambria"/>
          <w:bCs/>
          <w:sz w:val="22"/>
          <w:szCs w:val="22"/>
          <w:lang w:val="sk-SK"/>
        </w:rPr>
        <w:t>Verejný obstarávateľ si Vám týmto dovoľuje uviesť, že kľúčoví experti si môžu uplatniť ako svoju osobnú skúsenosť na preukázanie podmienky účasti experta osobnú skúsenosť na hlavnom referenčnom projekte uchádzača (preukazuje splnenie podmienky účasti podľa § 34 ods. 1 písm. a) zákona č. 343/2015 Z. z.), avšak body pre hodnotenie Kritéria č. 2 dostáva až za ďalšie projekty, mimo toho projektu, ktorý bol použitý ako splnenie podmienky účasti kľúčového experta (§ 34 ods. 1 písm. g) zákona č. 343/2015 Z. z. ).</w:t>
      </w:r>
    </w:p>
    <w:p w14:paraId="667517D5" w14:textId="1CF8E208" w:rsidR="00FE62D6" w:rsidRPr="002B5CE8" w:rsidRDefault="002B5CE8" w:rsidP="002B5CE8">
      <w:pPr>
        <w:jc w:val="both"/>
        <w:rPr>
          <w:rFonts w:ascii="Cambria" w:hAnsi="Cambria"/>
          <w:bCs/>
          <w:sz w:val="22"/>
          <w:szCs w:val="22"/>
          <w:lang w:val="sk-SK"/>
        </w:rPr>
      </w:pPr>
      <w:r w:rsidRPr="002B5CE8">
        <w:rPr>
          <w:rFonts w:ascii="Cambria" w:hAnsi="Cambria"/>
          <w:bCs/>
          <w:sz w:val="22"/>
          <w:szCs w:val="22"/>
          <w:lang w:val="sk-SK"/>
        </w:rPr>
        <w:lastRenderedPageBreak/>
        <w:t>Zároveň si verejný obstarávateľ dovoľuje uviesť, že na získanie najvyššieho počtu bodov pri Kritériu č. 2 je potrebné predložiť pre každého kľúčového experta jednu (1) osobnú skúsenosť kľúčového experta, ktorou preukáže splnenie jeho podmienky účasti podľa § 34 ods. 1 písm. g) zákona o verejnom obstarávaní a zároveň je potrebné predložiť ďalšie tri (3) osobné praktické skúsenosti na každého kľúčového experta na účel maximálneho pridelenia bodov podľa Kritéria č. 2 .</w:t>
      </w:r>
    </w:p>
    <w:p w14:paraId="2F3AAC60" w14:textId="77777777" w:rsidR="00A859B8" w:rsidRPr="002801CE" w:rsidRDefault="00A859B8" w:rsidP="00A859B8">
      <w:pPr>
        <w:jc w:val="both"/>
        <w:rPr>
          <w:rFonts w:ascii="Cambria" w:hAnsi="Cambria"/>
          <w:sz w:val="22"/>
          <w:szCs w:val="22"/>
          <w:lang w:val="sk-SK"/>
        </w:rPr>
      </w:pPr>
    </w:p>
    <w:p w14:paraId="7187604F" w14:textId="2B6997AA" w:rsidR="00A859B8" w:rsidRPr="00FF3C5B" w:rsidRDefault="00A859B8" w:rsidP="00A859B8">
      <w:pPr>
        <w:jc w:val="both"/>
        <w:rPr>
          <w:rFonts w:ascii="Cambria" w:hAnsi="Cambria"/>
          <w:b/>
          <w:sz w:val="22"/>
          <w:u w:val="single"/>
          <w:lang w:val="sk-SK"/>
        </w:rPr>
      </w:pPr>
      <w:bookmarkStart w:id="3" w:name="_Hlk115426636"/>
      <w:r w:rsidRPr="00FF3C5B">
        <w:rPr>
          <w:rFonts w:ascii="Cambria" w:hAnsi="Cambria"/>
          <w:b/>
          <w:sz w:val="22"/>
          <w:u w:val="single"/>
          <w:lang w:val="sk-SK"/>
        </w:rPr>
        <w:t>Otázka č. 1</w:t>
      </w:r>
      <w:r w:rsidR="00D869C9" w:rsidRPr="00FF3C5B">
        <w:rPr>
          <w:rFonts w:ascii="Cambria" w:hAnsi="Cambria"/>
          <w:b/>
          <w:sz w:val="22"/>
          <w:u w:val="single"/>
          <w:lang w:val="sk-SK"/>
        </w:rPr>
        <w:t>7</w:t>
      </w:r>
    </w:p>
    <w:bookmarkEnd w:id="3"/>
    <w:p w14:paraId="327CEDE9" w14:textId="664DFC8D" w:rsidR="00A859B8" w:rsidRPr="002801CE" w:rsidRDefault="002801CE" w:rsidP="00A859B8">
      <w:pPr>
        <w:jc w:val="both"/>
        <w:rPr>
          <w:rFonts w:ascii="Cambria" w:hAnsi="Cambria"/>
          <w:sz w:val="22"/>
          <w:szCs w:val="22"/>
          <w:lang w:val="sk-SK"/>
        </w:rPr>
      </w:pPr>
      <w:r w:rsidRPr="002801CE">
        <w:rPr>
          <w:rFonts w:ascii="Cambria" w:hAnsi="Cambria"/>
          <w:sz w:val="22"/>
          <w:szCs w:val="22"/>
          <w:lang w:val="sk-SK"/>
        </w:rPr>
        <w:t>V Prílohe č. 1 k časti A.3 KRITÉRIÁ NA VYHODNOTENIE PONÚK A PRAVIDLÁ ICH UPLATNENIA „Návrh na plnenie kritérií na vyhodnotenie ponúk „ Súťažných podkladov nie sú explicitne vymenované na nacenenie nástroje na podporu prevádzky. Správne rozumieme tomu, že ich cena má byť zahrnutá v celkovej cene za dielo? Nie je potrebné ich samostatne naceňovať?</w:t>
      </w:r>
    </w:p>
    <w:p w14:paraId="10D4F72C" w14:textId="77777777" w:rsidR="00A859B8" w:rsidRDefault="00A859B8" w:rsidP="00A859B8">
      <w:pPr>
        <w:jc w:val="both"/>
        <w:rPr>
          <w:rFonts w:ascii="Cambria" w:hAnsi="Cambria"/>
          <w:b/>
          <w:sz w:val="22"/>
          <w:szCs w:val="22"/>
          <w:u w:val="single"/>
          <w:lang w:val="sk-SK"/>
        </w:rPr>
      </w:pPr>
      <w:bookmarkStart w:id="4" w:name="_Hlk115426681"/>
      <w:r w:rsidRPr="00763560">
        <w:rPr>
          <w:rFonts w:ascii="Cambria" w:hAnsi="Cambria"/>
          <w:b/>
          <w:sz w:val="22"/>
          <w:szCs w:val="22"/>
          <w:u w:val="single"/>
          <w:lang w:val="sk-SK"/>
        </w:rPr>
        <w:t xml:space="preserve">Odpoveď: </w:t>
      </w:r>
    </w:p>
    <w:bookmarkEnd w:id="4"/>
    <w:p w14:paraId="446FD1EB" w14:textId="181FFE63" w:rsidR="00A859B8" w:rsidRDefault="002B5CE8" w:rsidP="00A859B8">
      <w:pPr>
        <w:jc w:val="both"/>
        <w:rPr>
          <w:rFonts w:ascii="Cambria" w:hAnsi="Cambria"/>
          <w:sz w:val="22"/>
          <w:szCs w:val="22"/>
          <w:lang w:val="sk-SK"/>
        </w:rPr>
      </w:pPr>
      <w:r w:rsidRPr="002B5CE8">
        <w:rPr>
          <w:rFonts w:ascii="Cambria" w:hAnsi="Cambria"/>
          <w:sz w:val="22"/>
          <w:szCs w:val="22"/>
          <w:lang w:val="sk-SK"/>
        </w:rPr>
        <w:t xml:space="preserve">Áno, </w:t>
      </w:r>
      <w:r w:rsidR="003C6CAB">
        <w:rPr>
          <w:rFonts w:ascii="Cambria" w:hAnsi="Cambria"/>
          <w:sz w:val="22"/>
          <w:szCs w:val="22"/>
          <w:lang w:val="sk-SK"/>
        </w:rPr>
        <w:t xml:space="preserve">cena </w:t>
      </w:r>
      <w:r w:rsidRPr="002B5CE8">
        <w:rPr>
          <w:rFonts w:ascii="Cambria" w:hAnsi="Cambria"/>
          <w:sz w:val="22"/>
          <w:szCs w:val="22"/>
          <w:lang w:val="sk-SK"/>
        </w:rPr>
        <w:t>nástroj</w:t>
      </w:r>
      <w:r w:rsidR="003C6CAB">
        <w:rPr>
          <w:rFonts w:ascii="Cambria" w:hAnsi="Cambria"/>
          <w:sz w:val="22"/>
          <w:szCs w:val="22"/>
          <w:lang w:val="sk-SK"/>
        </w:rPr>
        <w:t>ov</w:t>
      </w:r>
      <w:r w:rsidRPr="002B5CE8">
        <w:rPr>
          <w:rFonts w:ascii="Cambria" w:hAnsi="Cambria"/>
          <w:sz w:val="22"/>
          <w:szCs w:val="22"/>
          <w:lang w:val="sk-SK"/>
        </w:rPr>
        <w:t xml:space="preserve"> na podporu prevádzky sú súčasťou celkovej implementačnej ceny. K nástrojom bude mať verejný obstarávateľ plný a neobmedzený prístup, a vybraní užívatelia verejného obstarávateľa budú vyškolení na používanie týchto nástrojov. Prípadné chyby funkčnosti budú odstraňované v rámci prác na údržbu. T.</w:t>
      </w:r>
      <w:r w:rsidR="003C6CAB">
        <w:rPr>
          <w:rFonts w:ascii="Cambria" w:hAnsi="Cambria"/>
          <w:sz w:val="22"/>
          <w:szCs w:val="22"/>
          <w:lang w:val="sk-SK"/>
        </w:rPr>
        <w:t xml:space="preserve"> </w:t>
      </w:r>
      <w:r w:rsidRPr="002B5CE8">
        <w:rPr>
          <w:rFonts w:ascii="Cambria" w:hAnsi="Cambria"/>
          <w:sz w:val="22"/>
          <w:szCs w:val="22"/>
          <w:lang w:val="sk-SK"/>
        </w:rPr>
        <w:t>j. verejný obstarávateľ nepredpokladá ďalšie dodatočné náklady ani počas  implementácie a ani po akceptácii diela.</w:t>
      </w:r>
    </w:p>
    <w:p w14:paraId="0D33DC42" w14:textId="19958088" w:rsidR="00A86D27" w:rsidRDefault="00A86D27" w:rsidP="00A859B8">
      <w:pPr>
        <w:jc w:val="both"/>
        <w:rPr>
          <w:rFonts w:ascii="Cambria" w:hAnsi="Cambria"/>
          <w:sz w:val="22"/>
          <w:szCs w:val="22"/>
          <w:lang w:val="sk-SK"/>
        </w:rPr>
      </w:pPr>
    </w:p>
    <w:p w14:paraId="37E43749" w14:textId="61461A72" w:rsidR="00A86D27" w:rsidRPr="006E1EB9" w:rsidRDefault="00A86D27" w:rsidP="00A86D27">
      <w:pPr>
        <w:jc w:val="both"/>
        <w:rPr>
          <w:rFonts w:ascii="Cambria" w:hAnsi="Cambria"/>
          <w:b/>
          <w:sz w:val="22"/>
          <w:u w:val="single"/>
          <w:lang w:val="sk-SK"/>
        </w:rPr>
      </w:pPr>
      <w:bookmarkStart w:id="5" w:name="_Hlk115426778"/>
      <w:r w:rsidRPr="006E1EB9">
        <w:rPr>
          <w:rFonts w:ascii="Cambria" w:hAnsi="Cambria"/>
          <w:b/>
          <w:sz w:val="22"/>
          <w:u w:val="single"/>
          <w:lang w:val="sk-SK"/>
        </w:rPr>
        <w:t>Otázka č. 18</w:t>
      </w:r>
    </w:p>
    <w:bookmarkEnd w:id="5"/>
    <w:p w14:paraId="688F514F" w14:textId="77777777" w:rsidR="00A86D27" w:rsidRPr="00A86D27" w:rsidRDefault="00A86D27" w:rsidP="00A86D27">
      <w:pPr>
        <w:jc w:val="both"/>
        <w:rPr>
          <w:rFonts w:ascii="Cambria" w:hAnsi="Cambria"/>
          <w:sz w:val="22"/>
          <w:szCs w:val="22"/>
          <w:lang w:val="sk-SK"/>
        </w:rPr>
      </w:pPr>
      <w:r w:rsidRPr="00A86D27">
        <w:rPr>
          <w:rFonts w:ascii="Cambria" w:hAnsi="Cambria"/>
          <w:sz w:val="22"/>
          <w:szCs w:val="22"/>
          <w:lang w:val="sk-SK"/>
        </w:rPr>
        <w:t>K spôsobu zloženia zábezpeky</w:t>
      </w:r>
    </w:p>
    <w:p w14:paraId="5D2F3870" w14:textId="77777777" w:rsidR="00A86D27" w:rsidRPr="00A86D27" w:rsidRDefault="00A86D27" w:rsidP="00A86D27">
      <w:pPr>
        <w:jc w:val="both"/>
        <w:rPr>
          <w:rFonts w:ascii="Cambria" w:hAnsi="Cambria"/>
          <w:sz w:val="22"/>
          <w:szCs w:val="22"/>
          <w:lang w:val="sk-SK"/>
        </w:rPr>
      </w:pPr>
      <w:r w:rsidRPr="00A86D27">
        <w:rPr>
          <w:rFonts w:ascii="Cambria" w:hAnsi="Cambria"/>
          <w:sz w:val="22"/>
          <w:szCs w:val="22"/>
          <w:lang w:val="sk-SK"/>
        </w:rPr>
        <w:t>Podľa SP časť A.1 POKYNY NA VYPRACOVANIE PONUKY, bod 16 „Zábezpeka“ je možné zložiť zábezpeku okrem iných spôsobov aj formou bankovej záruky, avšak verejný obstarávateľ umožňuje iba zloženie dokladu bankovej záruky v originálnej listinnej podobe na adresu verejného obstarávateľa v lehote na predkladanie ponúk a zároveň scan originálu vložiť do systému Josephine v ponuke.</w:t>
      </w:r>
    </w:p>
    <w:p w14:paraId="779508C3" w14:textId="77777777" w:rsidR="00A86D27" w:rsidRPr="00A86D27" w:rsidRDefault="00A86D27" w:rsidP="00A86D27">
      <w:pPr>
        <w:jc w:val="both"/>
        <w:rPr>
          <w:rFonts w:ascii="Cambria" w:hAnsi="Cambria"/>
          <w:sz w:val="22"/>
          <w:szCs w:val="22"/>
          <w:lang w:val="sk-SK"/>
        </w:rPr>
      </w:pPr>
      <w:r w:rsidRPr="00A86D27">
        <w:rPr>
          <w:rFonts w:ascii="Cambria" w:hAnsi="Cambria"/>
          <w:sz w:val="22"/>
          <w:szCs w:val="22"/>
          <w:lang w:val="sk-SK"/>
        </w:rPr>
        <w:t>Naša otázka:</w:t>
      </w:r>
    </w:p>
    <w:p w14:paraId="2B7E0625" w14:textId="77777777" w:rsidR="00A86D27" w:rsidRPr="00A86D27" w:rsidRDefault="00A86D27" w:rsidP="00A86D27">
      <w:pPr>
        <w:jc w:val="both"/>
        <w:rPr>
          <w:rFonts w:ascii="Cambria" w:hAnsi="Cambria"/>
          <w:sz w:val="22"/>
          <w:szCs w:val="22"/>
          <w:lang w:val="sk-SK"/>
        </w:rPr>
      </w:pPr>
      <w:r w:rsidRPr="00A86D27">
        <w:rPr>
          <w:rFonts w:ascii="Cambria" w:hAnsi="Cambria"/>
          <w:sz w:val="22"/>
          <w:szCs w:val="22"/>
          <w:lang w:val="sk-SK"/>
        </w:rPr>
        <w:t xml:space="preserve">Bude verejný obstarávateľ </w:t>
      </w:r>
      <w:bookmarkStart w:id="6" w:name="_Hlk115439292"/>
      <w:r w:rsidRPr="00A86D27">
        <w:rPr>
          <w:rFonts w:ascii="Cambria" w:hAnsi="Cambria"/>
          <w:sz w:val="22"/>
          <w:szCs w:val="22"/>
          <w:lang w:val="sk-SK"/>
        </w:rPr>
        <w:t>akceptovať zloženie bankovej záruky do ponuky v systéme Josephine</w:t>
      </w:r>
    </w:p>
    <w:p w14:paraId="1CBE8319" w14:textId="77777777" w:rsidR="00A86D27" w:rsidRPr="00A86D27" w:rsidRDefault="00A86D27" w:rsidP="00A86D27">
      <w:pPr>
        <w:jc w:val="both"/>
        <w:rPr>
          <w:rFonts w:ascii="Cambria" w:hAnsi="Cambria"/>
          <w:sz w:val="22"/>
          <w:szCs w:val="22"/>
          <w:lang w:val="sk-SK"/>
        </w:rPr>
      </w:pPr>
      <w:r w:rsidRPr="00A86D27">
        <w:rPr>
          <w:rFonts w:ascii="Cambria" w:hAnsi="Cambria"/>
          <w:sz w:val="22"/>
          <w:szCs w:val="22"/>
          <w:lang w:val="sk-SK"/>
        </w:rPr>
        <w:t>vystavenej elektronicky a podpísanej zaručeným elektronickým podpisom</w:t>
      </w:r>
      <w:bookmarkEnd w:id="6"/>
      <w:r w:rsidRPr="00A86D27">
        <w:rPr>
          <w:rFonts w:ascii="Cambria" w:hAnsi="Cambria"/>
          <w:sz w:val="22"/>
          <w:szCs w:val="22"/>
          <w:lang w:val="sk-SK"/>
        </w:rPr>
        <w:t>? A v takomto prípade nebude verejný obstarávateľ už vyžadovať doručenie bankovej záruky v originálnej listinnej podobe v lehote na predkladanie ponúk na adresu verejného obstarávateľa ?</w:t>
      </w:r>
    </w:p>
    <w:p w14:paraId="53B81EC3" w14:textId="27DBEBB7" w:rsidR="00A86D27" w:rsidRPr="00D12A14" w:rsidRDefault="00D12A14" w:rsidP="00D12A14">
      <w:pPr>
        <w:jc w:val="both"/>
        <w:rPr>
          <w:rFonts w:ascii="Cambria" w:hAnsi="Cambria"/>
          <w:b/>
          <w:sz w:val="22"/>
          <w:szCs w:val="22"/>
          <w:u w:val="single"/>
          <w:lang w:val="sk-SK"/>
        </w:rPr>
      </w:pPr>
      <w:bookmarkStart w:id="7" w:name="_Hlk115426862"/>
      <w:r w:rsidRPr="00763560">
        <w:rPr>
          <w:rFonts w:ascii="Cambria" w:hAnsi="Cambria"/>
          <w:b/>
          <w:sz w:val="22"/>
          <w:szCs w:val="22"/>
          <w:u w:val="single"/>
          <w:lang w:val="sk-SK"/>
        </w:rPr>
        <w:t xml:space="preserve">Odpoveď: </w:t>
      </w:r>
    </w:p>
    <w:bookmarkEnd w:id="7"/>
    <w:p w14:paraId="4CDE085D" w14:textId="44F831D0" w:rsidR="009700D0" w:rsidRPr="009700D0" w:rsidRDefault="009700D0" w:rsidP="009700D0">
      <w:pPr>
        <w:jc w:val="both"/>
        <w:rPr>
          <w:rFonts w:ascii="Cambria" w:hAnsi="Cambria"/>
          <w:sz w:val="22"/>
          <w:szCs w:val="22"/>
          <w:lang w:val="sk-SK"/>
        </w:rPr>
      </w:pPr>
      <w:r>
        <w:rPr>
          <w:rFonts w:ascii="Cambria" w:hAnsi="Cambria"/>
          <w:sz w:val="22"/>
          <w:szCs w:val="22"/>
          <w:lang w:val="sk-SK"/>
        </w:rPr>
        <w:t xml:space="preserve">Verejný obstarávateľ bude </w:t>
      </w:r>
      <w:r w:rsidRPr="009700D0">
        <w:rPr>
          <w:rFonts w:ascii="Cambria" w:hAnsi="Cambria"/>
          <w:sz w:val="22"/>
          <w:szCs w:val="22"/>
          <w:lang w:val="sk-SK"/>
        </w:rPr>
        <w:t>akceptovať zloženie bankovej záruky do ponuky v systéme Josephine</w:t>
      </w:r>
    </w:p>
    <w:p w14:paraId="7A76CCC6" w14:textId="76A3F6E9" w:rsidR="00A86D27" w:rsidRDefault="009700D0" w:rsidP="009700D0">
      <w:pPr>
        <w:jc w:val="both"/>
        <w:rPr>
          <w:rFonts w:ascii="Cambria" w:hAnsi="Cambria"/>
          <w:sz w:val="22"/>
          <w:szCs w:val="22"/>
          <w:lang w:val="sk-SK"/>
        </w:rPr>
      </w:pPr>
      <w:r w:rsidRPr="009700D0">
        <w:rPr>
          <w:rFonts w:ascii="Cambria" w:hAnsi="Cambria"/>
          <w:sz w:val="22"/>
          <w:szCs w:val="22"/>
          <w:lang w:val="sk-SK"/>
        </w:rPr>
        <w:t>vystavenej elektronicky a podpísanej zaručeným elektronickým podpisom</w:t>
      </w:r>
      <w:r>
        <w:rPr>
          <w:rFonts w:ascii="Cambria" w:hAnsi="Cambria"/>
          <w:sz w:val="22"/>
          <w:szCs w:val="22"/>
          <w:lang w:val="sk-SK"/>
        </w:rPr>
        <w:t>.</w:t>
      </w:r>
    </w:p>
    <w:p w14:paraId="0B4451B1" w14:textId="77777777" w:rsidR="009700D0" w:rsidRPr="00A86D27" w:rsidRDefault="009700D0" w:rsidP="009700D0">
      <w:pPr>
        <w:jc w:val="both"/>
        <w:rPr>
          <w:rFonts w:ascii="Cambria" w:hAnsi="Cambria"/>
          <w:sz w:val="22"/>
          <w:szCs w:val="22"/>
          <w:lang w:val="sk-SK"/>
        </w:rPr>
      </w:pPr>
    </w:p>
    <w:p w14:paraId="2FB304E8" w14:textId="25DB465E" w:rsidR="00D12A14" w:rsidRPr="006E1EB9" w:rsidRDefault="00D12A14" w:rsidP="00D12A14">
      <w:pPr>
        <w:jc w:val="both"/>
        <w:rPr>
          <w:rFonts w:ascii="Cambria" w:hAnsi="Cambria"/>
          <w:b/>
          <w:sz w:val="22"/>
          <w:u w:val="single"/>
          <w:lang w:val="sk-SK"/>
        </w:rPr>
      </w:pPr>
      <w:bookmarkStart w:id="8" w:name="_Hlk115427683"/>
      <w:r w:rsidRPr="006E1EB9">
        <w:rPr>
          <w:rFonts w:ascii="Cambria" w:hAnsi="Cambria"/>
          <w:b/>
          <w:sz w:val="22"/>
          <w:u w:val="single"/>
          <w:lang w:val="sk-SK"/>
        </w:rPr>
        <w:t>Otázka č. 19</w:t>
      </w:r>
    </w:p>
    <w:bookmarkEnd w:id="8"/>
    <w:p w14:paraId="5CFFC910"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K návrhu Servisnej zmluvy</w:t>
      </w:r>
    </w:p>
    <w:p w14:paraId="085D1429" w14:textId="4896D250"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V návrhu Zmluvy č. C-NBS1-000-074-008 o poskytovaní servisných služieb pri zabezpečení</w:t>
      </w:r>
      <w:r w:rsidR="00D12A14">
        <w:rPr>
          <w:rFonts w:ascii="Cambria" w:hAnsi="Cambria"/>
          <w:sz w:val="22"/>
          <w:szCs w:val="22"/>
          <w:lang w:val="sk-SK"/>
        </w:rPr>
        <w:t xml:space="preserve"> </w:t>
      </w:r>
      <w:r w:rsidRPr="00A86D27">
        <w:rPr>
          <w:rFonts w:ascii="Cambria" w:hAnsi="Cambria"/>
          <w:sz w:val="22"/>
          <w:szCs w:val="22"/>
          <w:lang w:val="sk-SK"/>
        </w:rPr>
        <w:t xml:space="preserve">prevádzky IS DWH–Dátový sklad (ďalej v texte len ako „ Servisná zmluva“) nie je uvedený spôsob zániku zmluvy, je v nej však odkaz na Všeobecné podmienky Príloha č. 1: Všeobecné podmienky </w:t>
      </w:r>
      <w:r w:rsidR="00D12A14">
        <w:rPr>
          <w:rFonts w:ascii="Cambria" w:hAnsi="Cambria"/>
          <w:sz w:val="22"/>
          <w:szCs w:val="22"/>
          <w:lang w:val="sk-SK"/>
        </w:rPr>
        <w:br/>
      </w:r>
      <w:r w:rsidRPr="00A86D27">
        <w:rPr>
          <w:rFonts w:ascii="Cambria" w:hAnsi="Cambria"/>
          <w:sz w:val="22"/>
          <w:szCs w:val="22"/>
          <w:lang w:val="sk-SK"/>
        </w:rPr>
        <w:t>k Servisnej zmluve, v ktorej sú v čl. XIV ods. 1 uvedené spôsoby ukončenia Servisnej zmluvy a to :</w:t>
      </w:r>
    </w:p>
    <w:p w14:paraId="75DB188C"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„1. Servisná zmluvy zaniká:</w:t>
      </w:r>
    </w:p>
    <w:p w14:paraId="7149A0C7"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a) uplynutím doby, na ktorú bola uzavretá,</w:t>
      </w:r>
    </w:p>
    <w:p w14:paraId="30A9DE1E"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b) písomnou dohodou zmluvných strán,</w:t>
      </w:r>
    </w:p>
    <w:p w14:paraId="7FBAE70E"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c) odstúpením od Servisnej zmluvy,</w:t>
      </w:r>
    </w:p>
    <w:p w14:paraId="403F1333"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d) výpoveďou zo strany objednávateľa aj bez uvedenia dôvodu s trojmesačnou výpovednou lehotou, pričom výpovedná lehota začína plynúť prvým dňom mesiaca nasledujúceho po mesiaci, v ktorom bola písomná výpoveď riadne doručená poskytovateľovi. V tomto prípade je poskytovateľ povinný objednávateľovi po dobu troch mesiacov od doručenia písomnej výpovede</w:t>
      </w:r>
    </w:p>
    <w:p w14:paraId="4ED062F8"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plniť záväzky plynúce zo Servisnej zmluvy. V prípade porušenia tejto povinnosti je poskytovateľ povinný nahradiť škody, ktoré by objednávateľovi vznikli neplnením povinností vyplývajúcich </w:t>
      </w:r>
    </w:p>
    <w:p w14:paraId="2B719CF6"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z tejto zmluvy“.</w:t>
      </w:r>
    </w:p>
    <w:p w14:paraId="409F4D2D"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Podľa tohto ustanovenia, Poskytovateľ nemá možnosť vypovedania Servisnej zmluvy iba Objednávateľ, ktorá je uzatvorená na dobu určitú 36 mesiacov s možnosťou Opcie1 – predĺženia </w:t>
      </w:r>
      <w:r w:rsidRPr="00A86D27">
        <w:rPr>
          <w:rFonts w:ascii="Cambria" w:hAnsi="Cambria"/>
          <w:sz w:val="22"/>
          <w:szCs w:val="22"/>
          <w:lang w:val="sk-SK"/>
        </w:rPr>
        <w:lastRenderedPageBreak/>
        <w:t>zmluvy na ďalšie 2 roky. To zn., že reálne Servisná zmluva môže trvať 5 rokov odo dňa dodania informačného systému DWH podľa návrhu Zmluvy o dielo, ktorá je uzavretá tiež na 36 mesiacov. Zároveň podľa návrhu Servisnej zmluvy ods. 6.7 čl. VI zmluvy si Objednávateľ vyhradzuje právo uplatniť zmluvnú pokutu, ak poskytovateľ nedodrží záväzok poskytovať Servisné služby v súlade s Opcoiu1 uplatnenými Objednávateľom podľa Servisnej zmluvy vo výške 150 00,-EUR bez DPH.</w:t>
      </w:r>
    </w:p>
    <w:p w14:paraId="3A609FF3"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Vzhľadom na dĺžku trvania Servisnej zmluvy a v nej uvedených prísnych podmienok pre Poskytovateľa, ako aj s ohľadom aj na dĺžku trvania Zmluvy o dielo nemožnosť výpovede Servisnej</w:t>
      </w:r>
    </w:p>
    <w:p w14:paraId="27E4F6A2"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zmluvy zo strany Poskytovateľa vytvára hrubú nerovnováhu medzi právami a povinnosťami Objednávateľa a Poskytovateľa.</w:t>
      </w:r>
    </w:p>
    <w:p w14:paraId="15D67806"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Naše otázka:</w:t>
      </w:r>
    </w:p>
    <w:p w14:paraId="5FC7497B"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Vzhľadom k tomu, že podľa ods. 9.12 čl. IX Servisnej zmluvy „ V prípade rozporu medzi ustanoveniami tejto Servisnej zmluvy a ustanoveniami uvedenými vo všeobecných podmienkach majú odchylné ustanovenia tejto Servisnej zmluvy prednosť“, neuvažuje verejný obstarávateľ </w:t>
      </w:r>
    </w:p>
    <w:p w14:paraId="7B5AE293"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o doplnení do návrhu Servisnej zmluvy ustanovenia o možnosti výpovede zo zmluvy aj pre Poskytovateľa s výpovednou dobou napr. 6 mesiacov ?</w:t>
      </w:r>
    </w:p>
    <w:p w14:paraId="492B8D9B" w14:textId="77777777" w:rsidR="00D12A14" w:rsidRPr="00D12A14" w:rsidRDefault="00D12A14" w:rsidP="00D12A14">
      <w:pPr>
        <w:jc w:val="both"/>
        <w:rPr>
          <w:rFonts w:ascii="Cambria" w:hAnsi="Cambria"/>
          <w:b/>
          <w:sz w:val="22"/>
          <w:szCs w:val="22"/>
          <w:u w:val="single"/>
          <w:lang w:val="sk-SK"/>
        </w:rPr>
      </w:pPr>
      <w:bookmarkStart w:id="9" w:name="_Hlk115427732"/>
      <w:r w:rsidRPr="00763560">
        <w:rPr>
          <w:rFonts w:ascii="Cambria" w:hAnsi="Cambria"/>
          <w:b/>
          <w:sz w:val="22"/>
          <w:szCs w:val="22"/>
          <w:u w:val="single"/>
          <w:lang w:val="sk-SK"/>
        </w:rPr>
        <w:t xml:space="preserve">Odpoveď: </w:t>
      </w:r>
    </w:p>
    <w:bookmarkEnd w:id="9"/>
    <w:p w14:paraId="16B9D3AD" w14:textId="31385CED"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Verejný obstarávateľ si týmto dovoľuje uviesť, že vzhľadom na vyváženie práv a povinností upravených v návrhu Servisnej zmluvy v spojitosti so snahou verejného obstarávateľa</w:t>
      </w:r>
      <w:r w:rsidR="00D12A14">
        <w:rPr>
          <w:rFonts w:ascii="Cambria" w:hAnsi="Cambria"/>
          <w:sz w:val="22"/>
          <w:szCs w:val="22"/>
          <w:lang w:val="sk-SK"/>
        </w:rPr>
        <w:t>,</w:t>
      </w:r>
      <w:r w:rsidRPr="00A86D27">
        <w:rPr>
          <w:rFonts w:ascii="Cambria" w:hAnsi="Cambria"/>
          <w:sz w:val="22"/>
          <w:szCs w:val="22"/>
          <w:lang w:val="sk-SK"/>
        </w:rPr>
        <w:t xml:space="preserve"> aby </w:t>
      </w:r>
      <w:r w:rsidR="000E1C30">
        <w:rPr>
          <w:rFonts w:ascii="Cambria" w:hAnsi="Cambria"/>
          <w:sz w:val="22"/>
          <w:szCs w:val="22"/>
          <w:lang w:val="sk-SK"/>
        </w:rPr>
        <w:t>relatívne</w:t>
      </w:r>
      <w:r w:rsidR="00FD148B">
        <w:rPr>
          <w:rFonts w:ascii="Cambria" w:hAnsi="Cambria"/>
          <w:sz w:val="22"/>
          <w:szCs w:val="22"/>
          <w:lang w:val="sk-SK"/>
        </w:rPr>
        <w:t xml:space="preserve"> prísne</w:t>
      </w:r>
      <w:r w:rsidR="000E1C30">
        <w:rPr>
          <w:rFonts w:ascii="Cambria" w:hAnsi="Cambria"/>
          <w:sz w:val="22"/>
          <w:szCs w:val="22"/>
          <w:lang w:val="sk-SK"/>
        </w:rPr>
        <w:t xml:space="preserve"> </w:t>
      </w:r>
      <w:r w:rsidRPr="00A86D27">
        <w:rPr>
          <w:rFonts w:ascii="Cambria" w:hAnsi="Cambria"/>
          <w:sz w:val="22"/>
          <w:szCs w:val="22"/>
          <w:lang w:val="sk-SK"/>
        </w:rPr>
        <w:t xml:space="preserve">nastavené zmluvné podmienky neodradili záujemcu resp. hospodársky subjekt od predloženia ponuky v tejto zákazke a zároveň neznižovali zmluvné postavenie verejného obstarávateľa-objednávateľa, upravuje Prílohu č. 1: Všeobecné podmienky k Servisnej zmluve, </w:t>
      </w:r>
      <w:r w:rsidR="000E1C30">
        <w:rPr>
          <w:rFonts w:ascii="Cambria" w:hAnsi="Cambria"/>
          <w:sz w:val="22"/>
          <w:szCs w:val="22"/>
          <w:lang w:val="sk-SK"/>
        </w:rPr>
        <w:br/>
      </w:r>
      <w:r w:rsidRPr="00A86D27">
        <w:rPr>
          <w:rFonts w:ascii="Cambria" w:hAnsi="Cambria"/>
          <w:sz w:val="22"/>
          <w:szCs w:val="22"/>
          <w:lang w:val="sk-SK"/>
        </w:rPr>
        <w:t>a to tak, že v článku XIV ods. 1 písm. d) za slová „</w:t>
      </w:r>
      <w:r w:rsidR="00FD148B">
        <w:rPr>
          <w:rFonts w:ascii="Cambria" w:hAnsi="Cambria"/>
          <w:sz w:val="22"/>
          <w:szCs w:val="22"/>
          <w:lang w:val="sk-SK"/>
        </w:rPr>
        <w:t>...</w:t>
      </w:r>
      <w:r w:rsidRPr="00A86D27">
        <w:rPr>
          <w:rFonts w:ascii="Cambria" w:hAnsi="Cambria"/>
          <w:sz w:val="22"/>
          <w:szCs w:val="22"/>
          <w:lang w:val="sk-SK"/>
        </w:rPr>
        <w:t>trojmesačnou výpovednou lehotou</w:t>
      </w:r>
      <w:r w:rsidR="00FD148B">
        <w:rPr>
          <w:rFonts w:ascii="Cambria" w:hAnsi="Cambria"/>
          <w:sz w:val="22"/>
          <w:szCs w:val="22"/>
          <w:lang w:val="sk-SK"/>
        </w:rPr>
        <w:t>...</w:t>
      </w:r>
      <w:r w:rsidRPr="00A86D27">
        <w:rPr>
          <w:rFonts w:ascii="Cambria" w:hAnsi="Cambria"/>
          <w:sz w:val="22"/>
          <w:szCs w:val="22"/>
          <w:lang w:val="sk-SK"/>
        </w:rPr>
        <w:t>“ dopĺňa slová, ktoré znejú: „a výpoveďou poskytovateľa aj bez uvedenia dôvodu so šesťmesačnou  výpovednou lehotou, ...“</w:t>
      </w:r>
      <w:r w:rsidR="006D48DF">
        <w:rPr>
          <w:rFonts w:ascii="Cambria" w:hAnsi="Cambria"/>
          <w:sz w:val="22"/>
          <w:szCs w:val="22"/>
          <w:lang w:val="sk-SK"/>
        </w:rPr>
        <w:t>, zároveň nahradzuje slovo „poskytovateľovi“ slovami „druhej zmluvnej strane“ a nahradzuje slová „troch mesiacov“ slovami „plynutia výpovednej lehoty“.</w:t>
      </w:r>
    </w:p>
    <w:p w14:paraId="71FA630B" w14:textId="77777777" w:rsidR="00A86D27" w:rsidRPr="00A86D27" w:rsidRDefault="00A86D27" w:rsidP="00D12A14">
      <w:pPr>
        <w:jc w:val="both"/>
        <w:rPr>
          <w:rFonts w:ascii="Cambria" w:hAnsi="Cambria"/>
          <w:sz w:val="22"/>
          <w:szCs w:val="22"/>
          <w:lang w:val="sk-SK"/>
        </w:rPr>
      </w:pPr>
    </w:p>
    <w:p w14:paraId="73A0A4E7" w14:textId="24F6AECA" w:rsidR="00894D94" w:rsidRPr="006E1EB9" w:rsidRDefault="00894D94" w:rsidP="00894D94">
      <w:pPr>
        <w:jc w:val="both"/>
        <w:rPr>
          <w:rFonts w:ascii="Cambria" w:hAnsi="Cambria"/>
          <w:b/>
          <w:sz w:val="22"/>
          <w:u w:val="single"/>
          <w:lang w:val="sk-SK"/>
        </w:rPr>
      </w:pPr>
      <w:bookmarkStart w:id="10" w:name="_Hlk115427796"/>
      <w:r w:rsidRPr="006E1EB9">
        <w:rPr>
          <w:rFonts w:ascii="Cambria" w:hAnsi="Cambria"/>
          <w:b/>
          <w:sz w:val="22"/>
          <w:u w:val="single"/>
          <w:lang w:val="sk-SK"/>
        </w:rPr>
        <w:t>Otázka č. 20</w:t>
      </w:r>
    </w:p>
    <w:bookmarkEnd w:id="10"/>
    <w:p w14:paraId="51B0DF96"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K Servisnej zmluve </w:t>
      </w:r>
    </w:p>
    <w:p w14:paraId="097E6340"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V návrhu Servisnej zmluvy je uvedené ods. 6.2. čl. XI , že: </w:t>
      </w:r>
    </w:p>
    <w:p w14:paraId="50B234FD"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„Objednávateľ si vyhradzuje právo uplatniť Opciu 1 u poskytovateľa na ďalšie poskytovanie Servisných služieb za rovnakú cenu, v rozsahu a za rovnakých podmienok uvedených v tejto Servisnej zmluve. Uplatnenie Opcie 1 predstavuje predĺženie trvania tejto Servisnej zmluvy spolu o ďalšie 2 roky (24 mesiacov). Poskytovateľ sa zaväzuje poskytovať Servisné služby podľa tejto Servisnej zmluvy, na ktoré si objednávateľ uplatnil Opciu 1“. </w:t>
      </w:r>
    </w:p>
    <w:p w14:paraId="5FA7A43A"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V súčasnej dobe nie je možné stanoviť ceny za služby podľa Servisnej zmluvy na obdobie 5 rokov, bez toho, aby sa zmenila ich výška, s prihliadnutím na to, že zo Servisnej zmluvy sa reálne začne plniť až po troch rokoch od jej uzatvorenia, čiže uchádzač by mal uviesť ceny vo svojej ponuke za jednotlivé služby podľa Servisnej zmluvy, ktoré budú reálne aj o cca 8 rokov, čo nie je vzhľadom na súčasnú situáciu nezastaviteľného rastu cien, infláciu a politickú situáciu v Európe možné. </w:t>
      </w:r>
    </w:p>
    <w:p w14:paraId="3D542880" w14:textId="182473FD"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Jednou z úloh verejného obstarávateľa ako najvyššej inštancia dohľadu nad finančným trhom je vykonávať dohľad a prispievať k stabilite finančného systému ako celku, k jeho bezpečnému </w:t>
      </w:r>
      <w:r w:rsidR="000E1C30">
        <w:rPr>
          <w:rFonts w:ascii="Cambria" w:hAnsi="Cambria"/>
          <w:sz w:val="22"/>
          <w:szCs w:val="22"/>
          <w:lang w:val="sk-SK"/>
        </w:rPr>
        <w:br/>
      </w:r>
      <w:r w:rsidRPr="00A86D27">
        <w:rPr>
          <w:rFonts w:ascii="Cambria" w:hAnsi="Cambria"/>
          <w:sz w:val="22"/>
          <w:szCs w:val="22"/>
          <w:lang w:val="sk-SK"/>
        </w:rPr>
        <w:t xml:space="preserve">a zdravému fungovaniu v záujme udržiavania jeho dôveryhodnosti, ochrany klientov </w:t>
      </w:r>
      <w:r w:rsidR="000E1C30">
        <w:rPr>
          <w:rFonts w:ascii="Cambria" w:hAnsi="Cambria"/>
          <w:sz w:val="22"/>
          <w:szCs w:val="22"/>
          <w:lang w:val="sk-SK"/>
        </w:rPr>
        <w:br/>
      </w:r>
      <w:r w:rsidRPr="00A86D27">
        <w:rPr>
          <w:rFonts w:ascii="Cambria" w:hAnsi="Cambria"/>
          <w:sz w:val="22"/>
          <w:szCs w:val="22"/>
          <w:lang w:val="sk-SK"/>
        </w:rPr>
        <w:t xml:space="preserve">a rešpektovania pravidiel hospodárskej súťaže. To zn., že by mala prispievať k vytváraniu priaznivého ekonomického prostredia aj pre svojich poskytovateľov služieb. </w:t>
      </w:r>
    </w:p>
    <w:p w14:paraId="60A291C3"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Naša otázka: </w:t>
      </w:r>
    </w:p>
    <w:p w14:paraId="4D2AF81B" w14:textId="66E7F289"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Neuvažuje verejný obstarávateľ do Servisnej zmluvy doplniť ustanovenie o možnosti zmeny ceny v prípade uplatnenia Opcie1 , t.j. až po troch rokoch plnenia zo Servisnej zmluvy napr. formou inflačnej doložky, a teda možnosť zmeny cien uvedených v prílohe č. 3 v návrhu Servisnej zmluvy - Špecifikáca ceny, TABUĽKA č. 1b Ceny za poskytovanie služieb Podpora a Údržba – OPCIA 1 , TABUĽKA č. 2b Cena za poskytovanie služby Konzultácie na pracovisku objednávateľa, Školenia </w:t>
      </w:r>
      <w:r w:rsidR="00894D94">
        <w:rPr>
          <w:rFonts w:ascii="Cambria" w:hAnsi="Cambria"/>
          <w:sz w:val="22"/>
          <w:szCs w:val="22"/>
          <w:lang w:val="sk-SK"/>
        </w:rPr>
        <w:br/>
      </w:r>
      <w:r w:rsidRPr="00A86D27">
        <w:rPr>
          <w:rFonts w:ascii="Cambria" w:hAnsi="Cambria"/>
          <w:sz w:val="22"/>
          <w:szCs w:val="22"/>
          <w:lang w:val="sk-SK"/>
        </w:rPr>
        <w:t>a Implementácia – OPCIA 1 a TABUĽKA č. 3b Cena za podporu SW tretích strán pre dodávaný systém – OPCIA 1 formou písomného dodatku k Servisnej zmluve?</w:t>
      </w:r>
    </w:p>
    <w:p w14:paraId="40C4DC21" w14:textId="77777777" w:rsidR="00894D94" w:rsidRPr="00D12A14" w:rsidRDefault="00894D94" w:rsidP="00894D94">
      <w:pPr>
        <w:jc w:val="both"/>
        <w:rPr>
          <w:rFonts w:ascii="Cambria" w:hAnsi="Cambria"/>
          <w:b/>
          <w:sz w:val="22"/>
          <w:szCs w:val="22"/>
          <w:u w:val="single"/>
          <w:lang w:val="sk-SK"/>
        </w:rPr>
      </w:pPr>
      <w:bookmarkStart w:id="11" w:name="_Hlk115427823"/>
      <w:r w:rsidRPr="00763560">
        <w:rPr>
          <w:rFonts w:ascii="Cambria" w:hAnsi="Cambria"/>
          <w:b/>
          <w:sz w:val="22"/>
          <w:szCs w:val="22"/>
          <w:u w:val="single"/>
          <w:lang w:val="sk-SK"/>
        </w:rPr>
        <w:t xml:space="preserve">Odpoveď: </w:t>
      </w:r>
    </w:p>
    <w:bookmarkEnd w:id="11"/>
    <w:p w14:paraId="496F22BC" w14:textId="67BD76E4"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lastRenderedPageBreak/>
        <w:t xml:space="preserve">Verejný obstarávateľ uvádza, že aj bez doplnenia osobitného ustanovenia, ktoré navrhujete, môže v prípade nevyhnutnej potreby verejný obstarávateľ dohodnúť navýšenie ceny za predmetné služby OPCIE 1, a to formou písomného dodatku k Servisnej zmluve a za splnenia požiadaviek </w:t>
      </w:r>
      <w:r w:rsidR="00894D94">
        <w:rPr>
          <w:rFonts w:ascii="Cambria" w:hAnsi="Cambria"/>
          <w:sz w:val="22"/>
          <w:szCs w:val="22"/>
          <w:lang w:val="sk-SK"/>
        </w:rPr>
        <w:br/>
      </w:r>
      <w:r w:rsidRPr="00A86D27">
        <w:rPr>
          <w:rFonts w:ascii="Cambria" w:hAnsi="Cambria"/>
          <w:sz w:val="22"/>
          <w:szCs w:val="22"/>
          <w:lang w:val="sk-SK"/>
        </w:rPr>
        <w:t>§ 18 zákona č. 343/2015 Z. z. zákon o verejnom obstarávaní a o zmene a doplnení niektorých zákonov v znení neskorších predpisov</w:t>
      </w:r>
      <w:r w:rsidR="00D84AAB">
        <w:rPr>
          <w:rFonts w:ascii="Cambria" w:hAnsi="Cambria"/>
          <w:sz w:val="22"/>
          <w:szCs w:val="22"/>
          <w:lang w:val="sk-SK"/>
        </w:rPr>
        <w:t xml:space="preserve"> a preto nebude dopĺňať osobitné ustanovenie o možnosti zmeny ceny OPCIE 1</w:t>
      </w:r>
      <w:r w:rsidRPr="00A86D27">
        <w:rPr>
          <w:rFonts w:ascii="Cambria" w:hAnsi="Cambria"/>
          <w:sz w:val="22"/>
          <w:szCs w:val="22"/>
          <w:lang w:val="sk-SK"/>
        </w:rPr>
        <w:t xml:space="preserve">. </w:t>
      </w:r>
    </w:p>
    <w:p w14:paraId="479470C5" w14:textId="77777777" w:rsidR="00A86D27" w:rsidRPr="00A86D27" w:rsidRDefault="00A86D27" w:rsidP="00D12A14">
      <w:pPr>
        <w:jc w:val="both"/>
        <w:rPr>
          <w:rFonts w:ascii="Cambria" w:hAnsi="Cambria"/>
          <w:sz w:val="22"/>
          <w:szCs w:val="22"/>
          <w:lang w:val="sk-SK"/>
        </w:rPr>
      </w:pPr>
    </w:p>
    <w:p w14:paraId="192631C7" w14:textId="4CC5BBBC" w:rsidR="00894D94" w:rsidRPr="006E1EB9" w:rsidRDefault="00894D94" w:rsidP="00894D94">
      <w:pPr>
        <w:jc w:val="both"/>
        <w:rPr>
          <w:rFonts w:ascii="Cambria" w:hAnsi="Cambria"/>
          <w:b/>
          <w:sz w:val="22"/>
          <w:u w:val="single"/>
          <w:lang w:val="sk-SK"/>
        </w:rPr>
      </w:pPr>
      <w:r w:rsidRPr="006E1EB9">
        <w:rPr>
          <w:rFonts w:ascii="Cambria" w:hAnsi="Cambria"/>
          <w:b/>
          <w:sz w:val="22"/>
          <w:u w:val="single"/>
          <w:lang w:val="sk-SK"/>
        </w:rPr>
        <w:t>Otázka č. 21</w:t>
      </w:r>
    </w:p>
    <w:p w14:paraId="1E7AB315" w14:textId="5262774F"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V Prílohe č. 1 k časti A.3 KRITÉRIÁ NA VYHODNOTENIE PONÚK A PRAVIDLÁ ICH UPLATNENIA „Návrh na plnenie kritérií na vyhodnotenie ponúk „ Súťažných podkladov je potrebné naceniť </w:t>
      </w:r>
      <w:r w:rsidR="00D22269">
        <w:rPr>
          <w:rFonts w:ascii="Cambria" w:hAnsi="Cambria"/>
          <w:sz w:val="22"/>
          <w:szCs w:val="22"/>
          <w:lang w:val="sk-SK"/>
        </w:rPr>
        <w:br/>
      </w:r>
      <w:r w:rsidRPr="00A86D27">
        <w:rPr>
          <w:rFonts w:ascii="Cambria" w:hAnsi="Cambria"/>
          <w:sz w:val="22"/>
          <w:szCs w:val="22"/>
          <w:lang w:val="sk-SK"/>
        </w:rPr>
        <w:t xml:space="preserve">v častiach ceny pod písmenonami E,F,G,H,I naceniť „ osobodeň“, ale zároveň v prílohe č. 3 v návrhu Servisnej zmluvy - Špecifikáca ceny je uvedený tabuľkách č. 2a č. 2b a č.4 „ Predpokladaný maximálny počet osobohodín počas doby trvania Servisnej zmluvy“ a je potrebné uviesť </w:t>
      </w:r>
      <w:r w:rsidR="00D22269">
        <w:rPr>
          <w:rFonts w:ascii="Cambria" w:hAnsi="Cambria"/>
          <w:sz w:val="22"/>
          <w:szCs w:val="22"/>
          <w:lang w:val="sk-SK"/>
        </w:rPr>
        <w:br/>
      </w:r>
      <w:r w:rsidRPr="00A86D27">
        <w:rPr>
          <w:rFonts w:ascii="Cambria" w:hAnsi="Cambria"/>
          <w:sz w:val="22"/>
          <w:szCs w:val="22"/>
          <w:lang w:val="sk-SK"/>
        </w:rPr>
        <w:t xml:space="preserve">v jednotlivých tabuľkách 2a a 2b „Cena v EUR bez DPH za osobohodinu“. </w:t>
      </w:r>
    </w:p>
    <w:p w14:paraId="6435014C"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Naša otázka: </w:t>
      </w:r>
    </w:p>
    <w:p w14:paraId="607FA430"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Môže verejný obstarávateľ vysvetliť túto nezrovnalosť a uviesť, ako má uchádzač naceniť jednotlivé vyššie uvedené tabuľky v prílohách č. 1 k časti A.3 KRITÉRIÁ NA VYHODNOTENIE PONÚK A PRAVIDLÁ ICH UPLATNENIA „Návrh na plnenie kritérií na vyhodnotenie ponúk „ Súťažných podkladov a v prílohe č. 3 v návrhu Servisnej zmluvy - Špecifikáca ceny, či ako osobohodinu alebo ako osobodeň?</w:t>
      </w:r>
    </w:p>
    <w:p w14:paraId="7FE5AF06" w14:textId="77777777" w:rsidR="00D22269" w:rsidRPr="00D12A14" w:rsidRDefault="00D22269" w:rsidP="00D22269">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46DED235" w14:textId="1E8D4C88"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Verejný obstarávateľ v záujme vylúčenia pochybnosti a predchádzania vzniku nezrovnalosti alebo nejasnosti v budúcich ponukách uchádzačov uvádza, že v</w:t>
      </w:r>
      <w:r w:rsidR="00FD148B">
        <w:rPr>
          <w:rFonts w:ascii="Cambria" w:hAnsi="Cambria"/>
          <w:sz w:val="22"/>
          <w:szCs w:val="22"/>
          <w:lang w:val="sk-SK"/>
        </w:rPr>
        <w:t xml:space="preserve"> celej</w:t>
      </w:r>
      <w:r w:rsidRPr="00A86D27">
        <w:rPr>
          <w:rFonts w:ascii="Cambria" w:hAnsi="Cambria"/>
          <w:sz w:val="22"/>
          <w:szCs w:val="22"/>
          <w:lang w:val="sk-SK"/>
        </w:rPr>
        <w:t xml:space="preserve"> Prílohe č. 3 k Servisnej zmluve – Špecifikácia ceny týmto nahradzuje slovo „osobohodina“ slovom „osobodeň“ v príslušnom gramatickom tvare, čím zjednocuje požiadavku verejného obstarávateľa na uvádzanie naceňovania v prílohách č. 1 k časti A.3 KRITÉRIÁ NA VYHODNOTENIE PONÚK A PRAVIDLÁ ICH UPLATNENIA „Návrh na plnenie kritérií na vyhodnotenie ponúk„ Súťažných podkladov a v prílohe č. 3 v návrhu Servisnej zmluvy - </w:t>
      </w:r>
      <w:r w:rsidR="00FD148B" w:rsidRPr="00A86D27">
        <w:rPr>
          <w:rFonts w:ascii="Cambria" w:hAnsi="Cambria"/>
          <w:sz w:val="22"/>
          <w:szCs w:val="22"/>
          <w:lang w:val="sk-SK"/>
        </w:rPr>
        <w:t>Špecifikácia</w:t>
      </w:r>
      <w:r w:rsidRPr="00A86D27">
        <w:rPr>
          <w:rFonts w:ascii="Cambria" w:hAnsi="Cambria"/>
          <w:sz w:val="22"/>
          <w:szCs w:val="22"/>
          <w:lang w:val="sk-SK"/>
        </w:rPr>
        <w:t xml:space="preserve"> ceny.</w:t>
      </w:r>
    </w:p>
    <w:p w14:paraId="6D33098D" w14:textId="77777777" w:rsidR="00A86D27" w:rsidRPr="00A86D27" w:rsidRDefault="00A86D27" w:rsidP="00D12A14">
      <w:pPr>
        <w:jc w:val="both"/>
        <w:rPr>
          <w:rFonts w:ascii="Cambria" w:hAnsi="Cambria"/>
          <w:sz w:val="22"/>
          <w:szCs w:val="22"/>
          <w:lang w:val="sk-SK"/>
        </w:rPr>
      </w:pPr>
    </w:p>
    <w:p w14:paraId="1B3630C0" w14:textId="4FED09AE" w:rsidR="00D22269" w:rsidRPr="006E1EB9" w:rsidRDefault="00D22269" w:rsidP="00D22269">
      <w:pPr>
        <w:jc w:val="both"/>
        <w:rPr>
          <w:rFonts w:ascii="Cambria" w:hAnsi="Cambria"/>
          <w:b/>
          <w:sz w:val="22"/>
          <w:u w:val="single"/>
          <w:lang w:val="sk-SK"/>
        </w:rPr>
      </w:pPr>
      <w:bookmarkStart w:id="12" w:name="_Hlk115671837"/>
      <w:r w:rsidRPr="006E1EB9">
        <w:rPr>
          <w:rFonts w:ascii="Cambria" w:hAnsi="Cambria"/>
          <w:b/>
          <w:sz w:val="22"/>
          <w:u w:val="single"/>
          <w:lang w:val="sk-SK"/>
        </w:rPr>
        <w:t>Otázka č. 22</w:t>
      </w:r>
    </w:p>
    <w:bookmarkEnd w:id="12"/>
    <w:p w14:paraId="280F218F"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K Zmluvy o dielo a návrhu servisnej zmluvy – zmluvné pokuty </w:t>
      </w:r>
    </w:p>
    <w:p w14:paraId="3A9466B1" w14:textId="77777777" w:rsidR="00D22269" w:rsidRDefault="00A86D27" w:rsidP="00D12A14">
      <w:pPr>
        <w:jc w:val="both"/>
        <w:rPr>
          <w:rFonts w:ascii="Cambria" w:hAnsi="Cambria"/>
          <w:sz w:val="22"/>
          <w:szCs w:val="22"/>
          <w:lang w:val="sk-SK"/>
        </w:rPr>
      </w:pPr>
      <w:r w:rsidRPr="00A86D27">
        <w:rPr>
          <w:rFonts w:ascii="Cambria" w:hAnsi="Cambria"/>
          <w:sz w:val="22"/>
          <w:szCs w:val="22"/>
          <w:lang w:val="sk-SK"/>
        </w:rPr>
        <w:t>Výška zmluvných pokút uvedených Zmluve o dielo (v jej viacerých ustanoveniach) sú vyjadrené</w:t>
      </w:r>
    </w:p>
    <w:p w14:paraId="678725D7" w14:textId="78808C1A"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v EUR bez DPH aj v % a v návrhu Servisnej zmluvy v čl. V a čl. VI sú vyjadrené v EUR bez DPH . Zmluvná pokuta nie je ani dodaním tovaru, ani dodaním dodaním služby. V zmysle § 2 zákona </w:t>
      </w:r>
      <w:r w:rsidR="00D22269">
        <w:rPr>
          <w:rFonts w:ascii="Cambria" w:hAnsi="Cambria"/>
          <w:sz w:val="22"/>
          <w:szCs w:val="22"/>
          <w:lang w:val="sk-SK"/>
        </w:rPr>
        <w:br/>
      </w:r>
      <w:r w:rsidRPr="00A86D27">
        <w:rPr>
          <w:rFonts w:ascii="Cambria" w:hAnsi="Cambria"/>
          <w:sz w:val="22"/>
          <w:szCs w:val="22"/>
          <w:lang w:val="sk-SK"/>
        </w:rPr>
        <w:t xml:space="preserve">č. 222/2004 Z. z. o dani z pridanej hodnoty nie je zmluvná pokuta predmetom dane, a z tohto dôvodu by zmluvné pokuty nemali byť predmetom DPH. </w:t>
      </w:r>
    </w:p>
    <w:p w14:paraId="46C3A077"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 xml:space="preserve">Naša otázka : </w:t>
      </w:r>
    </w:p>
    <w:p w14:paraId="59EFDCA1" w14:textId="77777777" w:rsidR="00A86D27" w:rsidRPr="00A86D27" w:rsidRDefault="00A86D27" w:rsidP="00D12A14">
      <w:pPr>
        <w:jc w:val="both"/>
        <w:rPr>
          <w:rFonts w:ascii="Cambria" w:hAnsi="Cambria"/>
          <w:sz w:val="22"/>
          <w:szCs w:val="22"/>
          <w:lang w:val="sk-SK"/>
        </w:rPr>
      </w:pPr>
      <w:r w:rsidRPr="00A86D27">
        <w:rPr>
          <w:rFonts w:ascii="Cambria" w:hAnsi="Cambria"/>
          <w:sz w:val="22"/>
          <w:szCs w:val="22"/>
          <w:lang w:val="sk-SK"/>
        </w:rPr>
        <w:t>Žiadame verejného obstarávateľa o vysvetlenie, či v prípade uplatnenia niektorej zo zmluvných pokút Objednávateľom podľa Zmluvy o dielo a Servisnej zmluvy bude výška zmluvnej pokuty navyšená ešte aj o výšku DPH?</w:t>
      </w:r>
    </w:p>
    <w:p w14:paraId="67691377" w14:textId="77777777" w:rsidR="00D22269" w:rsidRPr="00D12A14" w:rsidRDefault="00D22269" w:rsidP="00D22269">
      <w:pPr>
        <w:jc w:val="both"/>
        <w:rPr>
          <w:rFonts w:ascii="Cambria" w:hAnsi="Cambria"/>
          <w:b/>
          <w:sz w:val="22"/>
          <w:szCs w:val="22"/>
          <w:u w:val="single"/>
          <w:lang w:val="sk-SK"/>
        </w:rPr>
      </w:pPr>
      <w:r w:rsidRPr="00763560">
        <w:rPr>
          <w:rFonts w:ascii="Cambria" w:hAnsi="Cambria"/>
          <w:b/>
          <w:sz w:val="22"/>
          <w:szCs w:val="22"/>
          <w:u w:val="single"/>
          <w:lang w:val="sk-SK"/>
        </w:rPr>
        <w:t xml:space="preserve">Odpoveď: </w:t>
      </w:r>
    </w:p>
    <w:p w14:paraId="13307E1A" w14:textId="035B0B07" w:rsidR="00A859B8" w:rsidRDefault="00A86D27" w:rsidP="00D12A14">
      <w:pPr>
        <w:jc w:val="both"/>
        <w:rPr>
          <w:rFonts w:ascii="Cambria" w:hAnsi="Cambria"/>
          <w:sz w:val="22"/>
          <w:szCs w:val="22"/>
          <w:lang w:val="sk-SK"/>
        </w:rPr>
      </w:pPr>
      <w:r w:rsidRPr="00A86D27">
        <w:rPr>
          <w:rFonts w:ascii="Cambria" w:hAnsi="Cambria"/>
          <w:sz w:val="22"/>
          <w:szCs w:val="22"/>
          <w:lang w:val="sk-SK"/>
        </w:rPr>
        <w:t xml:space="preserve">Verejný obstarávateľ uvádza, že zmluvné pokuty nie sú predmetom DPH, preto verejný obstarávateľ zároveň uvádza, že v prípade uplatnenia zmluvnej pokuty podľa Zmluvy o dielo </w:t>
      </w:r>
      <w:r w:rsidR="00D22269">
        <w:rPr>
          <w:rFonts w:ascii="Cambria" w:hAnsi="Cambria"/>
          <w:sz w:val="22"/>
          <w:szCs w:val="22"/>
          <w:lang w:val="sk-SK"/>
        </w:rPr>
        <w:br/>
      </w:r>
      <w:r w:rsidRPr="00A86D27">
        <w:rPr>
          <w:rFonts w:ascii="Cambria" w:hAnsi="Cambria"/>
          <w:sz w:val="22"/>
          <w:szCs w:val="22"/>
          <w:lang w:val="sk-SK"/>
        </w:rPr>
        <w:t>a Servisnej zmluvy k tejto zákazke nebude táto navýšená o výšku DPH.</w:t>
      </w:r>
    </w:p>
    <w:p w14:paraId="56C2B6ED" w14:textId="06F08276" w:rsidR="00D819F8" w:rsidRDefault="00D819F8" w:rsidP="00D12A14">
      <w:pPr>
        <w:jc w:val="both"/>
        <w:rPr>
          <w:rFonts w:ascii="Cambria" w:hAnsi="Cambria"/>
          <w:sz w:val="22"/>
          <w:szCs w:val="22"/>
          <w:lang w:val="sk-SK"/>
        </w:rPr>
      </w:pPr>
    </w:p>
    <w:p w14:paraId="04519AF6" w14:textId="68182504" w:rsidR="00D819F8" w:rsidRPr="006E1EB9" w:rsidRDefault="00D819F8" w:rsidP="003267B1">
      <w:pPr>
        <w:jc w:val="both"/>
        <w:rPr>
          <w:b/>
          <w:sz w:val="22"/>
          <w:u w:val="single"/>
        </w:rPr>
      </w:pPr>
      <w:r w:rsidRPr="006E1EB9">
        <w:rPr>
          <w:rFonts w:ascii="Cambria" w:hAnsi="Cambria"/>
          <w:b/>
          <w:sz w:val="22"/>
          <w:u w:val="single"/>
          <w:lang w:val="sk-SK"/>
        </w:rPr>
        <w:t>Otázka č. 23</w:t>
      </w:r>
    </w:p>
    <w:p w14:paraId="49B2744E" w14:textId="77777777" w:rsidR="00D819F8" w:rsidRDefault="00D819F8" w:rsidP="003267B1">
      <w:pPr>
        <w:pStyle w:val="Default"/>
        <w:jc w:val="both"/>
        <w:rPr>
          <w:sz w:val="22"/>
          <w:szCs w:val="22"/>
        </w:rPr>
      </w:pPr>
      <w:r>
        <w:t xml:space="preserve"> </w:t>
      </w:r>
      <w:r>
        <w:rPr>
          <w:sz w:val="22"/>
          <w:szCs w:val="22"/>
        </w:rPr>
        <w:t xml:space="preserve">Verejný obstarávateľ v dokumente s názvom „SÚŤAŽNÉ PODKLADY Predmet zákazky: Konsolidácia údajov DWH/BI“ (SP_DWH.docx) v bode 35.1.2.1.3 definuje minimálnu požadovanú úroveň podmienky účasti týkajúcej sa technickej alebo odbornej spôsobilosti nasledovne: </w:t>
      </w:r>
    </w:p>
    <w:p w14:paraId="5E24C33A" w14:textId="1C035190" w:rsidR="00D819F8" w:rsidRDefault="00D819F8" w:rsidP="003267B1">
      <w:pPr>
        <w:pStyle w:val="Default"/>
        <w:spacing w:after="20"/>
        <w:jc w:val="both"/>
        <w:rPr>
          <w:sz w:val="22"/>
          <w:szCs w:val="22"/>
        </w:rPr>
      </w:pPr>
      <w:r>
        <w:rPr>
          <w:sz w:val="22"/>
          <w:szCs w:val="22"/>
        </w:rPr>
        <w:t xml:space="preserve">35.1.2.1.3 „Verejný obstarávateľ požaduje, aby uchádzač predložil pri Kľúčovom expertovi č. 3 – Architekt riešenia (BigData/DataLake časť DWH) údaje, z ktorých je identifikovateľné </w:t>
      </w:r>
      <w:r>
        <w:rPr>
          <w:sz w:val="22"/>
          <w:szCs w:val="22"/>
        </w:rPr>
        <w:br/>
        <w:t xml:space="preserve">a preukázateľné splnenie nasledujúcich požiadaviek: </w:t>
      </w:r>
    </w:p>
    <w:p w14:paraId="436281AE" w14:textId="77777777" w:rsidR="00D819F8" w:rsidRDefault="00D819F8" w:rsidP="003267B1">
      <w:pPr>
        <w:pStyle w:val="Default"/>
        <w:spacing w:after="20"/>
        <w:jc w:val="both"/>
        <w:rPr>
          <w:sz w:val="22"/>
          <w:szCs w:val="22"/>
        </w:rPr>
      </w:pPr>
      <w:r>
        <w:rPr>
          <w:sz w:val="22"/>
          <w:szCs w:val="22"/>
        </w:rPr>
        <w:lastRenderedPageBreak/>
        <w:t xml:space="preserve">• Minimálne 7 rokov odbornej praxe v oblasti budovania DWH a dátovej integrácie, z toho minimálne 3 roky odbornej praxe v oblasti budovania DataLake s BigData technológiami; túto podmienku účasti uchádzač u experta preukáže profesijným životopisom. </w:t>
      </w:r>
    </w:p>
    <w:p w14:paraId="3515C27C" w14:textId="77777777" w:rsidR="00D819F8" w:rsidRDefault="00D819F8" w:rsidP="003267B1">
      <w:pPr>
        <w:pStyle w:val="Default"/>
        <w:spacing w:after="20"/>
        <w:jc w:val="both"/>
        <w:rPr>
          <w:sz w:val="22"/>
          <w:szCs w:val="22"/>
        </w:rPr>
      </w:pPr>
      <w:r>
        <w:rPr>
          <w:sz w:val="22"/>
          <w:szCs w:val="22"/>
        </w:rPr>
        <w:t xml:space="preserve">• Skúsenosti s technológiami a metódami BigData – HDFS, Hive, Hbase, Spark, Nifi, Impala, SQL, ladenie prostredí, infraštruktúra, bezpečnostných nastavení riešenia; preukazuje účasťou na predchádzajúcich projektoch v v roli Architekta, a/alebo Špecialistu ETL a/alebo Dátového dizajnéra; túto podmienku účasti uchádzač preukáže profesijným životopisom. </w:t>
      </w:r>
    </w:p>
    <w:p w14:paraId="1ED2D375" w14:textId="465CAF52" w:rsidR="00D819F8" w:rsidRDefault="00D819F8" w:rsidP="003267B1">
      <w:pPr>
        <w:pStyle w:val="Default"/>
        <w:jc w:val="both"/>
        <w:rPr>
          <w:sz w:val="22"/>
          <w:szCs w:val="22"/>
        </w:rPr>
      </w:pPr>
      <w:r>
        <w:rPr>
          <w:sz w:val="22"/>
          <w:szCs w:val="22"/>
        </w:rPr>
        <w:t xml:space="preserve">• Minimálne 1 praktická skúsenosť s realizáciou zákazky týkajúcej sa tvorby dátového skladu </w:t>
      </w:r>
      <w:r>
        <w:rPr>
          <w:sz w:val="22"/>
          <w:szCs w:val="22"/>
        </w:rPr>
        <w:br/>
        <w:t xml:space="preserve">s minimálnym počtom 15 integrovaných systémov (nie objektov) na pozícii dátového architekta s tým, že na projekte musel odpracovať minimálne 200 osobodní (osobodeň znamená jedna (1) osoba a osem (8) hodín práce počas pracovnej doby (napr. od 8.00 h do 16.00 h) počas pracovných dní, pričom sa počíta iba naplnených osem hodín) na pozícii dátového architekta; túto podmienku účasti uchádzač u experta preukáže profesijným životopisom. </w:t>
      </w:r>
    </w:p>
    <w:p w14:paraId="19070320" w14:textId="77777777" w:rsidR="00D819F8" w:rsidRDefault="00D819F8" w:rsidP="003267B1">
      <w:pPr>
        <w:pStyle w:val="Default"/>
        <w:jc w:val="both"/>
        <w:rPr>
          <w:sz w:val="22"/>
          <w:szCs w:val="22"/>
        </w:rPr>
      </w:pPr>
    </w:p>
    <w:p w14:paraId="3D0FB160" w14:textId="77777777" w:rsidR="00D819F8" w:rsidRDefault="00D819F8" w:rsidP="003267B1">
      <w:pPr>
        <w:pStyle w:val="Default"/>
        <w:jc w:val="both"/>
        <w:rPr>
          <w:sz w:val="22"/>
          <w:szCs w:val="22"/>
        </w:rPr>
      </w:pPr>
      <w:r>
        <w:rPr>
          <w:b/>
          <w:bCs/>
          <w:sz w:val="22"/>
          <w:szCs w:val="22"/>
        </w:rPr>
        <w:t xml:space="preserve">Kľúčový expert č. 3 je zodpovedný za celkovú architektúru DataLake časti DWH, tvorbu konceptuálneho modelu, návrh fyzického modelu, návrh data flow.“ </w:t>
      </w:r>
    </w:p>
    <w:p w14:paraId="1E14860C" w14:textId="6CBEA47E" w:rsidR="00D819F8" w:rsidRDefault="00D819F8" w:rsidP="003267B1">
      <w:pPr>
        <w:pStyle w:val="Default"/>
        <w:jc w:val="both"/>
        <w:rPr>
          <w:sz w:val="22"/>
          <w:szCs w:val="22"/>
        </w:rPr>
      </w:pPr>
      <w:r>
        <w:rPr>
          <w:b/>
          <w:bCs/>
          <w:sz w:val="22"/>
          <w:szCs w:val="22"/>
        </w:rPr>
        <w:t xml:space="preserve">Pri tomto expertovi sa nachádza identická požiadavka na minimálne jednu praktickú skúsenosť ako pri kľúčovom expertovi č. 2 – Architekt riešenia (Relačná časť DWH) uvedeného v bode 35.1.2.1.2 súťažných podkladov, pričom konkrétny identický text je nasledovný: „Minimálne 1 praktická skúsenosť s realizáciou zákazky týkajúcej sa tvorby dátového skladu s minimálnym počtom 15 integrovaných systémov (nie objektov) </w:t>
      </w:r>
      <w:r>
        <w:rPr>
          <w:b/>
          <w:bCs/>
          <w:sz w:val="22"/>
          <w:szCs w:val="22"/>
        </w:rPr>
        <w:br/>
        <w:t xml:space="preserve">v rôznych technológiách a spôsobov spracovania na pozícii architekta s tým, že na projekte musel odpracovať minimálne 200 osobodní (osobodeň znamená jedna (1) osoba a osem (8) hodín práce počas pracovnej doby (napr. od 8.00 h do 16.00 h) počas pracovných dní, pričom sa počíta iba naplnených osem hodín); túto podmienku účasti uchádzač u experta preukáže profesijným životopisom.“ </w:t>
      </w:r>
    </w:p>
    <w:p w14:paraId="3AA01222" w14:textId="77777777" w:rsidR="00A15417" w:rsidRPr="00A15417" w:rsidRDefault="00D819F8" w:rsidP="00A15417">
      <w:pPr>
        <w:pStyle w:val="Default"/>
        <w:jc w:val="both"/>
        <w:rPr>
          <w:b/>
          <w:bCs/>
          <w:sz w:val="22"/>
          <w:szCs w:val="22"/>
        </w:rPr>
      </w:pPr>
      <w:r>
        <w:rPr>
          <w:b/>
          <w:bCs/>
          <w:sz w:val="22"/>
          <w:szCs w:val="22"/>
        </w:rPr>
        <w:t xml:space="preserve">Tým, že ide o iného experta ako aj inú kompetenciu, žiadame verejného obstarávateľa </w:t>
      </w:r>
      <w:r>
        <w:rPr>
          <w:b/>
          <w:bCs/>
          <w:sz w:val="22"/>
          <w:szCs w:val="22"/>
        </w:rPr>
        <w:br/>
        <w:t xml:space="preserve">o vysvetlenie, či pri požiadavke na minimálne jednu praktickú skúsenosť kľúčového </w:t>
      </w:r>
      <w:bookmarkStart w:id="13" w:name="_Hlk115672363"/>
      <w:r>
        <w:rPr>
          <w:b/>
          <w:bCs/>
          <w:sz w:val="22"/>
          <w:szCs w:val="22"/>
        </w:rPr>
        <w:t xml:space="preserve">experta č. 3 - Architekt riešenia (BigData/DataLake časť DWH) </w:t>
      </w:r>
      <w:bookmarkEnd w:id="13"/>
      <w:r>
        <w:rPr>
          <w:b/>
          <w:bCs/>
          <w:sz w:val="22"/>
          <w:szCs w:val="22"/>
        </w:rPr>
        <w:t xml:space="preserve">nedošlo ku chybe a nemala by tam byť uvedená požiadavka na praktickú skúsenosť v nasledovnom znení: „Minimálne 1 praktická skúsenosť s realizáciou zákazky týkajúcej sa budovania Datalake s využitím BigData technológií s minimálnym počtom 15 integrovaných systémov (nie objektov) </w:t>
      </w:r>
      <w:r>
        <w:rPr>
          <w:b/>
          <w:bCs/>
          <w:sz w:val="22"/>
          <w:szCs w:val="22"/>
        </w:rPr>
        <w:br/>
        <w:t xml:space="preserve">v rôznych technológiách a spôsobov spracovania na pozícii architekta s tým, že na projekte musel odpracovať minimálne 200 osobodní (osobodeň znamená jedna (1) osoba a osem (8) hodín </w:t>
      </w:r>
      <w:r w:rsidR="00A15417" w:rsidRPr="00A15417">
        <w:rPr>
          <w:b/>
          <w:bCs/>
          <w:sz w:val="22"/>
          <w:szCs w:val="22"/>
        </w:rPr>
        <w:t xml:space="preserve">práce počas pracovnej doby (napr. od 8.00 h do 16.00 h) počas pracovných dní, pričom sa počíta iba naplnených osem hodín); túto podmienku účasti uchádzač u experta preukáže profesijným životopisom.“ </w:t>
      </w:r>
    </w:p>
    <w:p w14:paraId="1467297E" w14:textId="29E46DCE" w:rsidR="00D819F8" w:rsidRDefault="00A15417" w:rsidP="00A15417">
      <w:pPr>
        <w:pStyle w:val="Default"/>
        <w:jc w:val="both"/>
        <w:rPr>
          <w:b/>
          <w:bCs/>
          <w:sz w:val="22"/>
          <w:szCs w:val="22"/>
        </w:rPr>
      </w:pPr>
      <w:r w:rsidRPr="00A15417">
        <w:rPr>
          <w:b/>
          <w:bCs/>
          <w:sz w:val="22"/>
          <w:szCs w:val="22"/>
        </w:rPr>
        <w:t>Takto preformulovaná požiadavka by viac korešpondovala s požiadavkami na daného experta, keďže budovanie dátového skladu nezaručuje expertnú znalosť budovania Datalake s využitím BigData technológií.</w:t>
      </w:r>
    </w:p>
    <w:p w14:paraId="080A24C7" w14:textId="77777777" w:rsidR="00A15417" w:rsidRPr="006E1EB9" w:rsidRDefault="00A15417" w:rsidP="00A15417">
      <w:pPr>
        <w:jc w:val="both"/>
        <w:rPr>
          <w:rFonts w:ascii="Cambria" w:hAnsi="Cambria"/>
          <w:b/>
          <w:sz w:val="22"/>
          <w:u w:val="single"/>
          <w:lang w:val="sk-SK"/>
        </w:rPr>
      </w:pPr>
      <w:r w:rsidRPr="006E1EB9">
        <w:rPr>
          <w:rFonts w:ascii="Cambria" w:hAnsi="Cambria"/>
          <w:b/>
          <w:sz w:val="22"/>
          <w:u w:val="single"/>
          <w:lang w:val="sk-SK"/>
        </w:rPr>
        <w:t>Odpoveď</w:t>
      </w:r>
    </w:p>
    <w:p w14:paraId="0831A04B" w14:textId="77777777" w:rsidR="00A15417" w:rsidRPr="002B5CE8" w:rsidRDefault="00A15417" w:rsidP="00A15417">
      <w:pPr>
        <w:jc w:val="both"/>
        <w:rPr>
          <w:rFonts w:ascii="Cambria" w:hAnsi="Cambria"/>
          <w:sz w:val="22"/>
          <w:szCs w:val="22"/>
          <w:lang w:val="sk-SK"/>
        </w:rPr>
      </w:pPr>
      <w:r>
        <w:rPr>
          <w:rFonts w:ascii="Cambria" w:hAnsi="Cambria"/>
          <w:sz w:val="22"/>
          <w:szCs w:val="22"/>
          <w:lang w:val="sk-SK"/>
        </w:rPr>
        <w:t xml:space="preserve">Verejný obstarávateľ má za to, že </w:t>
      </w:r>
      <w:r w:rsidRPr="00D819F8">
        <w:rPr>
          <w:rFonts w:ascii="Cambria" w:hAnsi="Cambria"/>
          <w:sz w:val="22"/>
          <w:szCs w:val="22"/>
          <w:lang w:val="sk-SK"/>
        </w:rPr>
        <w:t>identická požiadavka na minimálne jednu praktickú skúsenosť pri kľúčovom expertovi č. 2 – Architekt riešenia (Relačná časť DWH)</w:t>
      </w:r>
      <w:r>
        <w:rPr>
          <w:rFonts w:ascii="Cambria" w:hAnsi="Cambria"/>
          <w:sz w:val="22"/>
          <w:szCs w:val="22"/>
          <w:lang w:val="sk-SK"/>
        </w:rPr>
        <w:t xml:space="preserve"> a aj pri </w:t>
      </w:r>
      <w:r w:rsidRPr="00D819F8">
        <w:rPr>
          <w:rFonts w:ascii="Cambria" w:hAnsi="Cambria"/>
          <w:sz w:val="22"/>
          <w:szCs w:val="22"/>
          <w:lang w:val="sk-SK"/>
        </w:rPr>
        <w:t>kľúčovom expertovi č. 3 - Architekt riešenia (BigData/DataLake časť DWH)</w:t>
      </w:r>
      <w:r>
        <w:rPr>
          <w:rFonts w:ascii="Cambria" w:hAnsi="Cambria"/>
          <w:sz w:val="22"/>
          <w:szCs w:val="22"/>
          <w:lang w:val="sk-SK"/>
        </w:rPr>
        <w:t xml:space="preserve"> je v poriadku</w:t>
      </w:r>
      <w:r w:rsidRPr="00D819F8">
        <w:rPr>
          <w:rFonts w:ascii="Cambria" w:hAnsi="Cambria"/>
          <w:sz w:val="22"/>
          <w:szCs w:val="22"/>
          <w:lang w:val="sk-SK"/>
        </w:rPr>
        <w:t xml:space="preserve">. Táto podmienka účasti pre </w:t>
      </w:r>
      <w:r>
        <w:rPr>
          <w:rFonts w:ascii="Cambria" w:hAnsi="Cambria"/>
          <w:sz w:val="22"/>
          <w:szCs w:val="22"/>
          <w:lang w:val="sk-SK"/>
        </w:rPr>
        <w:t xml:space="preserve">kľúčových </w:t>
      </w:r>
      <w:r w:rsidRPr="00D819F8">
        <w:rPr>
          <w:rFonts w:ascii="Cambria" w:hAnsi="Cambria"/>
          <w:sz w:val="22"/>
          <w:szCs w:val="22"/>
          <w:lang w:val="sk-SK"/>
        </w:rPr>
        <w:t>expert</w:t>
      </w:r>
      <w:r>
        <w:rPr>
          <w:rFonts w:ascii="Cambria" w:hAnsi="Cambria"/>
          <w:sz w:val="22"/>
          <w:szCs w:val="22"/>
          <w:lang w:val="sk-SK"/>
        </w:rPr>
        <w:t>ov</w:t>
      </w:r>
      <w:r w:rsidRPr="00D819F8">
        <w:rPr>
          <w:rFonts w:ascii="Cambria" w:hAnsi="Cambria"/>
          <w:sz w:val="22"/>
          <w:szCs w:val="22"/>
          <w:lang w:val="sk-SK"/>
        </w:rPr>
        <w:t xml:space="preserve"> </w:t>
      </w:r>
      <w:r>
        <w:rPr>
          <w:rFonts w:ascii="Cambria" w:hAnsi="Cambria"/>
          <w:sz w:val="22"/>
          <w:szCs w:val="22"/>
          <w:lang w:val="sk-SK"/>
        </w:rPr>
        <w:t>č.</w:t>
      </w:r>
      <w:r w:rsidRPr="00D819F8">
        <w:rPr>
          <w:rFonts w:ascii="Cambria" w:hAnsi="Cambria"/>
          <w:sz w:val="22"/>
          <w:szCs w:val="22"/>
          <w:lang w:val="sk-SK"/>
        </w:rPr>
        <w:t xml:space="preserve"> 2 a</w:t>
      </w:r>
      <w:r>
        <w:rPr>
          <w:rFonts w:ascii="Cambria" w:hAnsi="Cambria"/>
          <w:sz w:val="22"/>
          <w:szCs w:val="22"/>
          <w:lang w:val="sk-SK"/>
        </w:rPr>
        <w:t xml:space="preserve">  č.</w:t>
      </w:r>
      <w:r w:rsidRPr="00D819F8">
        <w:rPr>
          <w:rFonts w:ascii="Cambria" w:hAnsi="Cambria"/>
          <w:sz w:val="22"/>
          <w:szCs w:val="22"/>
          <w:lang w:val="sk-SK"/>
        </w:rPr>
        <w:t xml:space="preserve"> 3 </w:t>
      </w:r>
      <w:r>
        <w:rPr>
          <w:rFonts w:ascii="Cambria" w:hAnsi="Cambria"/>
          <w:sz w:val="22"/>
          <w:szCs w:val="22"/>
          <w:lang w:val="sk-SK"/>
        </w:rPr>
        <w:t>stanovuje</w:t>
      </w:r>
      <w:r w:rsidRPr="00D819F8">
        <w:rPr>
          <w:rFonts w:ascii="Cambria" w:hAnsi="Cambria"/>
          <w:sz w:val="22"/>
          <w:szCs w:val="22"/>
          <w:lang w:val="sk-SK"/>
        </w:rPr>
        <w:t xml:space="preserve">, </w:t>
      </w:r>
      <w:r>
        <w:rPr>
          <w:rFonts w:ascii="Cambria" w:hAnsi="Cambria"/>
          <w:sz w:val="22"/>
          <w:szCs w:val="22"/>
          <w:lang w:val="sk-SK"/>
        </w:rPr>
        <w:t>aby kľúčový expert mal</w:t>
      </w:r>
      <w:r w:rsidRPr="00D819F8">
        <w:rPr>
          <w:rFonts w:ascii="Cambria" w:hAnsi="Cambria"/>
          <w:sz w:val="22"/>
          <w:szCs w:val="22"/>
          <w:lang w:val="sk-SK"/>
        </w:rPr>
        <w:t xml:space="preserve"> praktické skúsenosti </w:t>
      </w:r>
      <w:r>
        <w:rPr>
          <w:rFonts w:ascii="Cambria" w:hAnsi="Cambria"/>
          <w:sz w:val="22"/>
          <w:szCs w:val="22"/>
          <w:lang w:val="sk-SK"/>
        </w:rPr>
        <w:br/>
      </w:r>
      <w:r w:rsidRPr="00D819F8">
        <w:rPr>
          <w:rFonts w:ascii="Cambria" w:hAnsi="Cambria"/>
          <w:sz w:val="22"/>
          <w:szCs w:val="22"/>
          <w:lang w:val="sk-SK"/>
        </w:rPr>
        <w:t xml:space="preserve">s budovaním dátových skladov určitého rozsahu (expert ovláda postupy a metodiky budovania) bez uvedenia technológie. Rozdielne požadované technologické znalosti </w:t>
      </w:r>
      <w:r>
        <w:rPr>
          <w:rFonts w:ascii="Cambria" w:hAnsi="Cambria"/>
          <w:sz w:val="22"/>
          <w:szCs w:val="22"/>
          <w:lang w:val="sk-SK"/>
        </w:rPr>
        <w:t xml:space="preserve">u kľúčových expertoch </w:t>
      </w:r>
      <w:r>
        <w:rPr>
          <w:rFonts w:ascii="Cambria" w:hAnsi="Cambria"/>
          <w:sz w:val="22"/>
          <w:szCs w:val="22"/>
          <w:lang w:val="sk-SK"/>
        </w:rPr>
        <w:br/>
        <w:t xml:space="preserve">č. 2 a č. 3 </w:t>
      </w:r>
      <w:r w:rsidRPr="00D819F8">
        <w:rPr>
          <w:rFonts w:ascii="Cambria" w:hAnsi="Cambria"/>
          <w:sz w:val="22"/>
          <w:szCs w:val="22"/>
          <w:lang w:val="sk-SK"/>
        </w:rPr>
        <w:t>sú uvedené v</w:t>
      </w:r>
      <w:r>
        <w:rPr>
          <w:rFonts w:ascii="Cambria" w:hAnsi="Cambria"/>
          <w:sz w:val="22"/>
          <w:szCs w:val="22"/>
          <w:lang w:val="sk-SK"/>
        </w:rPr>
        <w:t xml:space="preserve">  ostatných </w:t>
      </w:r>
      <w:r w:rsidRPr="00D819F8">
        <w:rPr>
          <w:rFonts w:ascii="Cambria" w:hAnsi="Cambria"/>
          <w:sz w:val="22"/>
          <w:szCs w:val="22"/>
          <w:lang w:val="sk-SK"/>
        </w:rPr>
        <w:t xml:space="preserve"> </w:t>
      </w:r>
      <w:r>
        <w:rPr>
          <w:rFonts w:ascii="Cambria" w:hAnsi="Cambria"/>
          <w:sz w:val="22"/>
          <w:szCs w:val="22"/>
          <w:lang w:val="sk-SK"/>
        </w:rPr>
        <w:t>podmienkach účasti kľúčových expertov č. 2 a č. 3.</w:t>
      </w:r>
      <w:r w:rsidRPr="00D819F8" w:rsidDel="00404AE2">
        <w:rPr>
          <w:rFonts w:ascii="Cambria" w:hAnsi="Cambria"/>
          <w:sz w:val="22"/>
          <w:szCs w:val="22"/>
          <w:lang w:val="sk-SK"/>
        </w:rPr>
        <w:t xml:space="preserve"> </w:t>
      </w:r>
    </w:p>
    <w:p w14:paraId="78164CA3" w14:textId="77777777" w:rsidR="00D819F8" w:rsidRPr="003267B1" w:rsidRDefault="00D819F8" w:rsidP="00D819F8">
      <w:pPr>
        <w:pStyle w:val="Default"/>
        <w:jc w:val="both"/>
        <w:rPr>
          <w:sz w:val="22"/>
          <w:szCs w:val="22"/>
        </w:rPr>
      </w:pPr>
    </w:p>
    <w:p w14:paraId="12DD0898" w14:textId="77777777" w:rsidR="00D819F8" w:rsidRDefault="00D819F8" w:rsidP="003267B1">
      <w:pPr>
        <w:pStyle w:val="Default"/>
        <w:jc w:val="both"/>
        <w:rPr>
          <w:sz w:val="22"/>
          <w:szCs w:val="22"/>
        </w:rPr>
      </w:pPr>
    </w:p>
    <w:p w14:paraId="63CB6EDA" w14:textId="6E4376BC" w:rsidR="000B0A49" w:rsidRPr="002B5CE8" w:rsidRDefault="000B0A49" w:rsidP="00D12A14">
      <w:pPr>
        <w:pStyle w:val="Footer"/>
        <w:tabs>
          <w:tab w:val="left" w:pos="567"/>
          <w:tab w:val="left" w:pos="3686"/>
          <w:tab w:val="center" w:pos="4678"/>
          <w:tab w:val="left" w:pos="7088"/>
          <w:tab w:val="left" w:pos="8222"/>
        </w:tabs>
        <w:ind w:left="4253"/>
        <w:jc w:val="both"/>
        <w:rPr>
          <w:rFonts w:ascii="Cambria" w:hAnsi="Cambria"/>
          <w:color w:val="000000"/>
          <w:lang w:val="sk-SK"/>
        </w:rPr>
      </w:pPr>
      <w:r w:rsidRPr="002B5CE8">
        <w:rPr>
          <w:rFonts w:ascii="Cambria" w:hAnsi="Cambria"/>
          <w:color w:val="000000"/>
          <w:lang w:val="sk-SK"/>
        </w:rPr>
        <w:t>JUDr. Zora Vypušťáková</w:t>
      </w:r>
    </w:p>
    <w:p w14:paraId="0E689616" w14:textId="77777777" w:rsidR="000B0A49" w:rsidRPr="002B5CE8" w:rsidRDefault="000B0A49" w:rsidP="00D12A14">
      <w:pPr>
        <w:pStyle w:val="Footer"/>
        <w:tabs>
          <w:tab w:val="left" w:pos="567"/>
          <w:tab w:val="left" w:pos="3686"/>
          <w:tab w:val="center" w:pos="4678"/>
          <w:tab w:val="left" w:pos="7088"/>
          <w:tab w:val="left" w:pos="8222"/>
        </w:tabs>
        <w:ind w:left="4253"/>
        <w:jc w:val="both"/>
        <w:rPr>
          <w:rFonts w:ascii="Cambria" w:hAnsi="Cambria"/>
          <w:color w:val="000000"/>
          <w:lang w:val="sk-SK"/>
        </w:rPr>
      </w:pPr>
      <w:r w:rsidRPr="002B5CE8">
        <w:rPr>
          <w:rFonts w:ascii="Cambria" w:hAnsi="Cambria"/>
          <w:color w:val="000000"/>
          <w:lang w:val="sk-SK"/>
        </w:rPr>
        <w:t>riaditeľka</w:t>
      </w:r>
    </w:p>
    <w:p w14:paraId="5D528B41" w14:textId="77777777" w:rsidR="000B0A49" w:rsidRPr="000B0A49" w:rsidRDefault="000B0A49" w:rsidP="00D12A14">
      <w:pPr>
        <w:pStyle w:val="Footer"/>
        <w:tabs>
          <w:tab w:val="clear" w:pos="4536"/>
          <w:tab w:val="left" w:pos="567"/>
          <w:tab w:val="left" w:pos="3686"/>
          <w:tab w:val="center" w:pos="4678"/>
          <w:tab w:val="left" w:pos="7088"/>
          <w:tab w:val="left" w:pos="8222"/>
        </w:tabs>
        <w:ind w:left="4253"/>
        <w:jc w:val="both"/>
        <w:rPr>
          <w:rFonts w:ascii="Cambria" w:hAnsi="Cambria"/>
          <w:color w:val="000000"/>
          <w:lang w:val="sk-SK"/>
        </w:rPr>
      </w:pPr>
      <w:r w:rsidRPr="000B0A49">
        <w:rPr>
          <w:rFonts w:ascii="Cambria" w:hAnsi="Cambria"/>
          <w:color w:val="000000"/>
          <w:lang w:val="sk-SK"/>
        </w:rPr>
        <w:t>odbor hospodárskych služieb</w:t>
      </w:r>
    </w:p>
    <w:p w14:paraId="19D88FC6" w14:textId="77777777" w:rsidR="000B0A49" w:rsidRPr="000B0A49" w:rsidRDefault="000B0A49" w:rsidP="00D12A14">
      <w:pPr>
        <w:jc w:val="both"/>
        <w:rPr>
          <w:rFonts w:ascii="Cambria" w:hAnsi="Cambria"/>
          <w:bCs/>
          <w:sz w:val="22"/>
          <w:szCs w:val="22"/>
          <w:lang w:val="sk-SK"/>
        </w:rPr>
      </w:pPr>
    </w:p>
    <w:p w14:paraId="7A9D73C0" w14:textId="77777777" w:rsidR="00EB695E" w:rsidRDefault="00EB695E" w:rsidP="00D12A14">
      <w:pPr>
        <w:jc w:val="both"/>
        <w:rPr>
          <w:rFonts w:ascii="Cambria" w:hAnsi="Cambria"/>
          <w:bCs/>
          <w:sz w:val="22"/>
          <w:szCs w:val="22"/>
          <w:lang w:val="sk-SK"/>
        </w:rPr>
      </w:pPr>
    </w:p>
    <w:sectPr w:rsidR="00EB695E" w:rsidSect="00200C4A">
      <w:headerReference w:type="default" r:id="rId10"/>
      <w:footerReference w:type="even"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741F" w14:textId="77777777" w:rsidR="00202017" w:rsidRDefault="00202017">
      <w:r>
        <w:separator/>
      </w:r>
    </w:p>
  </w:endnote>
  <w:endnote w:type="continuationSeparator" w:id="0">
    <w:p w14:paraId="638F5C02" w14:textId="77777777" w:rsidR="00202017" w:rsidRDefault="00202017">
      <w:r>
        <w:continuationSeparator/>
      </w:r>
    </w:p>
  </w:endnote>
  <w:endnote w:type="continuationNotice" w:id="1">
    <w:p w14:paraId="0E7D9780" w14:textId="77777777" w:rsidR="00202017" w:rsidRDefault="00202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643D" w14:textId="77777777" w:rsidR="00192754" w:rsidRDefault="00192754" w:rsidP="00BD7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0D3D">
      <w:rPr>
        <w:rStyle w:val="PageNumber"/>
        <w:noProof/>
      </w:rPr>
      <w:t>2</w:t>
    </w:r>
    <w:r>
      <w:rPr>
        <w:rStyle w:val="PageNumber"/>
      </w:rPr>
      <w:fldChar w:fldCharType="end"/>
    </w:r>
  </w:p>
  <w:p w14:paraId="15C04D35" w14:textId="77777777" w:rsidR="00192754" w:rsidRDefault="00192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475E0" w14:textId="77777777" w:rsidR="00E80FBB" w:rsidRDefault="00E80FBB">
    <w:pPr>
      <w:pStyle w:val="Footer"/>
      <w:jc w:val="center"/>
    </w:pPr>
    <w:r>
      <w:fldChar w:fldCharType="begin"/>
    </w:r>
    <w:r>
      <w:instrText xml:space="preserve"> PAGE   \* MERGEFORMAT </w:instrText>
    </w:r>
    <w:r>
      <w:fldChar w:fldCharType="separate"/>
    </w:r>
    <w:r w:rsidR="0085010A">
      <w:rPr>
        <w:noProof/>
      </w:rPr>
      <w:t>2</w:t>
    </w:r>
    <w:r>
      <w:rPr>
        <w:noProof/>
      </w:rPr>
      <w:fldChar w:fldCharType="end"/>
    </w:r>
  </w:p>
  <w:p w14:paraId="45EAC8A0" w14:textId="77777777" w:rsidR="00E80FBB" w:rsidRDefault="00E8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CB6A3" w14:textId="77777777" w:rsidR="00202017" w:rsidRDefault="00202017">
      <w:r>
        <w:separator/>
      </w:r>
    </w:p>
  </w:footnote>
  <w:footnote w:type="continuationSeparator" w:id="0">
    <w:p w14:paraId="06AAF0B6" w14:textId="77777777" w:rsidR="00202017" w:rsidRDefault="00202017">
      <w:r>
        <w:continuationSeparator/>
      </w:r>
    </w:p>
  </w:footnote>
  <w:footnote w:type="continuationNotice" w:id="1">
    <w:p w14:paraId="69446406" w14:textId="77777777" w:rsidR="00202017" w:rsidRDefault="00202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CFFD" w14:textId="77777777" w:rsidR="001F5567" w:rsidRDefault="001F5567" w:rsidP="001F556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F3BFE" w14:textId="77777777" w:rsidR="00EE0D3D" w:rsidRDefault="004E391F" w:rsidP="00F34EED">
    <w:pPr>
      <w:pStyle w:val="Header"/>
      <w:jc w:val="center"/>
    </w:pPr>
    <w:r>
      <w:rPr>
        <w:noProof/>
        <w:lang w:val="sk-SK" w:eastAsia="sk-SK"/>
      </w:rPr>
      <w:drawing>
        <wp:inline distT="0" distB="0" distL="0" distR="0" wp14:anchorId="4079119D" wp14:editId="7FA586AD">
          <wp:extent cx="1803400" cy="712470"/>
          <wp:effectExtent l="0" t="0" r="6350" b="0"/>
          <wp:docPr id="4" name="Picture 4" descr="K:\DIZAJN MANUÁL NBS_SCHVÁLENÝ_2019\Základný Dizajn manuál NBS_FINAL_2018\LOGOTYP\01 - SK\01 - w EUROSYSTEM\01- BLUE\02 - RGB\PNG\LOGO-NBS-EUROSYSTEM-SK-A-BLUE-RGB.png"/>
          <wp:cNvGraphicFramePr/>
          <a:graphic xmlns:a="http://schemas.openxmlformats.org/drawingml/2006/main">
            <a:graphicData uri="http://schemas.openxmlformats.org/drawingml/2006/picture">
              <pic:pic xmlns:pic="http://schemas.openxmlformats.org/drawingml/2006/picture">
                <pic:nvPicPr>
                  <pic:cNvPr id="4" name="Picture 4" descr="K:\DIZAJN MANUÁL NBS_SCHVÁLENÝ_2019\Základný Dizajn manuál NBS_FINAL_2018\LOGOTYP\01 - SK\01 - w EUROSYSTEM\01- BLUE\02 - RGB\PNG\LOGO-NBS-EUROSYSTEM-SK-A-BLUE-RGB.png"/>
                  <pic:cNvPicPr/>
                </pic:nvPicPr>
                <pic:blipFill rotWithShape="1">
                  <a:blip r:embed="rId1" cstate="print">
                    <a:extLst>
                      <a:ext uri="{28A0092B-C50C-407E-A947-70E740481C1C}">
                        <a14:useLocalDpi xmlns:a14="http://schemas.microsoft.com/office/drawing/2010/main" val="0"/>
                      </a:ext>
                    </a:extLst>
                  </a:blip>
                  <a:srcRect l="4298" t="10265" r="5407" b="9487"/>
                  <a:stretch/>
                </pic:blipFill>
                <pic:spPr bwMode="auto">
                  <a:xfrm>
                    <a:off x="0" y="0"/>
                    <a:ext cx="1803400" cy="7124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CD7"/>
    <w:multiLevelType w:val="hybridMultilevel"/>
    <w:tmpl w:val="11B6B7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956B98"/>
    <w:multiLevelType w:val="hybridMultilevel"/>
    <w:tmpl w:val="01B00FFA"/>
    <w:lvl w:ilvl="0" w:tplc="7BF03650">
      <w:start w:val="7"/>
      <w:numFmt w:val="bullet"/>
      <w:lvlText w:val="-"/>
      <w:lvlJc w:val="left"/>
      <w:pPr>
        <w:ind w:left="644" w:hanging="360"/>
      </w:pPr>
      <w:rPr>
        <w:rFonts w:ascii="Calibri" w:eastAsia="Calibri" w:hAnsi="Calibri"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11EB139B"/>
    <w:multiLevelType w:val="hybridMultilevel"/>
    <w:tmpl w:val="99722F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8A2281"/>
    <w:multiLevelType w:val="hybridMultilevel"/>
    <w:tmpl w:val="1DD02B86"/>
    <w:lvl w:ilvl="0" w:tplc="F8624FE2">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DEF0345"/>
    <w:multiLevelType w:val="hybridMultilevel"/>
    <w:tmpl w:val="009E28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AD0DDD"/>
    <w:multiLevelType w:val="hybridMultilevel"/>
    <w:tmpl w:val="FBCED4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9A663C0"/>
    <w:multiLevelType w:val="multilevel"/>
    <w:tmpl w:val="3196C390"/>
    <w:lvl w:ilvl="0">
      <w:start w:val="1"/>
      <w:numFmt w:val="decimal"/>
      <w:lvlText w:val="%1"/>
      <w:lvlJc w:val="left"/>
      <w:pPr>
        <w:tabs>
          <w:tab w:val="num" w:pos="972"/>
        </w:tabs>
        <w:ind w:left="972" w:hanging="432"/>
      </w:pPr>
      <w:rPr>
        <w:sz w:val="20"/>
        <w:szCs w:val="20"/>
      </w:rPr>
    </w:lvl>
    <w:lvl w:ilvl="1">
      <w:start w:val="1"/>
      <w:numFmt w:val="decimal"/>
      <w:lvlText w:val="%1.%2"/>
      <w:lvlJc w:val="left"/>
      <w:pPr>
        <w:tabs>
          <w:tab w:val="num" w:pos="576"/>
        </w:tabs>
        <w:ind w:left="576" w:hanging="576"/>
      </w:pPr>
      <w:rPr>
        <w:rFonts w:ascii="Arial Narrow" w:hAnsi="Arial Narrow" w:hint="default"/>
        <w:b w:val="0"/>
        <w:bCs w:val="0"/>
        <w:i w:val="0"/>
        <w:iCs w:val="0"/>
        <w:color w:val="auto"/>
        <w:sz w:val="20"/>
        <w:szCs w:val="20"/>
      </w:rPr>
    </w:lvl>
    <w:lvl w:ilvl="2">
      <w:start w:val="1"/>
      <w:numFmt w:val="decimal"/>
      <w:lvlText w:val="%1.%2.%3"/>
      <w:lvlJc w:val="left"/>
      <w:pPr>
        <w:tabs>
          <w:tab w:val="num" w:pos="1260"/>
        </w:tabs>
        <w:ind w:left="1260" w:hanging="720"/>
      </w:pPr>
      <w:rPr>
        <w:rFonts w:ascii="Arial Narrow" w:hAnsi="Arial Narrow" w:cs="Arial Narrow" w:hint="default"/>
        <w:b w:val="0"/>
        <w:i w:val="0"/>
        <w:iCs w:val="0"/>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FE250E0"/>
    <w:multiLevelType w:val="hybridMultilevel"/>
    <w:tmpl w:val="12521BE6"/>
    <w:lvl w:ilvl="0" w:tplc="E2E2B3B8">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6021166E"/>
    <w:multiLevelType w:val="hybridMultilevel"/>
    <w:tmpl w:val="CBBEEECC"/>
    <w:lvl w:ilvl="0" w:tplc="3C6456D6">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58F7DC4"/>
    <w:multiLevelType w:val="hybridMultilevel"/>
    <w:tmpl w:val="41F248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9DC32DB"/>
    <w:multiLevelType w:val="hybridMultilevel"/>
    <w:tmpl w:val="ACB8B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10"/>
  </w:num>
  <w:num w:numId="5">
    <w:abstractNumId w:val="1"/>
  </w:num>
  <w:num w:numId="6">
    <w:abstractNumId w:val="7"/>
  </w:num>
  <w:num w:numId="7">
    <w:abstractNumId w:val="4"/>
  </w:num>
  <w:num w:numId="8">
    <w:abstractNumId w:val="3"/>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E02"/>
    <w:rsid w:val="00003D8D"/>
    <w:rsid w:val="00011566"/>
    <w:rsid w:val="000121BB"/>
    <w:rsid w:val="00015556"/>
    <w:rsid w:val="000213ED"/>
    <w:rsid w:val="00030550"/>
    <w:rsid w:val="00032F59"/>
    <w:rsid w:val="00045091"/>
    <w:rsid w:val="00050FBB"/>
    <w:rsid w:val="00052C3E"/>
    <w:rsid w:val="00052C97"/>
    <w:rsid w:val="00055F69"/>
    <w:rsid w:val="000668F4"/>
    <w:rsid w:val="0008478A"/>
    <w:rsid w:val="00085B70"/>
    <w:rsid w:val="00085C6E"/>
    <w:rsid w:val="00086A04"/>
    <w:rsid w:val="00087925"/>
    <w:rsid w:val="000A4DB3"/>
    <w:rsid w:val="000A6C16"/>
    <w:rsid w:val="000B0A49"/>
    <w:rsid w:val="000B3281"/>
    <w:rsid w:val="000B5055"/>
    <w:rsid w:val="000C0BD8"/>
    <w:rsid w:val="000C56EA"/>
    <w:rsid w:val="000C5AE6"/>
    <w:rsid w:val="000C602C"/>
    <w:rsid w:val="000D6E7E"/>
    <w:rsid w:val="000D7A51"/>
    <w:rsid w:val="000E1C30"/>
    <w:rsid w:val="000E3C30"/>
    <w:rsid w:val="000F00E7"/>
    <w:rsid w:val="000F54AA"/>
    <w:rsid w:val="001129A5"/>
    <w:rsid w:val="00114BD5"/>
    <w:rsid w:val="00125FC1"/>
    <w:rsid w:val="00136858"/>
    <w:rsid w:val="0014055F"/>
    <w:rsid w:val="00145FEE"/>
    <w:rsid w:val="00150181"/>
    <w:rsid w:val="0015182D"/>
    <w:rsid w:val="00152DBE"/>
    <w:rsid w:val="00192754"/>
    <w:rsid w:val="00196770"/>
    <w:rsid w:val="001A03F4"/>
    <w:rsid w:val="001A1D5B"/>
    <w:rsid w:val="001B469A"/>
    <w:rsid w:val="001D4786"/>
    <w:rsid w:val="001E06B9"/>
    <w:rsid w:val="001E2E02"/>
    <w:rsid w:val="001F5339"/>
    <w:rsid w:val="001F5567"/>
    <w:rsid w:val="001F5FD2"/>
    <w:rsid w:val="00200C4A"/>
    <w:rsid w:val="00202017"/>
    <w:rsid w:val="00206EDF"/>
    <w:rsid w:val="00224A7B"/>
    <w:rsid w:val="0023210A"/>
    <w:rsid w:val="0023624B"/>
    <w:rsid w:val="0025232E"/>
    <w:rsid w:val="00253DAC"/>
    <w:rsid w:val="002654F9"/>
    <w:rsid w:val="002712F0"/>
    <w:rsid w:val="00277A53"/>
    <w:rsid w:val="002801CE"/>
    <w:rsid w:val="00286E11"/>
    <w:rsid w:val="002909ED"/>
    <w:rsid w:val="002978A1"/>
    <w:rsid w:val="002A188A"/>
    <w:rsid w:val="002A40E6"/>
    <w:rsid w:val="002A6E78"/>
    <w:rsid w:val="002B5CE8"/>
    <w:rsid w:val="002C416E"/>
    <w:rsid w:val="002C562C"/>
    <w:rsid w:val="002D101D"/>
    <w:rsid w:val="002D543C"/>
    <w:rsid w:val="002E3524"/>
    <w:rsid w:val="00307026"/>
    <w:rsid w:val="003267B1"/>
    <w:rsid w:val="00342B56"/>
    <w:rsid w:val="00344613"/>
    <w:rsid w:val="00366246"/>
    <w:rsid w:val="00382FFB"/>
    <w:rsid w:val="00392BA6"/>
    <w:rsid w:val="003A0C09"/>
    <w:rsid w:val="003A34ED"/>
    <w:rsid w:val="003B0800"/>
    <w:rsid w:val="003B5A48"/>
    <w:rsid w:val="003C099F"/>
    <w:rsid w:val="003C1FA0"/>
    <w:rsid w:val="003C6CAB"/>
    <w:rsid w:val="003D06D1"/>
    <w:rsid w:val="003D4383"/>
    <w:rsid w:val="003D55C0"/>
    <w:rsid w:val="003F00ED"/>
    <w:rsid w:val="003F5E9A"/>
    <w:rsid w:val="003F6DDC"/>
    <w:rsid w:val="00404AE2"/>
    <w:rsid w:val="00406533"/>
    <w:rsid w:val="00417163"/>
    <w:rsid w:val="00424A9C"/>
    <w:rsid w:val="00431E57"/>
    <w:rsid w:val="00432DE7"/>
    <w:rsid w:val="004473DC"/>
    <w:rsid w:val="004500E0"/>
    <w:rsid w:val="0045195C"/>
    <w:rsid w:val="004553FE"/>
    <w:rsid w:val="0046603D"/>
    <w:rsid w:val="004740CC"/>
    <w:rsid w:val="004763A8"/>
    <w:rsid w:val="00476A66"/>
    <w:rsid w:val="004820EC"/>
    <w:rsid w:val="004865D1"/>
    <w:rsid w:val="00496562"/>
    <w:rsid w:val="004B6C8C"/>
    <w:rsid w:val="004C0A3A"/>
    <w:rsid w:val="004C6FA7"/>
    <w:rsid w:val="004D339A"/>
    <w:rsid w:val="004E391F"/>
    <w:rsid w:val="004E5B97"/>
    <w:rsid w:val="004F45F6"/>
    <w:rsid w:val="004F53F6"/>
    <w:rsid w:val="00513587"/>
    <w:rsid w:val="00526F7D"/>
    <w:rsid w:val="00527AC3"/>
    <w:rsid w:val="00531494"/>
    <w:rsid w:val="00532E06"/>
    <w:rsid w:val="00534C5B"/>
    <w:rsid w:val="005522F4"/>
    <w:rsid w:val="0056428C"/>
    <w:rsid w:val="005831B5"/>
    <w:rsid w:val="005845D2"/>
    <w:rsid w:val="0059338A"/>
    <w:rsid w:val="005A7A01"/>
    <w:rsid w:val="005A7CD1"/>
    <w:rsid w:val="005B04A5"/>
    <w:rsid w:val="005B4828"/>
    <w:rsid w:val="005B701D"/>
    <w:rsid w:val="005C7669"/>
    <w:rsid w:val="005C7895"/>
    <w:rsid w:val="005D1D63"/>
    <w:rsid w:val="005E0F94"/>
    <w:rsid w:val="005E2E7E"/>
    <w:rsid w:val="005E3440"/>
    <w:rsid w:val="005E50C3"/>
    <w:rsid w:val="005F4847"/>
    <w:rsid w:val="005F5601"/>
    <w:rsid w:val="00605D22"/>
    <w:rsid w:val="00606CF8"/>
    <w:rsid w:val="00607B3B"/>
    <w:rsid w:val="006107B1"/>
    <w:rsid w:val="006173F3"/>
    <w:rsid w:val="00630F93"/>
    <w:rsid w:val="00632AD2"/>
    <w:rsid w:val="00637EBC"/>
    <w:rsid w:val="00644EE0"/>
    <w:rsid w:val="00650815"/>
    <w:rsid w:val="00682367"/>
    <w:rsid w:val="00692356"/>
    <w:rsid w:val="006B433A"/>
    <w:rsid w:val="006C7123"/>
    <w:rsid w:val="006D48DF"/>
    <w:rsid w:val="006D520C"/>
    <w:rsid w:val="006D75DC"/>
    <w:rsid w:val="006E1EB9"/>
    <w:rsid w:val="006E6AB0"/>
    <w:rsid w:val="006F30AB"/>
    <w:rsid w:val="006F3DC6"/>
    <w:rsid w:val="00711B9E"/>
    <w:rsid w:val="007143C1"/>
    <w:rsid w:val="0073205E"/>
    <w:rsid w:val="00733B71"/>
    <w:rsid w:val="00734CCE"/>
    <w:rsid w:val="00745BDF"/>
    <w:rsid w:val="00746020"/>
    <w:rsid w:val="0075503B"/>
    <w:rsid w:val="0075713B"/>
    <w:rsid w:val="00763560"/>
    <w:rsid w:val="00765E5E"/>
    <w:rsid w:val="007705FF"/>
    <w:rsid w:val="0078084F"/>
    <w:rsid w:val="00783B18"/>
    <w:rsid w:val="00786304"/>
    <w:rsid w:val="007940AC"/>
    <w:rsid w:val="007A1C11"/>
    <w:rsid w:val="007A4F10"/>
    <w:rsid w:val="007C064A"/>
    <w:rsid w:val="007D0886"/>
    <w:rsid w:val="007D63B5"/>
    <w:rsid w:val="007D7C0B"/>
    <w:rsid w:val="007F0455"/>
    <w:rsid w:val="0080701A"/>
    <w:rsid w:val="008126DA"/>
    <w:rsid w:val="00816F8E"/>
    <w:rsid w:val="008378F6"/>
    <w:rsid w:val="008407AE"/>
    <w:rsid w:val="0085010A"/>
    <w:rsid w:val="008618BB"/>
    <w:rsid w:val="008653A8"/>
    <w:rsid w:val="008662A3"/>
    <w:rsid w:val="00866570"/>
    <w:rsid w:val="008761BA"/>
    <w:rsid w:val="00891BCE"/>
    <w:rsid w:val="00894D94"/>
    <w:rsid w:val="008B34EF"/>
    <w:rsid w:val="008C01B9"/>
    <w:rsid w:val="008D194B"/>
    <w:rsid w:val="008D6ECF"/>
    <w:rsid w:val="008F607C"/>
    <w:rsid w:val="00905893"/>
    <w:rsid w:val="0090793B"/>
    <w:rsid w:val="00921161"/>
    <w:rsid w:val="00921B13"/>
    <w:rsid w:val="00923673"/>
    <w:rsid w:val="009462ED"/>
    <w:rsid w:val="00950463"/>
    <w:rsid w:val="009700D0"/>
    <w:rsid w:val="00981F06"/>
    <w:rsid w:val="00984C51"/>
    <w:rsid w:val="009A55DD"/>
    <w:rsid w:val="009B1CA2"/>
    <w:rsid w:val="009F0EE6"/>
    <w:rsid w:val="00A05500"/>
    <w:rsid w:val="00A05A30"/>
    <w:rsid w:val="00A11826"/>
    <w:rsid w:val="00A15417"/>
    <w:rsid w:val="00A24146"/>
    <w:rsid w:val="00A256DC"/>
    <w:rsid w:val="00A344E3"/>
    <w:rsid w:val="00A4059C"/>
    <w:rsid w:val="00A448B6"/>
    <w:rsid w:val="00A45304"/>
    <w:rsid w:val="00A55FBF"/>
    <w:rsid w:val="00A62D35"/>
    <w:rsid w:val="00A636C6"/>
    <w:rsid w:val="00A75FED"/>
    <w:rsid w:val="00A770C6"/>
    <w:rsid w:val="00A859B8"/>
    <w:rsid w:val="00A86D27"/>
    <w:rsid w:val="00A87068"/>
    <w:rsid w:val="00A96C55"/>
    <w:rsid w:val="00AB4128"/>
    <w:rsid w:val="00AC1148"/>
    <w:rsid w:val="00AC450A"/>
    <w:rsid w:val="00AD26E4"/>
    <w:rsid w:val="00AD7FB8"/>
    <w:rsid w:val="00AE16F4"/>
    <w:rsid w:val="00AF1144"/>
    <w:rsid w:val="00AF5FE7"/>
    <w:rsid w:val="00B00D0A"/>
    <w:rsid w:val="00B060A4"/>
    <w:rsid w:val="00B23E2A"/>
    <w:rsid w:val="00B27838"/>
    <w:rsid w:val="00B36B47"/>
    <w:rsid w:val="00B36E02"/>
    <w:rsid w:val="00B55BF0"/>
    <w:rsid w:val="00B66DB9"/>
    <w:rsid w:val="00B67CAC"/>
    <w:rsid w:val="00B82AD9"/>
    <w:rsid w:val="00B83C80"/>
    <w:rsid w:val="00BA092D"/>
    <w:rsid w:val="00BA37F3"/>
    <w:rsid w:val="00BB66B1"/>
    <w:rsid w:val="00BB6B29"/>
    <w:rsid w:val="00BB7E54"/>
    <w:rsid w:val="00BC2726"/>
    <w:rsid w:val="00BD74A3"/>
    <w:rsid w:val="00BD7C84"/>
    <w:rsid w:val="00BE76E8"/>
    <w:rsid w:val="00BF61F5"/>
    <w:rsid w:val="00C01453"/>
    <w:rsid w:val="00C107CF"/>
    <w:rsid w:val="00C17AFE"/>
    <w:rsid w:val="00C2575C"/>
    <w:rsid w:val="00C27BEC"/>
    <w:rsid w:val="00C27ECF"/>
    <w:rsid w:val="00C44A15"/>
    <w:rsid w:val="00C47394"/>
    <w:rsid w:val="00C64B17"/>
    <w:rsid w:val="00C70AFE"/>
    <w:rsid w:val="00C71695"/>
    <w:rsid w:val="00C86B35"/>
    <w:rsid w:val="00C87B3E"/>
    <w:rsid w:val="00C91A45"/>
    <w:rsid w:val="00CA0DDA"/>
    <w:rsid w:val="00CC6FF4"/>
    <w:rsid w:val="00CF2F80"/>
    <w:rsid w:val="00D04671"/>
    <w:rsid w:val="00D11B78"/>
    <w:rsid w:val="00D12A14"/>
    <w:rsid w:val="00D20720"/>
    <w:rsid w:val="00D22269"/>
    <w:rsid w:val="00D22C9A"/>
    <w:rsid w:val="00D37B19"/>
    <w:rsid w:val="00D4408D"/>
    <w:rsid w:val="00D54CDB"/>
    <w:rsid w:val="00D5602D"/>
    <w:rsid w:val="00D61284"/>
    <w:rsid w:val="00D6449D"/>
    <w:rsid w:val="00D66DB0"/>
    <w:rsid w:val="00D819F8"/>
    <w:rsid w:val="00D82D6B"/>
    <w:rsid w:val="00D84AAB"/>
    <w:rsid w:val="00D869C9"/>
    <w:rsid w:val="00DA45EC"/>
    <w:rsid w:val="00DB2552"/>
    <w:rsid w:val="00DD5E91"/>
    <w:rsid w:val="00DD6747"/>
    <w:rsid w:val="00DF0328"/>
    <w:rsid w:val="00DF246F"/>
    <w:rsid w:val="00DF54FC"/>
    <w:rsid w:val="00DF572E"/>
    <w:rsid w:val="00E05F46"/>
    <w:rsid w:val="00E10433"/>
    <w:rsid w:val="00E11129"/>
    <w:rsid w:val="00E113A2"/>
    <w:rsid w:val="00E12149"/>
    <w:rsid w:val="00E22DC1"/>
    <w:rsid w:val="00E3020F"/>
    <w:rsid w:val="00E4172C"/>
    <w:rsid w:val="00E44B30"/>
    <w:rsid w:val="00E45899"/>
    <w:rsid w:val="00E50AD2"/>
    <w:rsid w:val="00E6446D"/>
    <w:rsid w:val="00E7562E"/>
    <w:rsid w:val="00E75932"/>
    <w:rsid w:val="00E7597D"/>
    <w:rsid w:val="00E80FBB"/>
    <w:rsid w:val="00E86E62"/>
    <w:rsid w:val="00E976AC"/>
    <w:rsid w:val="00EA6F3B"/>
    <w:rsid w:val="00EB4A71"/>
    <w:rsid w:val="00EB695E"/>
    <w:rsid w:val="00EB7CDD"/>
    <w:rsid w:val="00EC42D7"/>
    <w:rsid w:val="00EC7549"/>
    <w:rsid w:val="00EE0D3D"/>
    <w:rsid w:val="00EE6EFA"/>
    <w:rsid w:val="00EE7FAA"/>
    <w:rsid w:val="00EF4B94"/>
    <w:rsid w:val="00F008FE"/>
    <w:rsid w:val="00F02071"/>
    <w:rsid w:val="00F054B4"/>
    <w:rsid w:val="00F17FF8"/>
    <w:rsid w:val="00F24726"/>
    <w:rsid w:val="00F251C0"/>
    <w:rsid w:val="00F27541"/>
    <w:rsid w:val="00F34EED"/>
    <w:rsid w:val="00F3571C"/>
    <w:rsid w:val="00F37AB1"/>
    <w:rsid w:val="00F65D06"/>
    <w:rsid w:val="00F66D5F"/>
    <w:rsid w:val="00F92C48"/>
    <w:rsid w:val="00F95786"/>
    <w:rsid w:val="00FA3EEF"/>
    <w:rsid w:val="00FB7831"/>
    <w:rsid w:val="00FC0A2A"/>
    <w:rsid w:val="00FD148B"/>
    <w:rsid w:val="00FE62D6"/>
    <w:rsid w:val="00FF3C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79C66"/>
  <w15:chartTrackingRefBased/>
  <w15:docId w15:val="{180A743D-730C-4B21-A763-86C777AD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269"/>
    <w:rPr>
      <w:sz w:val="24"/>
      <w:szCs w:val="24"/>
      <w:lang w:val="en-US" w:eastAsia="en-US"/>
    </w:rPr>
  </w:style>
  <w:style w:type="paragraph" w:styleId="Heading1">
    <w:name w:val="heading 1"/>
    <w:basedOn w:val="Normal"/>
    <w:next w:val="Normal"/>
    <w:link w:val="Heading1Char"/>
    <w:qFormat/>
    <w:rsid w:val="00F34E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2m"/>
    <w:basedOn w:val="Normal"/>
    <w:next w:val="Normal"/>
    <w:qFormat/>
    <w:pPr>
      <w:keepNext/>
      <w:spacing w:before="480" w:after="300"/>
      <w:jc w:val="center"/>
      <w:outlineLvl w:val="1"/>
    </w:pPr>
    <w:rPr>
      <w:rFonts w:ascii="Arial" w:hAnsi="Arial" w:cs="Arial"/>
      <w:b/>
      <w:bCs/>
      <w:iCs/>
      <w:sz w:val="28"/>
      <w:szCs w:val="28"/>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spacing w:after="120"/>
      <w:ind w:left="283"/>
    </w:pPr>
    <w:rPr>
      <w:sz w:val="16"/>
      <w:szCs w:val="16"/>
    </w:rPr>
  </w:style>
  <w:style w:type="paragraph" w:styleId="Header">
    <w:name w:val="header"/>
    <w:basedOn w:val="Normal"/>
    <w:link w:val="HeaderChar"/>
    <w:uiPriority w:val="99"/>
    <w:rsid w:val="004E5B97"/>
    <w:pPr>
      <w:tabs>
        <w:tab w:val="center" w:pos="4536"/>
        <w:tab w:val="right" w:pos="9072"/>
      </w:tabs>
    </w:pPr>
  </w:style>
  <w:style w:type="paragraph" w:styleId="Footer">
    <w:name w:val="footer"/>
    <w:basedOn w:val="Normal"/>
    <w:link w:val="FooterChar"/>
    <w:rsid w:val="004E5B97"/>
    <w:pPr>
      <w:tabs>
        <w:tab w:val="center" w:pos="4536"/>
        <w:tab w:val="right" w:pos="9072"/>
      </w:tabs>
    </w:pPr>
  </w:style>
  <w:style w:type="character" w:styleId="PageNumber">
    <w:name w:val="page number"/>
    <w:basedOn w:val="DefaultParagraphFont"/>
    <w:rsid w:val="00192754"/>
  </w:style>
  <w:style w:type="paragraph" w:styleId="PlainText">
    <w:name w:val="Plain Text"/>
    <w:basedOn w:val="Normal"/>
    <w:rsid w:val="000C56EA"/>
    <w:rPr>
      <w:rFonts w:ascii="Courier New" w:hAnsi="Courier New" w:cs="Courier New"/>
      <w:sz w:val="20"/>
      <w:szCs w:val="20"/>
      <w:lang w:val="sk-SK" w:eastAsia="cs-CZ"/>
    </w:rPr>
  </w:style>
  <w:style w:type="paragraph" w:styleId="BodyText">
    <w:name w:val="Body Text"/>
    <w:basedOn w:val="Normal"/>
    <w:link w:val="BodyTextChar"/>
    <w:rsid w:val="00015556"/>
    <w:pPr>
      <w:spacing w:after="120"/>
    </w:pPr>
  </w:style>
  <w:style w:type="character" w:customStyle="1" w:styleId="BodyTextChar">
    <w:name w:val="Body Text Char"/>
    <w:link w:val="BodyText"/>
    <w:rsid w:val="00015556"/>
    <w:rPr>
      <w:sz w:val="24"/>
      <w:szCs w:val="24"/>
      <w:lang w:val="en-US" w:eastAsia="en-US"/>
    </w:rPr>
  </w:style>
  <w:style w:type="character" w:customStyle="1" w:styleId="HeaderChar">
    <w:name w:val="Header Char"/>
    <w:link w:val="Header"/>
    <w:uiPriority w:val="99"/>
    <w:locked/>
    <w:rsid w:val="00015556"/>
    <w:rPr>
      <w:sz w:val="24"/>
      <w:szCs w:val="24"/>
      <w:lang w:val="en-US" w:eastAsia="en-US"/>
    </w:rPr>
  </w:style>
  <w:style w:type="paragraph" w:styleId="Subtitle">
    <w:name w:val="Subtitle"/>
    <w:basedOn w:val="Normal"/>
    <w:link w:val="SubtitleChar"/>
    <w:qFormat/>
    <w:rsid w:val="00015556"/>
    <w:pPr>
      <w:jc w:val="center"/>
    </w:pPr>
    <w:rPr>
      <w:rFonts w:ascii="Arial" w:hAnsi="Arial" w:cs="Arial"/>
      <w:b/>
      <w:bCs/>
      <w:lang w:val="sk-SK" w:eastAsia="sk-SK"/>
    </w:rPr>
  </w:style>
  <w:style w:type="character" w:customStyle="1" w:styleId="SubtitleChar">
    <w:name w:val="Subtitle Char"/>
    <w:link w:val="Subtitle"/>
    <w:rsid w:val="00015556"/>
    <w:rPr>
      <w:rFonts w:ascii="Arial" w:hAnsi="Arial" w:cs="Arial"/>
      <w:b/>
      <w:bCs/>
      <w:sz w:val="24"/>
      <w:szCs w:val="24"/>
    </w:rPr>
  </w:style>
  <w:style w:type="paragraph" w:customStyle="1" w:styleId="weeklies">
    <w:name w:val="weeklies"/>
    <w:basedOn w:val="Normal"/>
    <w:next w:val="Normal"/>
    <w:uiPriority w:val="99"/>
    <w:rsid w:val="00015556"/>
    <w:pPr>
      <w:overflowPunct w:val="0"/>
      <w:autoSpaceDE w:val="0"/>
      <w:autoSpaceDN w:val="0"/>
      <w:adjustRightInd w:val="0"/>
      <w:jc w:val="both"/>
      <w:textAlignment w:val="baseline"/>
    </w:pPr>
    <w:rPr>
      <w:rFonts w:ascii="Arial" w:hAnsi="Arial" w:cs="Arial"/>
    </w:rPr>
  </w:style>
  <w:style w:type="paragraph" w:customStyle="1" w:styleId="normalL2">
    <w:name w:val="normal L2"/>
    <w:basedOn w:val="Normal"/>
    <w:autoRedefine/>
    <w:rsid w:val="00015556"/>
    <w:pPr>
      <w:tabs>
        <w:tab w:val="left" w:pos="360"/>
      </w:tabs>
      <w:spacing w:after="60"/>
      <w:ind w:left="360" w:hanging="360"/>
      <w:jc w:val="both"/>
    </w:pPr>
    <w:rPr>
      <w:rFonts w:ascii="Arial Narrow" w:hAnsi="Arial Narrow" w:cs="Arial"/>
      <w:bCs/>
      <w:sz w:val="20"/>
      <w:szCs w:val="20"/>
      <w:lang w:val="sk-SK" w:eastAsia="sk-SK"/>
    </w:rPr>
  </w:style>
  <w:style w:type="paragraph" w:styleId="BodyText2">
    <w:name w:val="Body Text 2"/>
    <w:basedOn w:val="Normal"/>
    <w:link w:val="BodyText2Char"/>
    <w:rsid w:val="004C0A3A"/>
    <w:pPr>
      <w:spacing w:after="120" w:line="480" w:lineRule="auto"/>
    </w:pPr>
  </w:style>
  <w:style w:type="character" w:customStyle="1" w:styleId="BodyText2Char">
    <w:name w:val="Body Text 2 Char"/>
    <w:link w:val="BodyText2"/>
    <w:rsid w:val="004C0A3A"/>
    <w:rPr>
      <w:sz w:val="24"/>
      <w:szCs w:val="24"/>
      <w:lang w:val="en-US" w:eastAsia="en-US"/>
    </w:rPr>
  </w:style>
  <w:style w:type="paragraph" w:customStyle="1" w:styleId="Style2">
    <w:name w:val="Style2"/>
    <w:basedOn w:val="Normal"/>
    <w:uiPriority w:val="99"/>
    <w:rsid w:val="00D82D6B"/>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val="sk-SK"/>
    </w:rPr>
  </w:style>
  <w:style w:type="paragraph" w:customStyle="1" w:styleId="Odstavecseseznamem">
    <w:name w:val="Odstavec se seznamem"/>
    <w:basedOn w:val="Normal"/>
    <w:uiPriority w:val="99"/>
    <w:qFormat/>
    <w:rsid w:val="00D82D6B"/>
    <w:pPr>
      <w:spacing w:after="200" w:line="276" w:lineRule="auto"/>
      <w:ind w:left="720"/>
      <w:contextualSpacing/>
    </w:pPr>
    <w:rPr>
      <w:rFonts w:ascii="Calibri" w:hAnsi="Calibri"/>
      <w:sz w:val="22"/>
      <w:szCs w:val="22"/>
      <w:lang w:val="sk-SK" w:eastAsia="sk-SK"/>
    </w:rPr>
  </w:style>
  <w:style w:type="paragraph" w:customStyle="1" w:styleId="xl32">
    <w:name w:val="xl32"/>
    <w:basedOn w:val="Normal"/>
    <w:rsid w:val="005522F4"/>
    <w:pPr>
      <w:spacing w:before="100" w:beforeAutospacing="1" w:after="100" w:afterAutospacing="1"/>
      <w:jc w:val="center"/>
    </w:pPr>
    <w:rPr>
      <w:rFonts w:ascii="Arial" w:hAnsi="Arial" w:cs="Arial"/>
      <w:sz w:val="16"/>
      <w:szCs w:val="16"/>
    </w:rPr>
  </w:style>
  <w:style w:type="paragraph" w:customStyle="1" w:styleId="Predmetkomentra1">
    <w:name w:val="Predmet komentára1"/>
    <w:basedOn w:val="CommentText"/>
    <w:next w:val="CommentText"/>
    <w:semiHidden/>
    <w:rsid w:val="00B36E02"/>
    <w:rPr>
      <w:b/>
      <w:bCs/>
      <w:lang w:val="sk-SK" w:eastAsia="sk-SK"/>
    </w:rPr>
  </w:style>
  <w:style w:type="paragraph" w:customStyle="1" w:styleId="Textbubliny1">
    <w:name w:val="Text bubliny1"/>
    <w:basedOn w:val="Normal"/>
    <w:semiHidden/>
    <w:rsid w:val="00B36E02"/>
    <w:rPr>
      <w:rFonts w:ascii="Tahoma" w:hAnsi="Tahoma" w:cs="Tahoma"/>
      <w:sz w:val="16"/>
      <w:szCs w:val="16"/>
      <w:lang w:val="sk-SK" w:eastAsia="sk-SK"/>
    </w:rPr>
  </w:style>
  <w:style w:type="paragraph" w:styleId="CommentText">
    <w:name w:val="annotation text"/>
    <w:basedOn w:val="Normal"/>
    <w:link w:val="CommentTextChar"/>
    <w:rsid w:val="00B36E02"/>
    <w:rPr>
      <w:sz w:val="20"/>
      <w:szCs w:val="20"/>
    </w:rPr>
  </w:style>
  <w:style w:type="character" w:customStyle="1" w:styleId="CommentTextChar">
    <w:name w:val="Comment Text Char"/>
    <w:link w:val="CommentText"/>
    <w:rsid w:val="00B36E02"/>
    <w:rPr>
      <w:lang w:val="en-US" w:eastAsia="en-US"/>
    </w:rPr>
  </w:style>
  <w:style w:type="paragraph" w:styleId="BalloonText">
    <w:name w:val="Balloon Text"/>
    <w:basedOn w:val="Normal"/>
    <w:link w:val="BalloonTextChar"/>
    <w:rsid w:val="00F17FF8"/>
    <w:rPr>
      <w:rFonts w:ascii="Segoe UI" w:hAnsi="Segoe UI" w:cs="Segoe UI"/>
      <w:sz w:val="18"/>
      <w:szCs w:val="18"/>
    </w:rPr>
  </w:style>
  <w:style w:type="character" w:customStyle="1" w:styleId="BalloonTextChar">
    <w:name w:val="Balloon Text Char"/>
    <w:link w:val="BalloonText"/>
    <w:rsid w:val="00F17FF8"/>
    <w:rPr>
      <w:rFonts w:ascii="Segoe UI" w:hAnsi="Segoe UI" w:cs="Segoe UI"/>
      <w:sz w:val="18"/>
      <w:szCs w:val="18"/>
      <w:lang w:val="en-US" w:eastAsia="en-US"/>
    </w:rPr>
  </w:style>
  <w:style w:type="character" w:customStyle="1" w:styleId="FooterChar">
    <w:name w:val="Footer Char"/>
    <w:link w:val="Footer"/>
    <w:rsid w:val="00E80FBB"/>
    <w:rPr>
      <w:sz w:val="24"/>
      <w:szCs w:val="24"/>
      <w:lang w:val="en-US" w:eastAsia="en-US"/>
    </w:rPr>
  </w:style>
  <w:style w:type="paragraph" w:styleId="ListParagraph">
    <w:name w:val="List Paragraph"/>
    <w:aliases w:val="body,Odsek zoznamu2,Odsek,Odsek zoznamu1,ODRAZKY PRVA UROVEN,bullet,Bullet Number,lp1,lp11,List Paragraph11,Use Case List Paragraph,List Paragraph1,Bulleted Text,Bullet List,List Paragraph2,Bullet edison,List Paragraph3,List Paragraph4,b1"/>
    <w:basedOn w:val="Normal"/>
    <w:link w:val="ListParagraphChar"/>
    <w:uiPriority w:val="34"/>
    <w:qFormat/>
    <w:rsid w:val="00630F93"/>
    <w:pPr>
      <w:spacing w:after="160" w:line="259" w:lineRule="auto"/>
      <w:ind w:left="720"/>
      <w:contextualSpacing/>
    </w:pPr>
    <w:rPr>
      <w:rFonts w:ascii="Calibri" w:eastAsia="Calibri" w:hAnsi="Calibri"/>
      <w:sz w:val="22"/>
      <w:szCs w:val="22"/>
      <w:lang w:val="sk-SK"/>
    </w:rPr>
  </w:style>
  <w:style w:type="character" w:customStyle="1" w:styleId="Heading1Char">
    <w:name w:val="Heading 1 Char"/>
    <w:basedOn w:val="DefaultParagraphFont"/>
    <w:link w:val="Heading1"/>
    <w:rsid w:val="00F34EED"/>
    <w:rPr>
      <w:rFonts w:asciiTheme="majorHAnsi" w:eastAsiaTheme="majorEastAsia" w:hAnsiTheme="majorHAnsi" w:cstheme="majorBidi"/>
      <w:color w:val="2F5496" w:themeColor="accent1" w:themeShade="BF"/>
      <w:sz w:val="32"/>
      <w:szCs w:val="32"/>
      <w:lang w:val="en-US" w:eastAsia="en-US"/>
    </w:rPr>
  </w:style>
  <w:style w:type="paragraph" w:customStyle="1" w:styleId="text">
    <w:name w:val="text"/>
    <w:basedOn w:val="Normal"/>
    <w:rsid w:val="00F34EED"/>
    <w:pPr>
      <w:overflowPunct w:val="0"/>
      <w:autoSpaceDE w:val="0"/>
      <w:autoSpaceDN w:val="0"/>
      <w:adjustRightInd w:val="0"/>
      <w:spacing w:after="120"/>
      <w:ind w:firstLine="567"/>
      <w:jc w:val="both"/>
    </w:pPr>
    <w:rPr>
      <w:szCs w:val="20"/>
      <w:lang w:val="sk-SK"/>
    </w:rPr>
  </w:style>
  <w:style w:type="paragraph" w:customStyle="1" w:styleId="funkcia">
    <w:name w:val="funkcia"/>
    <w:basedOn w:val="Normal"/>
    <w:rsid w:val="00F34EED"/>
    <w:pPr>
      <w:keepNext/>
      <w:keepLines/>
      <w:spacing w:line="240" w:lineRule="atLeast"/>
      <w:jc w:val="center"/>
    </w:pPr>
    <w:rPr>
      <w:szCs w:val="20"/>
      <w:lang w:val="sk-SK"/>
    </w:rPr>
  </w:style>
  <w:style w:type="table" w:styleId="TableGrid">
    <w:name w:val="Table Grid"/>
    <w:basedOn w:val="TableNormal"/>
    <w:uiPriority w:val="59"/>
    <w:rsid w:val="00F34E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256DC"/>
    <w:rPr>
      <w:sz w:val="16"/>
      <w:szCs w:val="16"/>
    </w:rPr>
  </w:style>
  <w:style w:type="paragraph" w:styleId="CommentSubject">
    <w:name w:val="annotation subject"/>
    <w:basedOn w:val="CommentText"/>
    <w:next w:val="CommentText"/>
    <w:link w:val="CommentSubjectChar"/>
    <w:rsid w:val="00A256DC"/>
    <w:rPr>
      <w:b/>
      <w:bCs/>
    </w:rPr>
  </w:style>
  <w:style w:type="character" w:customStyle="1" w:styleId="CommentSubjectChar">
    <w:name w:val="Comment Subject Char"/>
    <w:basedOn w:val="CommentTextChar"/>
    <w:link w:val="CommentSubject"/>
    <w:rsid w:val="00A256DC"/>
    <w:rPr>
      <w:b/>
      <w:bCs/>
      <w:lang w:val="en-US" w:eastAsia="en-US"/>
    </w:rPr>
  </w:style>
  <w:style w:type="paragraph" w:styleId="Revision">
    <w:name w:val="Revision"/>
    <w:hidden/>
    <w:uiPriority w:val="99"/>
    <w:semiHidden/>
    <w:rsid w:val="0090793B"/>
    <w:rPr>
      <w:sz w:val="24"/>
      <w:szCs w:val="24"/>
      <w:lang w:val="en-US" w:eastAsia="en-US"/>
    </w:rPr>
  </w:style>
  <w:style w:type="character" w:styleId="Hyperlink">
    <w:name w:val="Hyperlink"/>
    <w:basedOn w:val="DefaultParagraphFont"/>
    <w:rsid w:val="009462ED"/>
    <w:rPr>
      <w:color w:val="0563C1" w:themeColor="hyperlink"/>
      <w:u w:val="single"/>
    </w:rPr>
  </w:style>
  <w:style w:type="paragraph" w:customStyle="1" w:styleId="Default">
    <w:name w:val="Default"/>
    <w:rsid w:val="00D819F8"/>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body Char,Odsek zoznamu2 Char,Odsek Char,Odsek zoznamu1 Char,ODRAZKY PRVA UROVEN Char,bullet Char,Bullet Number Char,lp1 Char,lp11 Char,List Paragraph11 Char,Use Case List Paragraph Char,List Paragraph1 Char,Bulleted Text Char"/>
    <w:link w:val="ListParagraph"/>
    <w:uiPriority w:val="34"/>
    <w:qFormat/>
    <w:rsid w:val="0045195C"/>
    <w:rPr>
      <w:rFonts w:ascii="Calibri" w:eastAsia="Calibri" w:hAnsi="Calibri"/>
      <w:sz w:val="22"/>
      <w:szCs w:val="22"/>
      <w:lang w:eastAsia="en-US"/>
    </w:rPr>
  </w:style>
  <w:style w:type="table" w:styleId="GridTable4-Accent5">
    <w:name w:val="Grid Table 4 Accent 5"/>
    <w:basedOn w:val="TableNormal"/>
    <w:uiPriority w:val="49"/>
    <w:rsid w:val="0045195C"/>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7318">
      <w:bodyDiv w:val="1"/>
      <w:marLeft w:val="0"/>
      <w:marRight w:val="0"/>
      <w:marTop w:val="0"/>
      <w:marBottom w:val="0"/>
      <w:divBdr>
        <w:top w:val="none" w:sz="0" w:space="0" w:color="auto"/>
        <w:left w:val="none" w:sz="0" w:space="0" w:color="auto"/>
        <w:bottom w:val="none" w:sz="0" w:space="0" w:color="auto"/>
        <w:right w:val="none" w:sz="0" w:space="0" w:color="auto"/>
      </w:divBdr>
    </w:div>
    <w:div w:id="108621281">
      <w:bodyDiv w:val="1"/>
      <w:marLeft w:val="0"/>
      <w:marRight w:val="0"/>
      <w:marTop w:val="0"/>
      <w:marBottom w:val="0"/>
      <w:divBdr>
        <w:top w:val="none" w:sz="0" w:space="0" w:color="auto"/>
        <w:left w:val="none" w:sz="0" w:space="0" w:color="auto"/>
        <w:bottom w:val="none" w:sz="0" w:space="0" w:color="auto"/>
        <w:right w:val="none" w:sz="0" w:space="0" w:color="auto"/>
      </w:divBdr>
    </w:div>
    <w:div w:id="375083774">
      <w:bodyDiv w:val="1"/>
      <w:marLeft w:val="0"/>
      <w:marRight w:val="0"/>
      <w:marTop w:val="0"/>
      <w:marBottom w:val="0"/>
      <w:divBdr>
        <w:top w:val="none" w:sz="0" w:space="0" w:color="auto"/>
        <w:left w:val="none" w:sz="0" w:space="0" w:color="auto"/>
        <w:bottom w:val="none" w:sz="0" w:space="0" w:color="auto"/>
        <w:right w:val="none" w:sz="0" w:space="0" w:color="auto"/>
      </w:divBdr>
    </w:div>
    <w:div w:id="482429937">
      <w:bodyDiv w:val="1"/>
      <w:marLeft w:val="0"/>
      <w:marRight w:val="0"/>
      <w:marTop w:val="0"/>
      <w:marBottom w:val="0"/>
      <w:divBdr>
        <w:top w:val="none" w:sz="0" w:space="0" w:color="auto"/>
        <w:left w:val="none" w:sz="0" w:space="0" w:color="auto"/>
        <w:bottom w:val="none" w:sz="0" w:space="0" w:color="auto"/>
        <w:right w:val="none" w:sz="0" w:space="0" w:color="auto"/>
      </w:divBdr>
    </w:div>
    <w:div w:id="88541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xd_ProgID xmlns="http://schemas.microsoft.com/sharepoint/v3" xsi:nil="true"/>
    <Metadata xmlns="0269C28B-7571-48C5-B98D-8C5C890573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DMS)" ma:contentTypeID="0x010100F5CEA94C78EB42B7A3BD7D634CEE81BF00DAC588A2687CC141AF299131B940332B" ma:contentTypeVersion="" ma:contentTypeDescription="" ma:contentTypeScope="" ma:versionID="9bf75833825cb5a84785c2d9fcd199f5">
  <xsd:schema xmlns:xsd="http://www.w3.org/2001/XMLSchema" xmlns:xs="http://www.w3.org/2001/XMLSchema" xmlns:p="http://schemas.microsoft.com/office/2006/metadata/properties" xmlns:ns1="http://schemas.microsoft.com/sharepoint/v3" xmlns:ns3="0269C28B-7571-48C5-B98D-8C5C89057314" xmlns:ns4="d3853cc4-d128-4a0a-b714-747fdaf64de0" targetNamespace="http://schemas.microsoft.com/office/2006/metadata/properties" ma:root="true" ma:fieldsID="4b84a5aeb4ecc069d2833e8b74360818" ns1:_="" ns3:_="" ns4:_="">
    <xsd:import namespace="http://schemas.microsoft.com/sharepoint/v3"/>
    <xsd:import namespace="0269C28B-7571-48C5-B98D-8C5C89057314"/>
    <xsd:import namespace="d3853cc4-d128-4a0a-b714-747fdaf64de0"/>
    <xsd:element name="properties">
      <xsd:complexType>
        <xsd:sequence>
          <xsd:element name="documentManagement">
            <xsd:complexType>
              <xsd:all>
                <xsd:element ref="ns1:TemplateUrl" minOccurs="0"/>
                <xsd:element ref="ns1:xd_ProgID" minOccurs="0"/>
                <xsd:element ref="ns1:xd_Signature" minOccurs="0"/>
                <xsd:element ref="ns3:Metadata"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emplateUrl" ma:index="1" nillable="true" ma:displayName="Prepojenie šablóny" ma:hidden="true" ma:internalName="TemplateUrl">
      <xsd:simpleType>
        <xsd:restriction base="dms:Text"/>
      </xsd:simpleType>
    </xsd:element>
    <xsd:element name="xd_ProgID" ma:index="2" nillable="true" ma:displayName="Prepojenie na súbor HTML" ma:hidden="true" ma:internalName="xd_ProgID">
      <xsd:simpleType>
        <xsd:restriction base="dms:Text"/>
      </xsd:simpleType>
    </xsd:element>
    <xsd:element name="xd_Signature" ma:index="3" nillable="true" ma:displayName="Je podpísané" ma:description="" ma:hidden="true" ma:indexed="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9C28B-7571-48C5-B98D-8C5C89057314" elementFormDefault="qualified">
    <xsd:import namespace="http://schemas.microsoft.com/office/2006/documentManagement/types"/>
    <xsd:import namespace="http://schemas.microsoft.com/office/infopath/2007/PartnerControls"/>
    <xsd:element name="Metadata" ma:index="7" nillable="true" ma:displayName="Metadata" ma:internalName="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53cc4-d128-4a0a-b714-747fdaf64de0"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Nadpis"/>
        <xsd:element ref="dc:subject" minOccurs="0" maxOccurs="1" ma:index="6" ma:displayName="Predme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C95AE-3D39-41BE-B90B-D01D22802249}">
  <ds:schemaRefs>
    <ds:schemaRef ds:uri="http://schemas.microsoft.com/office/2006/metadata/properties"/>
    <ds:schemaRef ds:uri="http://schemas.microsoft.com/office/infopath/2007/PartnerControls"/>
    <ds:schemaRef ds:uri="http://schemas.microsoft.com/sharepoint/v3"/>
    <ds:schemaRef ds:uri="0269C28B-7571-48C5-B98D-8C5C89057314"/>
  </ds:schemaRefs>
</ds:datastoreItem>
</file>

<file path=customXml/itemProps2.xml><?xml version="1.0" encoding="utf-8"?>
<ds:datastoreItem xmlns:ds="http://schemas.openxmlformats.org/officeDocument/2006/customXml" ds:itemID="{B5C9CCC0-1900-324E-84B3-46F7A45ABFF0}">
  <ds:schemaRefs>
    <ds:schemaRef ds:uri="http://schemas.openxmlformats.org/officeDocument/2006/bibliography"/>
  </ds:schemaRefs>
</ds:datastoreItem>
</file>

<file path=customXml/itemProps3.xml><?xml version="1.0" encoding="utf-8"?>
<ds:datastoreItem xmlns:ds="http://schemas.openxmlformats.org/officeDocument/2006/customXml" ds:itemID="{736A637B-F10D-4B1E-8EA5-BEB1C791F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69C28B-7571-48C5-B98D-8C5C89057314"/>
    <ds:schemaRef ds:uri="d3853cc4-d128-4a0a-b714-747fdaf64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5088</Words>
  <Characters>30242</Characters>
  <Application>Microsoft Office Word</Application>
  <DocSecurity>0</DocSecurity>
  <Lines>252</Lines>
  <Paragraphs>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Vysvetlenie _SP_1.docx</vt:lpstr>
      <vt:lpstr>Vysvetlenie _SP_1.docx</vt:lpstr>
    </vt:vector>
  </TitlesOfParts>
  <Company>NBS</Company>
  <LinksUpToDate>false</LinksUpToDate>
  <CharactersWithSpaces>35260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Vysvetlenie _SP_1.docx</dc:title>
  <dc:subject/>
  <dc:creator>Kucera</dc:creator>
  <cp:keywords/>
  <cp:lastModifiedBy>Kubánek Vladimír</cp:lastModifiedBy>
  <cp:revision>4</cp:revision>
  <cp:lastPrinted>2018-11-19T09:58:00Z</cp:lastPrinted>
  <dcterms:created xsi:type="dcterms:W3CDTF">2022-10-03T15:02:00Z</dcterms:created>
  <dcterms:modified xsi:type="dcterms:W3CDTF">2022-10-03T15:44:00Z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0x010100F5CEA94C78EB42B7A3BD7D634CEE81BF00DAC588A2687CC141AF299131B940332B</vt:lpwstr>
  </property>
</Properties>
</file>