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7940AB41" w14:textId="56CD5ED2" w:rsidR="00E10433" w:rsidRPr="00AE16F4" w:rsidRDefault="00EC42D7" w:rsidP="00EC42D7">
      <w:pPr>
        <w:tabs>
          <w:tab w:val="left" w:pos="5387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</w:r>
      <w:r w:rsidR="00D90824">
        <w:rPr>
          <w:rFonts w:ascii="Cambria" w:hAnsi="Cambria"/>
          <w:sz w:val="22"/>
          <w:szCs w:val="22"/>
          <w:lang w:val="sk-SK"/>
        </w:rPr>
        <w:t xml:space="preserve">     </w:t>
      </w:r>
      <w:r>
        <w:rPr>
          <w:rFonts w:ascii="Cambria" w:hAnsi="Cambria"/>
          <w:sz w:val="22"/>
          <w:szCs w:val="22"/>
          <w:lang w:val="sk-SK"/>
        </w:rPr>
        <w:t xml:space="preserve"> </w:t>
      </w:r>
      <w:r w:rsidR="005C4F38">
        <w:rPr>
          <w:rFonts w:ascii="Cambria" w:hAnsi="Cambria"/>
          <w:sz w:val="22"/>
          <w:szCs w:val="22"/>
          <w:lang w:val="sk-SK"/>
        </w:rPr>
        <w:t xml:space="preserve"> </w:t>
      </w:r>
      <w:r w:rsidR="002712F0"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432DE7" w:rsidRPr="00432DE7">
        <w:rPr>
          <w:rFonts w:ascii="Cambria" w:hAnsi="Cambria"/>
          <w:sz w:val="22"/>
          <w:szCs w:val="22"/>
          <w:lang w:val="sk-SK"/>
        </w:rPr>
        <w:t>NBS1-000-074-299</w:t>
      </w:r>
    </w:p>
    <w:p w14:paraId="5987CF6A" w14:textId="2C547EEB" w:rsidR="005F4847" w:rsidRPr="00AE16F4" w:rsidRDefault="00EC42D7" w:rsidP="00101C13">
      <w:pPr>
        <w:tabs>
          <w:tab w:val="left" w:pos="5529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</w:r>
      <w:r w:rsidR="00D90824">
        <w:rPr>
          <w:rFonts w:ascii="Cambria" w:hAnsi="Cambria"/>
          <w:sz w:val="22"/>
          <w:szCs w:val="22"/>
          <w:lang w:val="sk-SK"/>
        </w:rPr>
        <w:t xml:space="preserve">   </w:t>
      </w:r>
      <w:r w:rsidR="005C4F38">
        <w:rPr>
          <w:rFonts w:ascii="Cambria" w:hAnsi="Cambria"/>
          <w:sz w:val="22"/>
          <w:szCs w:val="22"/>
          <w:lang w:val="sk-SK"/>
        </w:rPr>
        <w:t xml:space="preserve"> </w:t>
      </w:r>
      <w:r w:rsidR="00B66DB9" w:rsidRPr="00AE16F4">
        <w:rPr>
          <w:rFonts w:ascii="Cambria" w:hAnsi="Cambria"/>
          <w:sz w:val="22"/>
          <w:szCs w:val="22"/>
          <w:lang w:val="sk-SK"/>
        </w:rPr>
        <w:t>Číslo záznamu:</w:t>
      </w:r>
      <w:r w:rsidR="001F5339">
        <w:rPr>
          <w:rFonts w:ascii="Cambria" w:hAnsi="Cambria"/>
          <w:sz w:val="22"/>
          <w:szCs w:val="22"/>
          <w:lang w:val="sk-SK"/>
        </w:rPr>
        <w:t xml:space="preserve"> </w:t>
      </w:r>
      <w:r w:rsidR="00101C13" w:rsidRPr="00101C13">
        <w:rPr>
          <w:rFonts w:ascii="Cambria" w:hAnsi="Cambria"/>
          <w:sz w:val="22"/>
          <w:szCs w:val="22"/>
          <w:lang w:val="sk-SK"/>
        </w:rPr>
        <w:t>100-000-400-234</w:t>
      </w:r>
      <w:r w:rsidR="00D90824">
        <w:rPr>
          <w:rFonts w:ascii="Cambria" w:hAnsi="Cambria"/>
          <w:sz w:val="22"/>
          <w:szCs w:val="22"/>
          <w:lang w:val="sk-SK"/>
        </w:rPr>
        <w:t xml:space="preserve">                                                             </w:t>
      </w:r>
      <w:r w:rsidR="005C4F38">
        <w:rPr>
          <w:rFonts w:ascii="Cambria" w:hAnsi="Cambria"/>
          <w:sz w:val="22"/>
          <w:szCs w:val="22"/>
          <w:lang w:val="sk-SK"/>
        </w:rPr>
        <w:tab/>
      </w:r>
      <w:r w:rsidR="005C4F38">
        <w:rPr>
          <w:rFonts w:ascii="Cambria" w:hAnsi="Cambria"/>
          <w:sz w:val="22"/>
          <w:szCs w:val="22"/>
          <w:lang w:val="sk-SK"/>
        </w:rPr>
        <w:tab/>
        <w:t xml:space="preserve">  </w:t>
      </w:r>
      <w:r w:rsidR="005F4847"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436550">
        <w:rPr>
          <w:rFonts w:ascii="Cambria" w:hAnsi="Cambria"/>
          <w:sz w:val="22"/>
          <w:szCs w:val="22"/>
          <w:lang w:val="sk-SK"/>
        </w:rPr>
        <w:t>0</w:t>
      </w:r>
      <w:r w:rsidR="005C4F38">
        <w:rPr>
          <w:rFonts w:ascii="Cambria" w:hAnsi="Cambria"/>
          <w:sz w:val="22"/>
          <w:szCs w:val="22"/>
          <w:lang w:val="sk-SK"/>
        </w:rPr>
        <w:t>5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 w:rsidR="00436550">
        <w:rPr>
          <w:rFonts w:ascii="Cambria" w:hAnsi="Cambria"/>
          <w:sz w:val="22"/>
          <w:szCs w:val="22"/>
          <w:lang w:val="sk-SK"/>
        </w:rPr>
        <w:t>10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>
        <w:rPr>
          <w:rFonts w:ascii="Cambria" w:hAnsi="Cambria"/>
          <w:sz w:val="22"/>
          <w:szCs w:val="22"/>
          <w:lang w:val="sk-SK"/>
        </w:rPr>
        <w:t>202</w:t>
      </w:r>
      <w:r w:rsidR="00432DE7">
        <w:rPr>
          <w:rFonts w:ascii="Cambria" w:hAnsi="Cambria"/>
          <w:sz w:val="22"/>
          <w:szCs w:val="22"/>
          <w:lang w:val="sk-SK"/>
        </w:rPr>
        <w:t>2</w:t>
      </w:r>
    </w:p>
    <w:p w14:paraId="4A2CEDA0" w14:textId="77777777" w:rsidR="004865D1" w:rsidRPr="00AE16F4" w:rsidRDefault="004865D1" w:rsidP="00EE0D3D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AE16F4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73618D73" w:rsidR="001B469A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>
        <w:rPr>
          <w:rFonts w:ascii="Cambria" w:hAnsi="Cambria"/>
          <w:color w:val="000000"/>
          <w:sz w:val="22"/>
          <w:szCs w:val="22"/>
          <w:lang w:val="sk-SK"/>
        </w:rPr>
        <w:t>v oznámení o vyhlásení verejného obstarávania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, v súťažných podkladoch alebo v inej sprievodnej dokumentácii </w:t>
      </w:r>
      <w:r w:rsidR="00923673" w:rsidRPr="00AE16F4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>
        <w:rPr>
          <w:rFonts w:ascii="Cambria" w:hAnsi="Cambria"/>
          <w:sz w:val="22"/>
          <w:szCs w:val="22"/>
          <w:lang w:val="sk-SK"/>
        </w:rPr>
        <w:t>48</w:t>
      </w:r>
      <w:r w:rsidR="000D6E7E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2D543C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7804020F" w:rsidR="00E6446D" w:rsidRPr="00432DE7" w:rsidRDefault="00E6446D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75503B">
        <w:rPr>
          <w:rFonts w:ascii="Cambria" w:hAnsi="Cambria"/>
          <w:sz w:val="22"/>
          <w:szCs w:val="22"/>
          <w:lang w:val="sk-SK"/>
        </w:rPr>
        <w:t xml:space="preserve">Verejný obstarávateľ, Národná banka Slovenska so sídlom Imricha </w:t>
      </w:r>
      <w:proofErr w:type="spellStart"/>
      <w:r w:rsidRPr="0075503B">
        <w:rPr>
          <w:rFonts w:ascii="Cambria" w:hAnsi="Cambria"/>
          <w:sz w:val="22"/>
          <w:szCs w:val="22"/>
          <w:lang w:val="sk-SK"/>
        </w:rPr>
        <w:t>Karvaša</w:t>
      </w:r>
      <w:proofErr w:type="spellEnd"/>
      <w:r w:rsidRPr="0075503B">
        <w:rPr>
          <w:rFonts w:ascii="Cambria" w:hAnsi="Cambria"/>
          <w:sz w:val="22"/>
          <w:szCs w:val="22"/>
          <w:lang w:val="sk-SK"/>
        </w:rPr>
        <w:t xml:space="preserve"> 1, 813 25 Bratislava (ďalej len „verejný obstarávateľ</w:t>
      </w:r>
      <w:bookmarkStart w:id="0" w:name="_Hlk75852783"/>
      <w:r w:rsidRPr="0075503B">
        <w:rPr>
          <w:rFonts w:ascii="Cambria" w:hAnsi="Cambria"/>
          <w:sz w:val="22"/>
          <w:szCs w:val="22"/>
          <w:lang w:val="sk-SK"/>
        </w:rPr>
        <w:t>“</w:t>
      </w:r>
      <w:bookmarkEnd w:id="0"/>
      <w:r w:rsidRPr="0075503B">
        <w:rPr>
          <w:rFonts w:ascii="Cambria" w:hAnsi="Cambria"/>
          <w:sz w:val="22"/>
          <w:szCs w:val="22"/>
          <w:lang w:val="sk-SK"/>
        </w:rPr>
        <w:t>)</w:t>
      </w:r>
      <w:r w:rsidR="00F65D06" w:rsidRPr="0075503B">
        <w:rPr>
          <w:rFonts w:ascii="Cambria" w:hAnsi="Cambria"/>
          <w:sz w:val="22"/>
          <w:szCs w:val="22"/>
          <w:lang w:val="sk-SK"/>
        </w:rPr>
        <w:t>,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obdržal dňa </w:t>
      </w:r>
      <w:r w:rsidR="00436550">
        <w:rPr>
          <w:rFonts w:ascii="Cambria" w:hAnsi="Cambria"/>
          <w:bCs/>
          <w:kern w:val="32"/>
          <w:sz w:val="22"/>
          <w:szCs w:val="22"/>
          <w:lang w:val="sk-SK" w:eastAsia="sk-SK"/>
        </w:rPr>
        <w:t>03</w:t>
      </w:r>
      <w:r w:rsidR="00406533" w:rsidRPr="00406533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436550">
        <w:rPr>
          <w:rFonts w:ascii="Cambria" w:hAnsi="Cambria"/>
          <w:bCs/>
          <w:kern w:val="32"/>
          <w:sz w:val="22"/>
          <w:szCs w:val="22"/>
          <w:lang w:val="sk-SK" w:eastAsia="sk-SK"/>
        </w:rPr>
        <w:t>10</w:t>
      </w:r>
      <w:r w:rsidR="00406533" w:rsidRPr="00406533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.2022 </w:t>
      </w:r>
      <w:r w:rsidRPr="0075503B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75503B">
        <w:rPr>
          <w:rFonts w:ascii="Cambria" w:hAnsi="Cambria"/>
          <w:sz w:val="22"/>
          <w:szCs w:val="22"/>
          <w:lang w:val="sk-SK"/>
        </w:rPr>
        <w:t>nformácií uvedených v súťažných podkladoch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v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="00C44A15" w:rsidRPr="0075503B">
        <w:rPr>
          <w:rFonts w:ascii="Cambria" w:hAnsi="Cambria"/>
          <w:sz w:val="22"/>
          <w:szCs w:val="22"/>
          <w:lang w:val="sk-SK"/>
        </w:rPr>
        <w:t xml:space="preserve">nadlimitnej zákazke s názvom </w:t>
      </w:r>
      <w:r w:rsidR="00432DE7">
        <w:rPr>
          <w:rFonts w:ascii="Cambria" w:hAnsi="Cambria"/>
          <w:sz w:val="22"/>
          <w:szCs w:val="22"/>
          <w:lang w:val="sk-SK"/>
        </w:rPr>
        <w:t>„</w:t>
      </w:r>
      <w:r w:rsidR="00432DE7" w:rsidRPr="00432DE7">
        <w:rPr>
          <w:rFonts w:ascii="Cambria" w:hAnsi="Cambria"/>
          <w:b/>
          <w:bCs/>
          <w:sz w:val="22"/>
          <w:szCs w:val="22"/>
          <w:lang w:val="sk-SK"/>
        </w:rPr>
        <w:t>Konsolidácia údajov DWH/BI</w:t>
      </w:r>
      <w:r w:rsidR="00432DE7">
        <w:rPr>
          <w:rFonts w:ascii="Cambria" w:hAnsi="Cambria"/>
          <w:sz w:val="22"/>
          <w:szCs w:val="22"/>
          <w:lang w:val="sk-SK"/>
        </w:rPr>
        <w:t>“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="00432DE7" w:rsidRPr="00003D8D">
        <w:rPr>
          <w:rFonts w:ascii="Cambria" w:hAnsi="Cambria"/>
          <w:sz w:val="22"/>
          <w:szCs w:val="22"/>
          <w:lang w:val="sk-SK"/>
        </w:rPr>
        <w:t>uverejnenej v Ú. v. EÚ/S 155 dňa 12.08.2022 pod číslom 2022/S 155-442756 a vo Vestníku verejného obstarávania 180/2022 dňa 15. 8. 2022 pod číslom 37325-MSS</w:t>
      </w:r>
      <w:r w:rsidR="00BA37F3" w:rsidRPr="00B060A4">
        <w:rPr>
          <w:rFonts w:ascii="Cambria" w:hAnsi="Cambria"/>
          <w:sz w:val="22"/>
          <w:szCs w:val="22"/>
          <w:lang w:val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75503B">
        <w:rPr>
          <w:rFonts w:ascii="Cambria" w:hAnsi="Cambria"/>
          <w:sz w:val="22"/>
          <w:szCs w:val="22"/>
          <w:lang w:val="sk-SK"/>
        </w:rPr>
        <w:t>ť</w:t>
      </w:r>
      <w:r w:rsidRPr="0075503B">
        <w:rPr>
          <w:rFonts w:ascii="Cambria" w:hAnsi="Cambria"/>
          <w:sz w:val="22"/>
          <w:szCs w:val="22"/>
          <w:lang w:val="sk-SK"/>
        </w:rPr>
        <w:t xml:space="preserve"> o vysvetlenie“)</w:t>
      </w:r>
      <w:r w:rsidRPr="0075503B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B5A5F" w14:textId="4CD0021E" w:rsidR="004961D7" w:rsidRPr="004961D7" w:rsidRDefault="004961D7" w:rsidP="004961D7">
      <w:pPr>
        <w:jc w:val="both"/>
        <w:rPr>
          <w:rFonts w:ascii="Cambria" w:hAnsi="Cambria"/>
          <w:sz w:val="22"/>
          <w:szCs w:val="22"/>
          <w:lang w:val="sk-SK"/>
        </w:rPr>
      </w:pPr>
      <w:r w:rsidRPr="004961D7">
        <w:rPr>
          <w:rFonts w:ascii="Cambria" w:hAnsi="Cambria"/>
          <w:sz w:val="22"/>
          <w:szCs w:val="22"/>
          <w:lang w:val="sk-SK"/>
        </w:rPr>
        <w:t>V zmysle bodu 11.2 súťažných podkladov nadlimitnej zákazky s názvom „Konsolidácia údajov DWH/BI“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Pr="004961D7">
        <w:rPr>
          <w:rFonts w:ascii="Cambria" w:hAnsi="Cambria"/>
          <w:sz w:val="22"/>
          <w:szCs w:val="22"/>
          <w:lang w:val="sk-SK"/>
        </w:rPr>
        <w:t>uverejnenej v Ú. v. EÚ/S 155 dňa 12.08.2022 pod číslom 2022/S 155-442756 a vo Vestníku verejného obstarávania 180/2022 dňa 15. 8. 2022 pod číslom 37325-MSS : „</w:t>
      </w:r>
      <w:r w:rsidRPr="004961D7">
        <w:rPr>
          <w:rFonts w:ascii="Cambria" w:hAnsi="Cambria"/>
          <w:i/>
          <w:iCs/>
          <w:sz w:val="22"/>
          <w:szCs w:val="22"/>
          <w:lang w:val="sk-SK"/>
        </w:rPr>
        <w:t xml:space="preserve"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</w:t>
      </w:r>
      <w:r w:rsidRPr="004961D7">
        <w:rPr>
          <w:rFonts w:ascii="Cambria" w:hAnsi="Cambria"/>
          <w:i/>
          <w:iCs/>
          <w:sz w:val="22"/>
          <w:szCs w:val="22"/>
          <w:lang w:val="sk-SK"/>
        </w:rPr>
        <w:br/>
        <w:t>o vysvetlenie záujemca požiada dostatočne vopred v súlade s § 48 zákona o verejnom obstarávaní prostredníctvom komunikačného rozhrania systému JOSEPHINE.</w:t>
      </w:r>
      <w:r w:rsidRPr="004961D7">
        <w:rPr>
          <w:rFonts w:ascii="Cambria" w:hAnsi="Cambria"/>
          <w:sz w:val="22"/>
          <w:szCs w:val="22"/>
          <w:lang w:val="sk-SK"/>
        </w:rPr>
        <w:t>“</w:t>
      </w:r>
    </w:p>
    <w:p w14:paraId="34E6FAB4" w14:textId="54C042B1" w:rsidR="004961D7" w:rsidRPr="004961D7" w:rsidRDefault="004961D7" w:rsidP="004961D7">
      <w:pPr>
        <w:jc w:val="both"/>
        <w:rPr>
          <w:rFonts w:ascii="Cambria" w:hAnsi="Cambria"/>
          <w:sz w:val="22"/>
          <w:szCs w:val="22"/>
          <w:lang w:val="sk-SK"/>
        </w:rPr>
      </w:pPr>
      <w:r w:rsidRPr="004961D7">
        <w:rPr>
          <w:rFonts w:ascii="Cambria" w:hAnsi="Cambria"/>
          <w:sz w:val="22"/>
          <w:szCs w:val="22"/>
          <w:lang w:val="sk-SK"/>
        </w:rPr>
        <w:t>Vzhľadom na skutočnosť, že žiadosť o vysvetlenie súťažných podkladov bola doručená verejnému obstarávateľovi dňa 03.10.2022 o 16,59 h</w:t>
      </w:r>
      <w:r>
        <w:rPr>
          <w:rFonts w:ascii="Cambria" w:hAnsi="Cambria"/>
          <w:sz w:val="22"/>
          <w:szCs w:val="22"/>
          <w:lang w:val="sk-SK"/>
        </w:rPr>
        <w:t>,</w:t>
      </w:r>
      <w:r w:rsidRPr="004961D7">
        <w:rPr>
          <w:rFonts w:ascii="Cambria" w:hAnsi="Cambria"/>
          <w:sz w:val="22"/>
          <w:szCs w:val="22"/>
          <w:lang w:val="sk-SK"/>
        </w:rPr>
        <w:t xml:space="preserve"> </w:t>
      </w:r>
      <w:r w:rsidR="00E06229">
        <w:rPr>
          <w:rFonts w:ascii="Cambria" w:hAnsi="Cambria"/>
          <w:sz w:val="22"/>
          <w:szCs w:val="22"/>
          <w:lang w:val="sk-SK"/>
        </w:rPr>
        <w:t xml:space="preserve">verejný obstarávateľ nie je povinný </w:t>
      </w:r>
      <w:r w:rsidRPr="004961D7">
        <w:rPr>
          <w:rFonts w:ascii="Cambria" w:hAnsi="Cambria"/>
          <w:sz w:val="22"/>
          <w:szCs w:val="22"/>
          <w:lang w:val="sk-SK"/>
        </w:rPr>
        <w:t>poskytnúť predmetné vysvetlenie v súlade s ustanovením § 48 zákona o verejnom obstarávaní.</w:t>
      </w:r>
    </w:p>
    <w:p w14:paraId="1C2C9F8A" w14:textId="2ABAC3C9" w:rsidR="004961D7" w:rsidRPr="004961D7" w:rsidRDefault="004961D7" w:rsidP="004961D7">
      <w:pPr>
        <w:jc w:val="both"/>
        <w:rPr>
          <w:rFonts w:ascii="Cambria" w:hAnsi="Cambria"/>
          <w:sz w:val="22"/>
          <w:szCs w:val="22"/>
          <w:lang w:val="sk-SK"/>
        </w:rPr>
      </w:pPr>
      <w:r w:rsidRPr="004961D7">
        <w:rPr>
          <w:rFonts w:ascii="Cambria" w:hAnsi="Cambria"/>
          <w:sz w:val="22"/>
          <w:szCs w:val="22"/>
          <w:lang w:val="sk-SK"/>
        </w:rPr>
        <w:t xml:space="preserve">Napriek tejto skutočnosti </w:t>
      </w:r>
      <w:r>
        <w:rPr>
          <w:rFonts w:ascii="Cambria" w:hAnsi="Cambria"/>
          <w:sz w:val="22"/>
          <w:szCs w:val="22"/>
          <w:lang w:val="sk-SK"/>
        </w:rPr>
        <w:t>verejný obstarávateľ p</w:t>
      </w:r>
      <w:r w:rsidRPr="004961D7">
        <w:rPr>
          <w:rFonts w:ascii="Cambria" w:hAnsi="Cambria"/>
          <w:sz w:val="22"/>
          <w:szCs w:val="22"/>
          <w:lang w:val="sk-SK"/>
        </w:rPr>
        <w:t xml:space="preserve">o podrobnom oboznámení sa so žiadosťou </w:t>
      </w:r>
      <w:r>
        <w:rPr>
          <w:rFonts w:ascii="Cambria" w:hAnsi="Cambria"/>
          <w:sz w:val="22"/>
          <w:szCs w:val="22"/>
          <w:lang w:val="sk-SK"/>
        </w:rPr>
        <w:t>poskytuje</w:t>
      </w:r>
      <w:r w:rsidRPr="004961D7">
        <w:rPr>
          <w:rFonts w:ascii="Cambria" w:hAnsi="Cambria"/>
          <w:sz w:val="22"/>
          <w:szCs w:val="22"/>
          <w:lang w:val="sk-SK"/>
        </w:rPr>
        <w:t xml:space="preserve"> nasledujúce vysvetlenie súťažných podkladov s tým, že verejný obstarávateľ nepredĺži lehotu na predkladanie ponúk, nakoľko v dokumentoch potrebných na vypracovanie ponuky alebo na preukázanie splnenia podmienok účasti nevykonal </w:t>
      </w:r>
      <w:r w:rsidR="00E06229">
        <w:rPr>
          <w:rFonts w:ascii="Cambria" w:hAnsi="Cambria"/>
          <w:sz w:val="22"/>
          <w:szCs w:val="22"/>
          <w:lang w:val="sk-SK"/>
        </w:rPr>
        <w:t xml:space="preserve">z hľadiska prípravy ponuky </w:t>
      </w:r>
      <w:r w:rsidRPr="004961D7">
        <w:rPr>
          <w:rFonts w:ascii="Cambria" w:hAnsi="Cambria"/>
          <w:sz w:val="22"/>
          <w:szCs w:val="22"/>
          <w:lang w:val="sk-SK"/>
        </w:rPr>
        <w:t>podstatnú zmenu.</w:t>
      </w:r>
    </w:p>
    <w:p w14:paraId="1D12924E" w14:textId="77777777" w:rsidR="004961D7" w:rsidRDefault="004961D7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625DC879" w14:textId="453A2CE8" w:rsidR="005845D2" w:rsidRPr="00406533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406533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436550">
        <w:rPr>
          <w:rFonts w:ascii="Cambria" w:hAnsi="Cambria"/>
          <w:b/>
          <w:sz w:val="22"/>
          <w:szCs w:val="22"/>
          <w:u w:val="single"/>
          <w:lang w:val="sk-SK"/>
        </w:rPr>
        <w:t>24</w:t>
      </w:r>
    </w:p>
    <w:p w14:paraId="0FE5AFF6" w14:textId="1F01FCD8" w:rsidR="00E7562E" w:rsidRDefault="00436550" w:rsidP="00E7562E">
      <w:pPr>
        <w:jc w:val="both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>Ž</w:t>
      </w:r>
      <w:r w:rsidRPr="00436550">
        <w:rPr>
          <w:rFonts w:ascii="Cambria" w:hAnsi="Cambria"/>
          <w:sz w:val="22"/>
          <w:szCs w:val="22"/>
          <w:lang w:val="sk-SK"/>
        </w:rPr>
        <w:t xml:space="preserve">iadame informáciu, v akom stave sú projekty NBS uvedené na konci kapitoly 3.1.1.1 Produkcia štatistických dát a či nebudú </w:t>
      </w:r>
      <w:proofErr w:type="spellStart"/>
      <w:r w:rsidRPr="00436550">
        <w:rPr>
          <w:rFonts w:ascii="Cambria" w:hAnsi="Cambria"/>
          <w:sz w:val="22"/>
          <w:szCs w:val="22"/>
          <w:lang w:val="sk-SK"/>
        </w:rPr>
        <w:t>blokerom</w:t>
      </w:r>
      <w:proofErr w:type="spellEnd"/>
      <w:r w:rsidRPr="00436550">
        <w:rPr>
          <w:rFonts w:ascii="Cambria" w:hAnsi="Cambria"/>
          <w:sz w:val="22"/>
          <w:szCs w:val="22"/>
          <w:lang w:val="sk-SK"/>
        </w:rPr>
        <w:t xml:space="preserve"> postupovania projektu; rovnako na konci kapitoly 3.1.1.2 ASDR, DMS/ECM; obdobne migrácia SAP FINU/HRO na S4HANA. Podľa návrhu zmluvy sú za nedodržanie termínov implementácie DWH dodávateľom vysoké sankcie - pričom </w:t>
      </w:r>
      <w:proofErr w:type="spellStart"/>
      <w:r w:rsidRPr="00436550">
        <w:rPr>
          <w:rFonts w:ascii="Cambria" w:hAnsi="Cambria"/>
          <w:sz w:val="22"/>
          <w:szCs w:val="22"/>
          <w:lang w:val="sk-SK"/>
        </w:rPr>
        <w:t>nedokončenosť</w:t>
      </w:r>
      <w:proofErr w:type="spellEnd"/>
      <w:r w:rsidRPr="00436550">
        <w:rPr>
          <w:rFonts w:ascii="Cambria" w:hAnsi="Cambria"/>
          <w:sz w:val="22"/>
          <w:szCs w:val="22"/>
          <w:lang w:val="sk-SK"/>
        </w:rPr>
        <w:t xml:space="preserve"> vyššie uvedených projektov nie je vinou dodávateľa DWH</w:t>
      </w:r>
      <w:r w:rsidR="00A859B8" w:rsidRPr="00A859B8">
        <w:rPr>
          <w:rFonts w:ascii="Cambria" w:hAnsi="Cambria"/>
          <w:sz w:val="22"/>
          <w:szCs w:val="22"/>
          <w:lang w:val="sk-SK"/>
        </w:rPr>
        <w:t>.</w:t>
      </w:r>
    </w:p>
    <w:p w14:paraId="209A6FE6" w14:textId="6ECB66CD" w:rsidR="00E7562E" w:rsidRDefault="00E7562E" w:rsidP="00E7562E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2EBA5C5B" w14:textId="06666DCE" w:rsidR="00086450" w:rsidRPr="00086450" w:rsidRDefault="00086450" w:rsidP="00086450">
      <w:pPr>
        <w:jc w:val="both"/>
        <w:rPr>
          <w:rFonts w:ascii="Cambria" w:hAnsi="Cambria"/>
          <w:sz w:val="22"/>
          <w:szCs w:val="22"/>
          <w:lang w:val="sk-SK"/>
        </w:rPr>
      </w:pPr>
      <w:r w:rsidRPr="00086450">
        <w:rPr>
          <w:rFonts w:ascii="Cambria" w:hAnsi="Cambria"/>
          <w:sz w:val="22"/>
          <w:szCs w:val="22"/>
          <w:lang w:val="sk-SK"/>
        </w:rPr>
        <w:t>Kapitola 3.1. Opisu predmetu zákazky a jej podkapitoly 3.1.1.1 a 3.1.1.2 opisujú stav pred projektom a nie cieľovú implementáciu.</w:t>
      </w:r>
      <w:r>
        <w:rPr>
          <w:rFonts w:ascii="Cambria" w:hAnsi="Cambria"/>
          <w:sz w:val="22"/>
          <w:szCs w:val="22"/>
          <w:lang w:val="sk-SK"/>
        </w:rPr>
        <w:t xml:space="preserve"> </w:t>
      </w:r>
      <w:r w:rsidRPr="00086450">
        <w:rPr>
          <w:rFonts w:ascii="Cambria" w:hAnsi="Cambria"/>
          <w:sz w:val="22"/>
          <w:szCs w:val="22"/>
          <w:lang w:val="sk-SK"/>
        </w:rPr>
        <w:t>Zdrojové systémy DMS/ECM ani SAP FINU/HRO nie sú predmetom zákazky.</w:t>
      </w:r>
      <w:r>
        <w:rPr>
          <w:rFonts w:ascii="Cambria" w:hAnsi="Cambria"/>
          <w:sz w:val="22"/>
          <w:szCs w:val="22"/>
          <w:lang w:val="sk-SK"/>
        </w:rPr>
        <w:t xml:space="preserve"> </w:t>
      </w:r>
      <w:r w:rsidRPr="00086450">
        <w:rPr>
          <w:rFonts w:ascii="Cambria" w:hAnsi="Cambria"/>
          <w:sz w:val="22"/>
          <w:szCs w:val="22"/>
          <w:lang w:val="sk-SK"/>
        </w:rPr>
        <w:t>Integrácia so systémom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Pr="00086450">
        <w:rPr>
          <w:rFonts w:ascii="Cambria" w:hAnsi="Cambria"/>
          <w:sz w:val="22"/>
          <w:szCs w:val="22"/>
          <w:lang w:val="sk-SK"/>
        </w:rPr>
        <w:t>ASDR je predmetom 5. fázy projektu zákazky (Príloha A Opisu predmetu). V časovom intervale projektového plánu pre 5. fázu (obrázok 17 v Opise predmetu zákazky)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Pr="00086450">
        <w:rPr>
          <w:rFonts w:ascii="Cambria" w:hAnsi="Cambria"/>
          <w:sz w:val="22"/>
          <w:szCs w:val="22"/>
          <w:lang w:val="sk-SK"/>
        </w:rPr>
        <w:t xml:space="preserve">verejný obstarávateľ </w:t>
      </w:r>
      <w:r w:rsidR="00504C6A">
        <w:rPr>
          <w:rFonts w:ascii="Cambria" w:hAnsi="Cambria"/>
          <w:sz w:val="22"/>
          <w:szCs w:val="22"/>
          <w:lang w:val="sk-SK"/>
        </w:rPr>
        <w:t>zabezpečí</w:t>
      </w:r>
      <w:r w:rsidRPr="00086450">
        <w:rPr>
          <w:rFonts w:ascii="Cambria" w:hAnsi="Cambria"/>
          <w:sz w:val="22"/>
          <w:szCs w:val="22"/>
          <w:lang w:val="sk-SK"/>
        </w:rPr>
        <w:t xml:space="preserve"> pripravenosť systému ASDR.</w:t>
      </w:r>
      <w:r w:rsidR="00400548" w:rsidRPr="00400548">
        <w:t xml:space="preserve"> </w:t>
      </w:r>
      <w:r w:rsidR="00400548" w:rsidRPr="00400548">
        <w:rPr>
          <w:rFonts w:ascii="Cambria" w:hAnsi="Cambria"/>
          <w:sz w:val="22"/>
          <w:szCs w:val="22"/>
          <w:lang w:val="sk-SK"/>
        </w:rPr>
        <w:t>Verejný obstarávateľ-objednávateľ nebude sankcionovať zhotoviteľa v prípade, ak verejný obstarávateľ-</w:t>
      </w:r>
      <w:r w:rsidR="00400548" w:rsidRPr="00400548">
        <w:rPr>
          <w:rFonts w:ascii="Cambria" w:hAnsi="Cambria"/>
          <w:sz w:val="22"/>
          <w:szCs w:val="22"/>
          <w:lang w:val="sk-SK"/>
        </w:rPr>
        <w:lastRenderedPageBreak/>
        <w:t>objednávateľ nezabezpečí včasnú pripravenosť systému ASDR pre zhotoviteľovu implementáciu DWH.</w:t>
      </w:r>
    </w:p>
    <w:p w14:paraId="585E28CF" w14:textId="77777777" w:rsidR="004763A8" w:rsidRDefault="004763A8" w:rsidP="00E7562E">
      <w:pPr>
        <w:jc w:val="both"/>
        <w:rPr>
          <w:rFonts w:ascii="Cambria" w:hAnsi="Cambria"/>
          <w:b/>
          <w:bCs/>
          <w:sz w:val="22"/>
          <w:szCs w:val="22"/>
          <w:lang w:val="sk-SK"/>
        </w:rPr>
      </w:pPr>
    </w:p>
    <w:p w14:paraId="50845BDF" w14:textId="6D59A984" w:rsidR="00E7562E" w:rsidRPr="005C4F38" w:rsidRDefault="00E7562E" w:rsidP="00E7562E">
      <w:pPr>
        <w:jc w:val="both"/>
        <w:rPr>
          <w:rFonts w:ascii="Cambria" w:hAnsi="Cambria"/>
          <w:b/>
          <w:bCs/>
          <w:sz w:val="22"/>
          <w:szCs w:val="22"/>
          <w:u w:val="single"/>
          <w:lang w:val="sk-SK"/>
        </w:rPr>
      </w:pPr>
      <w:r w:rsidRPr="005C4F38">
        <w:rPr>
          <w:rFonts w:ascii="Cambria" w:hAnsi="Cambria"/>
          <w:b/>
          <w:bCs/>
          <w:sz w:val="22"/>
          <w:szCs w:val="22"/>
          <w:u w:val="single"/>
          <w:lang w:val="sk-SK"/>
        </w:rPr>
        <w:t xml:space="preserve">Otázka č. </w:t>
      </w:r>
      <w:r w:rsidR="00436550" w:rsidRPr="005C4F38">
        <w:rPr>
          <w:rFonts w:ascii="Cambria" w:hAnsi="Cambria"/>
          <w:b/>
          <w:bCs/>
          <w:sz w:val="22"/>
          <w:szCs w:val="22"/>
          <w:u w:val="single"/>
          <w:lang w:val="sk-SK"/>
        </w:rPr>
        <w:t>25</w:t>
      </w:r>
    </w:p>
    <w:p w14:paraId="431F2192" w14:textId="77777777" w:rsidR="00436550" w:rsidRDefault="00436550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436550">
        <w:rPr>
          <w:rFonts w:ascii="Cambria" w:hAnsi="Cambria"/>
          <w:sz w:val="22"/>
          <w:szCs w:val="22"/>
          <w:lang w:val="sk-SK"/>
        </w:rPr>
        <w:t>V kapitole 3.1.2.1 je pre externý zdroj Reuters uvedené, že nie sú požiadavky na integráciu. Znamená to, že tento systém sa nebude vôbec integrovať, t. j. z pohľadu obstarávaného diela je irelevantný?</w:t>
      </w:r>
    </w:p>
    <w:p w14:paraId="4A2E3CD0" w14:textId="77777777" w:rsidR="00086450" w:rsidRDefault="00E7562E" w:rsidP="00E7562E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>Odpoveď:</w:t>
      </w:r>
    </w:p>
    <w:p w14:paraId="2D21ED1E" w14:textId="5E74B8BC" w:rsidR="00E7562E" w:rsidRPr="00086450" w:rsidRDefault="00086450" w:rsidP="00086450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086450">
        <w:rPr>
          <w:rFonts w:ascii="Cambria" w:hAnsi="Cambria"/>
          <w:bCs/>
          <w:sz w:val="22"/>
          <w:szCs w:val="22"/>
          <w:lang w:val="sk-SK"/>
        </w:rPr>
        <w:t>Kapitola 3.1. Opisu predmetu zákazky a jej podkapitola 3.1.2.1 opisuje východiskovú situáciu a nie o požiadavky na implementáciu.</w:t>
      </w:r>
      <w:r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086450">
        <w:rPr>
          <w:rFonts w:ascii="Cambria" w:hAnsi="Cambria"/>
          <w:bCs/>
          <w:sz w:val="22"/>
          <w:szCs w:val="22"/>
          <w:lang w:val="sk-SK"/>
        </w:rPr>
        <w:t>Integrácia na externý zdroj Reuters nie je predmetom zákazky.</w:t>
      </w:r>
    </w:p>
    <w:p w14:paraId="21048F04" w14:textId="77777777" w:rsidR="00E7562E" w:rsidRPr="00086450" w:rsidRDefault="00E7562E" w:rsidP="00E7562E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6EF5E0D" w14:textId="4D89872A" w:rsidR="00E7562E" w:rsidRPr="005C4F38" w:rsidRDefault="00E7562E" w:rsidP="00E7562E">
      <w:pPr>
        <w:jc w:val="both"/>
        <w:rPr>
          <w:rFonts w:ascii="Cambria" w:hAnsi="Cambria"/>
          <w:b/>
          <w:bCs/>
          <w:sz w:val="22"/>
          <w:szCs w:val="22"/>
          <w:u w:val="single"/>
          <w:lang w:val="sk-SK"/>
        </w:rPr>
      </w:pPr>
      <w:r w:rsidRPr="005C4F38">
        <w:rPr>
          <w:rFonts w:ascii="Cambria" w:hAnsi="Cambria"/>
          <w:b/>
          <w:bCs/>
          <w:sz w:val="22"/>
          <w:szCs w:val="22"/>
          <w:u w:val="single"/>
          <w:lang w:val="sk-SK"/>
        </w:rPr>
        <w:t xml:space="preserve">Otázka č. </w:t>
      </w:r>
      <w:r w:rsidR="00436550" w:rsidRPr="005C4F38">
        <w:rPr>
          <w:rFonts w:ascii="Cambria" w:hAnsi="Cambria"/>
          <w:b/>
          <w:bCs/>
          <w:sz w:val="22"/>
          <w:szCs w:val="22"/>
          <w:u w:val="single"/>
          <w:lang w:val="sk-SK"/>
        </w:rPr>
        <w:t>26</w:t>
      </w:r>
    </w:p>
    <w:p w14:paraId="0C7C6AE8" w14:textId="77777777" w:rsidR="00436550" w:rsidRDefault="00436550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436550">
        <w:rPr>
          <w:rFonts w:ascii="Cambria" w:hAnsi="Cambria"/>
          <w:sz w:val="22"/>
          <w:szCs w:val="22"/>
          <w:lang w:val="sk-SK"/>
        </w:rPr>
        <w:t xml:space="preserve">Str. 43 opisu predmetu dodávky hovorí, že pre každý dátový zdroj </w:t>
      </w:r>
      <w:proofErr w:type="spellStart"/>
      <w:r w:rsidRPr="00436550">
        <w:rPr>
          <w:rFonts w:ascii="Cambria" w:hAnsi="Cambria"/>
          <w:sz w:val="22"/>
          <w:szCs w:val="22"/>
          <w:lang w:val="sk-SK"/>
        </w:rPr>
        <w:t>loadovaný</w:t>
      </w:r>
      <w:proofErr w:type="spellEnd"/>
      <w:r w:rsidRPr="00436550">
        <w:rPr>
          <w:rFonts w:ascii="Cambria" w:hAnsi="Cambria"/>
          <w:sz w:val="22"/>
          <w:szCs w:val="22"/>
          <w:lang w:val="sk-SK"/>
        </w:rPr>
        <w:t xml:space="preserve"> do DWH musí byť vytvorená a podpísaná „Dohoda o extrakcii“. Kto bude zabezpečovať jej podpisovanie - NBS? Čo ak by napr. dodávateľ niektorého systému odmietol dohodu podpísať?</w:t>
      </w:r>
    </w:p>
    <w:p w14:paraId="732F469D" w14:textId="3EDFFBCF" w:rsidR="00E7562E" w:rsidRDefault="00E7562E" w:rsidP="00E7562E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2EEEB8A7" w14:textId="42E5EB02" w:rsidR="00086450" w:rsidRPr="00086450" w:rsidRDefault="00086450" w:rsidP="00086450">
      <w:pPr>
        <w:jc w:val="both"/>
        <w:rPr>
          <w:rFonts w:ascii="Cambria" w:hAnsi="Cambria"/>
          <w:sz w:val="22"/>
          <w:szCs w:val="22"/>
          <w:lang w:val="sk-SK"/>
        </w:rPr>
      </w:pPr>
      <w:r w:rsidRPr="00086450">
        <w:rPr>
          <w:rFonts w:ascii="Cambria" w:hAnsi="Cambria"/>
          <w:sz w:val="22"/>
          <w:szCs w:val="22"/>
          <w:lang w:val="sk-SK"/>
        </w:rPr>
        <w:t xml:space="preserve">Dokument „Dohoda o extrakcii“ (Interface </w:t>
      </w:r>
      <w:proofErr w:type="spellStart"/>
      <w:r w:rsidRPr="00086450">
        <w:rPr>
          <w:rFonts w:ascii="Cambria" w:hAnsi="Cambria"/>
          <w:sz w:val="22"/>
          <w:szCs w:val="22"/>
          <w:lang w:val="sk-SK"/>
        </w:rPr>
        <w:t>agreement</w:t>
      </w:r>
      <w:proofErr w:type="spellEnd"/>
      <w:r w:rsidRPr="00086450">
        <w:rPr>
          <w:rFonts w:ascii="Cambria" w:hAnsi="Cambria"/>
          <w:sz w:val="22"/>
          <w:szCs w:val="22"/>
          <w:lang w:val="sk-SK"/>
        </w:rPr>
        <w:t>) zo strany 43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Pr="00086450">
        <w:rPr>
          <w:rFonts w:ascii="Cambria" w:hAnsi="Cambria"/>
          <w:sz w:val="22"/>
          <w:szCs w:val="22"/>
          <w:lang w:val="sk-SK"/>
        </w:rPr>
        <w:t xml:space="preserve">Opisu predmetu zákazky je definovaný v kapitole 3.4.5.2 Opisu predmetu zákazky ako jeden z výstupov projektu a je súčasťou predmetu zákazky. Verejný obstarávateľ poskytne dodávateľovi súčinnosť pri analýze zdrojových systémov a získavaní informácií potrebných pre dodanie požadovaných výstupov projektu. Po dodaní výstupu </w:t>
      </w:r>
      <w:r w:rsidR="000D1272">
        <w:rPr>
          <w:rFonts w:ascii="Cambria" w:hAnsi="Cambria"/>
          <w:sz w:val="22"/>
          <w:szCs w:val="22"/>
          <w:lang w:val="sk-SK"/>
        </w:rPr>
        <w:t>dodávateľom</w:t>
      </w:r>
      <w:r w:rsidRPr="00086450">
        <w:rPr>
          <w:rFonts w:ascii="Cambria" w:hAnsi="Cambria"/>
          <w:sz w:val="22"/>
          <w:szCs w:val="22"/>
          <w:lang w:val="sk-SK"/>
        </w:rPr>
        <w:t>, prebehne proces akceptácie výstupného dokumentu na základe akceptačných kritérií. Akceptáciu výstupného dokumentu podpíše verejný obstarávateľ. Dodávateľ iného systému nebude „Dohodu o extrakcii“ podpisovať.</w:t>
      </w:r>
    </w:p>
    <w:p w14:paraId="654A4B9B" w14:textId="77777777" w:rsidR="00E7562E" w:rsidRPr="002B5CE8" w:rsidRDefault="00E7562E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</w:p>
    <w:p w14:paraId="2D2F0D0C" w14:textId="77777777" w:rsidR="00E7562E" w:rsidRPr="002B5CE8" w:rsidRDefault="00E7562E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</w:p>
    <w:p w14:paraId="63CB6EDA" w14:textId="6E4376BC" w:rsidR="000B0A49" w:rsidRPr="002B5CE8" w:rsidRDefault="000B0A49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2B5CE8">
        <w:rPr>
          <w:rFonts w:ascii="Cambria" w:hAnsi="Cambria"/>
          <w:color w:val="000000"/>
          <w:lang w:val="sk-SK"/>
        </w:rPr>
        <w:t>JUDr. Zora Vypušťáková</w:t>
      </w:r>
    </w:p>
    <w:p w14:paraId="0E689616" w14:textId="77777777" w:rsidR="000B0A49" w:rsidRPr="002B5CE8" w:rsidRDefault="000B0A49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2B5CE8">
        <w:rPr>
          <w:rFonts w:ascii="Cambria" w:hAnsi="Cambria"/>
          <w:color w:val="000000"/>
          <w:lang w:val="sk-SK"/>
        </w:rPr>
        <w:t>riaditeľka</w:t>
      </w:r>
    </w:p>
    <w:p w14:paraId="5D528B41" w14:textId="77777777" w:rsidR="000B0A49" w:rsidRPr="000B0A49" w:rsidRDefault="000B0A49" w:rsidP="00D12A14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t>odbor hospodárskych služieb</w:t>
      </w:r>
    </w:p>
    <w:p w14:paraId="19D88FC6" w14:textId="77777777" w:rsidR="000B0A49" w:rsidRPr="000B0A49" w:rsidRDefault="000B0A49" w:rsidP="00D12A14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D73C0" w14:textId="77777777" w:rsidR="00EB695E" w:rsidRDefault="00EB695E" w:rsidP="00D12A14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sectPr w:rsidR="00EB695E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7F91" w14:textId="77777777" w:rsidR="005F7149" w:rsidRDefault="005F7149">
      <w:r>
        <w:separator/>
      </w:r>
    </w:p>
  </w:endnote>
  <w:endnote w:type="continuationSeparator" w:id="0">
    <w:p w14:paraId="712936B5" w14:textId="77777777" w:rsidR="005F7149" w:rsidRDefault="005F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5AE9" w14:textId="77777777" w:rsidR="005F7149" w:rsidRDefault="005F7149">
      <w:r>
        <w:separator/>
      </w:r>
    </w:p>
  </w:footnote>
  <w:footnote w:type="continuationSeparator" w:id="0">
    <w:p w14:paraId="7C47384D" w14:textId="77777777" w:rsidR="005F7149" w:rsidRDefault="005F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F59"/>
    <w:rsid w:val="00045091"/>
    <w:rsid w:val="00050FBB"/>
    <w:rsid w:val="00052C3E"/>
    <w:rsid w:val="00052C97"/>
    <w:rsid w:val="00055F69"/>
    <w:rsid w:val="0008478A"/>
    <w:rsid w:val="00085C6E"/>
    <w:rsid w:val="00086450"/>
    <w:rsid w:val="00086A04"/>
    <w:rsid w:val="00087925"/>
    <w:rsid w:val="000A4DB3"/>
    <w:rsid w:val="000A6C16"/>
    <w:rsid w:val="000B0A49"/>
    <w:rsid w:val="000B3281"/>
    <w:rsid w:val="000B4583"/>
    <w:rsid w:val="000C56EA"/>
    <w:rsid w:val="000C602C"/>
    <w:rsid w:val="000D1272"/>
    <w:rsid w:val="000D6E7E"/>
    <w:rsid w:val="000D7A51"/>
    <w:rsid w:val="000E1C30"/>
    <w:rsid w:val="000E3C30"/>
    <w:rsid w:val="000F00E7"/>
    <w:rsid w:val="00101C13"/>
    <w:rsid w:val="001129A5"/>
    <w:rsid w:val="00125FC1"/>
    <w:rsid w:val="00136858"/>
    <w:rsid w:val="0014055F"/>
    <w:rsid w:val="00150181"/>
    <w:rsid w:val="0015182D"/>
    <w:rsid w:val="00152DBE"/>
    <w:rsid w:val="00192754"/>
    <w:rsid w:val="001A03F4"/>
    <w:rsid w:val="001A1D5B"/>
    <w:rsid w:val="001B469A"/>
    <w:rsid w:val="001D4786"/>
    <w:rsid w:val="001E06B9"/>
    <w:rsid w:val="001E2E02"/>
    <w:rsid w:val="001F5339"/>
    <w:rsid w:val="001F5567"/>
    <w:rsid w:val="00200C4A"/>
    <w:rsid w:val="00224A7B"/>
    <w:rsid w:val="0023210A"/>
    <w:rsid w:val="0023624B"/>
    <w:rsid w:val="0025232E"/>
    <w:rsid w:val="00253DAC"/>
    <w:rsid w:val="002654F9"/>
    <w:rsid w:val="002712F0"/>
    <w:rsid w:val="00277A53"/>
    <w:rsid w:val="002801CE"/>
    <w:rsid w:val="00286E11"/>
    <w:rsid w:val="002909ED"/>
    <w:rsid w:val="002978A1"/>
    <w:rsid w:val="002A188A"/>
    <w:rsid w:val="002B5CE8"/>
    <w:rsid w:val="002C416E"/>
    <w:rsid w:val="002C562C"/>
    <w:rsid w:val="002D101D"/>
    <w:rsid w:val="002D543C"/>
    <w:rsid w:val="002E3524"/>
    <w:rsid w:val="002E3D72"/>
    <w:rsid w:val="00307026"/>
    <w:rsid w:val="00342B56"/>
    <w:rsid w:val="00366246"/>
    <w:rsid w:val="00382FFB"/>
    <w:rsid w:val="00392BA6"/>
    <w:rsid w:val="003A0C09"/>
    <w:rsid w:val="003A34ED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0548"/>
    <w:rsid w:val="00406533"/>
    <w:rsid w:val="00417163"/>
    <w:rsid w:val="00424A9C"/>
    <w:rsid w:val="00431E57"/>
    <w:rsid w:val="00432DE7"/>
    <w:rsid w:val="00436550"/>
    <w:rsid w:val="004500E0"/>
    <w:rsid w:val="0046603D"/>
    <w:rsid w:val="004740CC"/>
    <w:rsid w:val="004763A8"/>
    <w:rsid w:val="00476A66"/>
    <w:rsid w:val="004820EC"/>
    <w:rsid w:val="004865D1"/>
    <w:rsid w:val="004961D7"/>
    <w:rsid w:val="00496562"/>
    <w:rsid w:val="004B6C8C"/>
    <w:rsid w:val="004C0A3A"/>
    <w:rsid w:val="004C6FA7"/>
    <w:rsid w:val="004D339A"/>
    <w:rsid w:val="004E391F"/>
    <w:rsid w:val="004E5B97"/>
    <w:rsid w:val="004F45F6"/>
    <w:rsid w:val="004F53F6"/>
    <w:rsid w:val="00504C6A"/>
    <w:rsid w:val="00513587"/>
    <w:rsid w:val="00526F7D"/>
    <w:rsid w:val="00527AC3"/>
    <w:rsid w:val="00532E06"/>
    <w:rsid w:val="00534C5B"/>
    <w:rsid w:val="005522F4"/>
    <w:rsid w:val="005845D2"/>
    <w:rsid w:val="0059338A"/>
    <w:rsid w:val="005A7A01"/>
    <w:rsid w:val="005A7CD1"/>
    <w:rsid w:val="005B04A5"/>
    <w:rsid w:val="005B4828"/>
    <w:rsid w:val="005B701D"/>
    <w:rsid w:val="005C4F38"/>
    <w:rsid w:val="005C7669"/>
    <w:rsid w:val="005C7895"/>
    <w:rsid w:val="005D1D63"/>
    <w:rsid w:val="005E0F94"/>
    <w:rsid w:val="005E2E7E"/>
    <w:rsid w:val="005E3440"/>
    <w:rsid w:val="005F4847"/>
    <w:rsid w:val="005F5601"/>
    <w:rsid w:val="005F7149"/>
    <w:rsid w:val="00605D22"/>
    <w:rsid w:val="00606CF8"/>
    <w:rsid w:val="00607B3B"/>
    <w:rsid w:val="006107B1"/>
    <w:rsid w:val="00630F93"/>
    <w:rsid w:val="00632AD2"/>
    <w:rsid w:val="00637EBC"/>
    <w:rsid w:val="00650815"/>
    <w:rsid w:val="00660EAF"/>
    <w:rsid w:val="00682367"/>
    <w:rsid w:val="00692356"/>
    <w:rsid w:val="006B3020"/>
    <w:rsid w:val="006B433A"/>
    <w:rsid w:val="006C7123"/>
    <w:rsid w:val="006D520C"/>
    <w:rsid w:val="006D75DC"/>
    <w:rsid w:val="006E6AB0"/>
    <w:rsid w:val="006F30AB"/>
    <w:rsid w:val="006F3DC6"/>
    <w:rsid w:val="00711B9E"/>
    <w:rsid w:val="007143C1"/>
    <w:rsid w:val="0073205E"/>
    <w:rsid w:val="00733B71"/>
    <w:rsid w:val="00734CCE"/>
    <w:rsid w:val="00745BDF"/>
    <w:rsid w:val="0075503B"/>
    <w:rsid w:val="0075713B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E1CC1"/>
    <w:rsid w:val="007F0455"/>
    <w:rsid w:val="0080701A"/>
    <w:rsid w:val="00816F8E"/>
    <w:rsid w:val="008378F6"/>
    <w:rsid w:val="008407AE"/>
    <w:rsid w:val="0085010A"/>
    <w:rsid w:val="008653A8"/>
    <w:rsid w:val="008662A3"/>
    <w:rsid w:val="00866570"/>
    <w:rsid w:val="008761BA"/>
    <w:rsid w:val="00891BCE"/>
    <w:rsid w:val="00894D94"/>
    <w:rsid w:val="008B34EF"/>
    <w:rsid w:val="008C01B9"/>
    <w:rsid w:val="008D6ECF"/>
    <w:rsid w:val="0090793B"/>
    <w:rsid w:val="00921161"/>
    <w:rsid w:val="00921B13"/>
    <w:rsid w:val="00923673"/>
    <w:rsid w:val="009462ED"/>
    <w:rsid w:val="00950463"/>
    <w:rsid w:val="009700D0"/>
    <w:rsid w:val="00981F06"/>
    <w:rsid w:val="009A55DD"/>
    <w:rsid w:val="009B1CA2"/>
    <w:rsid w:val="009F0EE6"/>
    <w:rsid w:val="00A05500"/>
    <w:rsid w:val="00A05A30"/>
    <w:rsid w:val="00A11826"/>
    <w:rsid w:val="00A24146"/>
    <w:rsid w:val="00A256DC"/>
    <w:rsid w:val="00A344E3"/>
    <w:rsid w:val="00A4059C"/>
    <w:rsid w:val="00A448B6"/>
    <w:rsid w:val="00A45304"/>
    <w:rsid w:val="00A55FBF"/>
    <w:rsid w:val="00A62D35"/>
    <w:rsid w:val="00A636C6"/>
    <w:rsid w:val="00A75FED"/>
    <w:rsid w:val="00A770C6"/>
    <w:rsid w:val="00A859B8"/>
    <w:rsid w:val="00A86D27"/>
    <w:rsid w:val="00A87068"/>
    <w:rsid w:val="00A96C55"/>
    <w:rsid w:val="00AC1148"/>
    <w:rsid w:val="00AC450A"/>
    <w:rsid w:val="00AD26E4"/>
    <w:rsid w:val="00AD7FB8"/>
    <w:rsid w:val="00AE16F4"/>
    <w:rsid w:val="00AF1144"/>
    <w:rsid w:val="00AF5FE7"/>
    <w:rsid w:val="00B00D0A"/>
    <w:rsid w:val="00B060A4"/>
    <w:rsid w:val="00B23E2A"/>
    <w:rsid w:val="00B36B47"/>
    <w:rsid w:val="00B36E02"/>
    <w:rsid w:val="00B55BF0"/>
    <w:rsid w:val="00B66DB9"/>
    <w:rsid w:val="00B67CAC"/>
    <w:rsid w:val="00B82AD9"/>
    <w:rsid w:val="00BA092D"/>
    <w:rsid w:val="00BA37F3"/>
    <w:rsid w:val="00BB66B1"/>
    <w:rsid w:val="00BB6B29"/>
    <w:rsid w:val="00BB7E54"/>
    <w:rsid w:val="00BC1956"/>
    <w:rsid w:val="00BC2726"/>
    <w:rsid w:val="00BD74A3"/>
    <w:rsid w:val="00BD7C84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64B17"/>
    <w:rsid w:val="00C70AFE"/>
    <w:rsid w:val="00C71695"/>
    <w:rsid w:val="00C86B35"/>
    <w:rsid w:val="00C87B3E"/>
    <w:rsid w:val="00C91A45"/>
    <w:rsid w:val="00C92A80"/>
    <w:rsid w:val="00CA0DDA"/>
    <w:rsid w:val="00CC6FF4"/>
    <w:rsid w:val="00CF2F80"/>
    <w:rsid w:val="00D04671"/>
    <w:rsid w:val="00D12A14"/>
    <w:rsid w:val="00D20720"/>
    <w:rsid w:val="00D22269"/>
    <w:rsid w:val="00D22C9A"/>
    <w:rsid w:val="00D37B19"/>
    <w:rsid w:val="00D61284"/>
    <w:rsid w:val="00D6449D"/>
    <w:rsid w:val="00D66DB0"/>
    <w:rsid w:val="00D82D6B"/>
    <w:rsid w:val="00D869C9"/>
    <w:rsid w:val="00D90824"/>
    <w:rsid w:val="00DA45EC"/>
    <w:rsid w:val="00DD5E91"/>
    <w:rsid w:val="00DF0328"/>
    <w:rsid w:val="00DF246F"/>
    <w:rsid w:val="00DF54FC"/>
    <w:rsid w:val="00E05F46"/>
    <w:rsid w:val="00E06229"/>
    <w:rsid w:val="00E10433"/>
    <w:rsid w:val="00E11129"/>
    <w:rsid w:val="00E113A2"/>
    <w:rsid w:val="00E12149"/>
    <w:rsid w:val="00E22DC1"/>
    <w:rsid w:val="00E3020F"/>
    <w:rsid w:val="00E4172C"/>
    <w:rsid w:val="00E44B30"/>
    <w:rsid w:val="00E50AD2"/>
    <w:rsid w:val="00E6446D"/>
    <w:rsid w:val="00E7562E"/>
    <w:rsid w:val="00E75932"/>
    <w:rsid w:val="00E7597D"/>
    <w:rsid w:val="00E80FBB"/>
    <w:rsid w:val="00E86E62"/>
    <w:rsid w:val="00E976AC"/>
    <w:rsid w:val="00EA6F3B"/>
    <w:rsid w:val="00EB695E"/>
    <w:rsid w:val="00EB7CDD"/>
    <w:rsid w:val="00EC42D7"/>
    <w:rsid w:val="00EE0D3D"/>
    <w:rsid w:val="00EE6EFA"/>
    <w:rsid w:val="00F02071"/>
    <w:rsid w:val="00F054B4"/>
    <w:rsid w:val="00F17FF8"/>
    <w:rsid w:val="00F24726"/>
    <w:rsid w:val="00F251C0"/>
    <w:rsid w:val="00F27541"/>
    <w:rsid w:val="00F34EED"/>
    <w:rsid w:val="00F3571C"/>
    <w:rsid w:val="00F37AB1"/>
    <w:rsid w:val="00F65D06"/>
    <w:rsid w:val="00F66D5F"/>
    <w:rsid w:val="00F92C48"/>
    <w:rsid w:val="00F95786"/>
    <w:rsid w:val="00FB7831"/>
    <w:rsid w:val="00FC0A2A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26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2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6</cp:revision>
  <cp:lastPrinted>2018-11-19T09:58:00Z</cp:lastPrinted>
  <dcterms:created xsi:type="dcterms:W3CDTF">2022-10-04T12:17:00Z</dcterms:created>
  <dcterms:modified xsi:type="dcterms:W3CDTF">2022-10-05T09:14:00Z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