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A98" w:rsidRDefault="00CF71F7" w:rsidP="000D2A98">
      <w:pPr>
        <w:jc w:val="center"/>
        <w:rPr>
          <w:rFonts w:ascii="Arial" w:hAnsi="Arial" w:cs="Arial"/>
          <w:b/>
        </w:rPr>
      </w:pPr>
      <w:r>
        <w:rPr>
          <w:rFonts w:ascii="Arial" w:hAnsi="Arial" w:cs="Arial"/>
          <w:b/>
        </w:rPr>
        <w:t>Vysvetlenie informácií č. 9</w:t>
      </w:r>
    </w:p>
    <w:p w:rsidR="00CF71F7" w:rsidRDefault="00CF71F7" w:rsidP="00CF71F7">
      <w:pPr>
        <w:rPr>
          <w:rFonts w:ascii="Arial" w:hAnsi="Arial" w:cs="Arial"/>
          <w:b/>
        </w:rPr>
      </w:pPr>
    </w:p>
    <w:p w:rsidR="00CF71F7" w:rsidRDefault="00CF71F7" w:rsidP="00CF71F7">
      <w:pPr>
        <w:rPr>
          <w:rFonts w:ascii="Arial" w:hAnsi="Arial" w:cs="Arial"/>
          <w:b/>
        </w:rPr>
      </w:pPr>
      <w:r>
        <w:rPr>
          <w:rFonts w:ascii="Arial" w:hAnsi="Arial" w:cs="Arial"/>
          <w:b/>
        </w:rPr>
        <w:t>Doplnenie Zväzok 1 Pokyn pre uchádzačov/Záujemcov</w:t>
      </w:r>
    </w:p>
    <w:p w:rsidR="00CF71F7" w:rsidRDefault="00CF71F7" w:rsidP="00CF71F7">
      <w:pPr>
        <w:jc w:val="both"/>
        <w:rPr>
          <w:rFonts w:ascii="Arial" w:hAnsi="Arial" w:cs="Arial"/>
          <w:b/>
        </w:rPr>
      </w:pPr>
      <w:r>
        <w:rPr>
          <w:rFonts w:ascii="Arial" w:hAnsi="Arial" w:cs="Arial"/>
          <w:b/>
        </w:rPr>
        <w:t>Pôvodne znenie bodu 19 Obsah o vyhotovenie ponuky sa nahrádza nasledovným:</w:t>
      </w:r>
    </w:p>
    <w:p w:rsidR="00CF71F7" w:rsidRPr="0055399B" w:rsidRDefault="00CF71F7" w:rsidP="00CF71F7">
      <w:pPr>
        <w:pStyle w:val="Nadpis6"/>
        <w:spacing w:before="240" w:line="300" w:lineRule="auto"/>
        <w:ind w:left="567" w:hanging="567"/>
        <w:rPr>
          <w:rFonts w:ascii="Arial" w:hAnsi="Arial" w:cs="Arial"/>
          <w:smallCaps/>
          <w:sz w:val="20"/>
          <w:szCs w:val="20"/>
        </w:rPr>
      </w:pPr>
      <w:r w:rsidRPr="0055399B">
        <w:rPr>
          <w:rFonts w:ascii="Arial" w:hAnsi="Arial" w:cs="Arial"/>
          <w:smallCaps/>
          <w:sz w:val="20"/>
          <w:szCs w:val="20"/>
        </w:rPr>
        <w:t>19.</w:t>
      </w:r>
      <w:r w:rsidRPr="0055399B">
        <w:rPr>
          <w:rFonts w:ascii="Arial" w:hAnsi="Arial" w:cs="Arial"/>
          <w:smallCaps/>
          <w:sz w:val="20"/>
          <w:szCs w:val="20"/>
        </w:rPr>
        <w:tab/>
      </w:r>
      <w:r w:rsidRPr="0055399B">
        <w:rPr>
          <w:rFonts w:ascii="Arial" w:hAnsi="Arial" w:cs="Arial"/>
          <w:sz w:val="20"/>
          <w:szCs w:val="20"/>
        </w:rPr>
        <w:t>Obsah a vyhotovenie ponuky</w:t>
      </w:r>
    </w:p>
    <w:p w:rsidR="00CF71F7" w:rsidRPr="0055399B" w:rsidRDefault="00CF71F7" w:rsidP="00CF71F7">
      <w:pPr>
        <w:spacing w:before="120"/>
        <w:ind w:left="1134" w:hanging="567"/>
        <w:jc w:val="both"/>
        <w:rPr>
          <w:rFonts w:ascii="Arial" w:hAnsi="Arial" w:cs="Arial"/>
          <w:b/>
          <w:sz w:val="20"/>
          <w:szCs w:val="20"/>
        </w:rPr>
      </w:pPr>
      <w:r w:rsidRPr="0055399B">
        <w:rPr>
          <w:rFonts w:ascii="Arial" w:hAnsi="Arial" w:cs="Arial"/>
          <w:b/>
          <w:sz w:val="20"/>
          <w:szCs w:val="20"/>
        </w:rPr>
        <w:t>19.1</w:t>
      </w:r>
      <w:r w:rsidRPr="0055399B">
        <w:rPr>
          <w:rFonts w:ascii="Arial" w:hAnsi="Arial" w:cs="Arial"/>
          <w:b/>
          <w:sz w:val="20"/>
          <w:szCs w:val="20"/>
        </w:rPr>
        <w:tab/>
      </w:r>
      <w:r w:rsidRPr="0055399B">
        <w:rPr>
          <w:rFonts w:ascii="Arial" w:hAnsi="Arial" w:cs="Arial"/>
          <w:sz w:val="20"/>
          <w:szCs w:val="20"/>
        </w:rPr>
        <w:t xml:space="preserve">Uchádzač vyhotoví ponuku v súlade s § 66 ods. 7 Zákona </w:t>
      </w:r>
      <w:proofErr w:type="spellStart"/>
      <w:r w:rsidRPr="0055399B">
        <w:rPr>
          <w:rFonts w:ascii="Arial" w:hAnsi="Arial" w:cs="Arial"/>
          <w:sz w:val="20"/>
          <w:szCs w:val="20"/>
        </w:rPr>
        <w:t>t.j</w:t>
      </w:r>
      <w:proofErr w:type="spellEnd"/>
      <w:r w:rsidRPr="0055399B">
        <w:rPr>
          <w:rFonts w:ascii="Arial" w:hAnsi="Arial" w:cs="Arial"/>
          <w:sz w:val="20"/>
          <w:szCs w:val="20"/>
        </w:rPr>
        <w:t>. vyhodnotenie splnenia podmienok účasti podľa § 40 Zákona</w:t>
      </w:r>
      <w:r>
        <w:rPr>
          <w:rFonts w:ascii="Arial" w:hAnsi="Arial" w:cs="Arial"/>
          <w:sz w:val="20"/>
          <w:szCs w:val="20"/>
        </w:rPr>
        <w:t xml:space="preserve"> a vyhodnotenia ponúk z hľadiska splnenia požiadaviek na predmet zákazky sa uskutoční  </w:t>
      </w:r>
      <w:r w:rsidRPr="0055399B">
        <w:rPr>
          <w:rFonts w:ascii="Arial" w:hAnsi="Arial" w:cs="Arial"/>
          <w:sz w:val="20"/>
          <w:szCs w:val="20"/>
        </w:rPr>
        <w:t xml:space="preserve">po vyhodnotení ponúk </w:t>
      </w:r>
      <w:r>
        <w:rPr>
          <w:rFonts w:ascii="Arial" w:hAnsi="Arial" w:cs="Arial"/>
          <w:sz w:val="20"/>
          <w:szCs w:val="20"/>
        </w:rPr>
        <w:t>na základe kritérií na vyhodnotenie ponúk</w:t>
      </w:r>
      <w:r w:rsidRPr="0055399B">
        <w:rPr>
          <w:rFonts w:ascii="Arial" w:hAnsi="Arial" w:cs="Arial"/>
          <w:sz w:val="20"/>
          <w:szCs w:val="20"/>
        </w:rPr>
        <w:t>. Uchádzač predkladá ponuku v elektronickej podobe v lehote na predkladanie ponúk podľa požiadaviek uvedených v týchto súťažných podkladoch a v Oznámení, prostredníctvom ktorého bolo verejné obstarávanie vyhlásené. Ponuka sa predkladá elektronicky v zmysle § 49 ods. 1 písm. a) Zákona a vložená do systému JOSEPHINE umiestnenom na webovej adrese https://josephine.proebiz.com/ a obsahuje:</w:t>
      </w:r>
    </w:p>
    <w:p w:rsidR="00CF71F7" w:rsidRPr="0055399B" w:rsidRDefault="00CF71F7" w:rsidP="00CF71F7">
      <w:pPr>
        <w:ind w:left="1843" w:hanging="709"/>
        <w:jc w:val="both"/>
        <w:rPr>
          <w:rFonts w:ascii="Arial" w:hAnsi="Arial" w:cs="Arial"/>
          <w:bCs/>
          <w:sz w:val="20"/>
          <w:szCs w:val="20"/>
        </w:rPr>
      </w:pPr>
      <w:r w:rsidRPr="0055399B">
        <w:rPr>
          <w:rFonts w:ascii="Arial" w:hAnsi="Arial" w:cs="Arial"/>
          <w:sz w:val="20"/>
          <w:szCs w:val="20"/>
        </w:rPr>
        <w:t>19.1.1</w:t>
      </w:r>
      <w:r w:rsidRPr="0055399B">
        <w:rPr>
          <w:rFonts w:ascii="Arial" w:hAnsi="Arial" w:cs="Arial"/>
          <w:sz w:val="20"/>
          <w:szCs w:val="20"/>
        </w:rPr>
        <w:tab/>
        <w:t xml:space="preserve">Dokumenty / doklady preukazujúce </w:t>
      </w:r>
      <w:r w:rsidRPr="0055399B">
        <w:rPr>
          <w:rFonts w:ascii="Arial" w:hAnsi="Arial" w:cs="Arial"/>
          <w:b/>
          <w:sz w:val="20"/>
          <w:szCs w:val="20"/>
        </w:rPr>
        <w:t xml:space="preserve">splnenie podmienok účasti </w:t>
      </w:r>
      <w:r w:rsidRPr="0055399B">
        <w:rPr>
          <w:rFonts w:ascii="Arial" w:hAnsi="Arial" w:cs="Arial"/>
          <w:sz w:val="20"/>
          <w:szCs w:val="20"/>
        </w:rPr>
        <w:t>týkajúce sa osobného postavenia, finančného a ekonomického  postavenia, technickej alebo odbornej spôsobilosti</w:t>
      </w:r>
      <w:r w:rsidRPr="0055399B">
        <w:rPr>
          <w:rFonts w:ascii="Arial" w:hAnsi="Arial" w:cs="Arial"/>
          <w:b/>
          <w:sz w:val="20"/>
          <w:szCs w:val="20"/>
        </w:rPr>
        <w:t xml:space="preserve"> </w:t>
      </w:r>
      <w:r w:rsidRPr="0055399B">
        <w:rPr>
          <w:rFonts w:ascii="Arial" w:hAnsi="Arial" w:cs="Arial"/>
          <w:bCs/>
          <w:sz w:val="20"/>
          <w:szCs w:val="20"/>
        </w:rPr>
        <w:t>uvedených v Oznámení a v týchto SP, ktoré môže uchádzač predbežne nahradiť Jednotným európskym dokumentom (príloha č. B6 týchto SP).</w:t>
      </w:r>
    </w:p>
    <w:p w:rsidR="00CF71F7" w:rsidRPr="0055399B" w:rsidRDefault="00CF71F7" w:rsidP="00CF71F7">
      <w:pPr>
        <w:ind w:left="1843" w:hanging="6"/>
        <w:jc w:val="both"/>
        <w:rPr>
          <w:rFonts w:ascii="Arial" w:hAnsi="Arial" w:cs="Arial"/>
          <w:bCs/>
          <w:sz w:val="20"/>
          <w:szCs w:val="20"/>
        </w:rPr>
      </w:pPr>
      <w:r w:rsidRPr="0055399B">
        <w:rPr>
          <w:rFonts w:ascii="Arial" w:hAnsi="Arial" w:cs="Arial"/>
          <w:bCs/>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JOSEPHINE ako súčasť ponuky. Verejný obstarávateľ môže požiadať uchádzača o doručenie všetkých dokladov predložených v ponuke aj v listinnej podobe s cieľom overiť originalitu dokladov.</w:t>
      </w:r>
    </w:p>
    <w:p w:rsidR="00CF71F7" w:rsidRPr="0055399B" w:rsidRDefault="00CF71F7" w:rsidP="00CF71F7">
      <w:pPr>
        <w:ind w:left="2693" w:hanging="856"/>
        <w:jc w:val="both"/>
        <w:rPr>
          <w:rFonts w:ascii="Arial" w:hAnsi="Arial" w:cs="Arial"/>
          <w:bCs/>
          <w:sz w:val="20"/>
          <w:szCs w:val="20"/>
        </w:rPr>
      </w:pPr>
      <w:r w:rsidRPr="0055399B">
        <w:rPr>
          <w:rFonts w:ascii="Arial" w:hAnsi="Arial" w:cs="Arial"/>
          <w:bCs/>
          <w:sz w:val="20"/>
          <w:szCs w:val="20"/>
        </w:rPr>
        <w:t>19.1.1.1</w:t>
      </w:r>
      <w:r w:rsidRPr="0055399B">
        <w:rPr>
          <w:rFonts w:ascii="Arial" w:hAnsi="Arial" w:cs="Arial"/>
          <w:bCs/>
          <w:sz w:val="20"/>
          <w:szCs w:val="20"/>
        </w:rPr>
        <w:tab/>
        <w:t>Uchádzač môže na preukázanie splnenia podmienok účasti predložiť Jednotný európsky dokument pre verejné obstarávanie.</w:t>
      </w:r>
    </w:p>
    <w:p w:rsidR="00CF71F7" w:rsidRPr="0055399B" w:rsidRDefault="00CF71F7" w:rsidP="00CF71F7">
      <w:pPr>
        <w:ind w:left="2693" w:hanging="856"/>
        <w:jc w:val="both"/>
        <w:rPr>
          <w:rFonts w:ascii="Arial" w:hAnsi="Arial" w:cs="Arial"/>
          <w:bCs/>
          <w:sz w:val="20"/>
          <w:szCs w:val="20"/>
        </w:rPr>
      </w:pPr>
      <w:r w:rsidRPr="0055399B">
        <w:rPr>
          <w:rFonts w:ascii="Arial" w:hAnsi="Arial" w:cs="Arial"/>
          <w:bCs/>
          <w:sz w:val="20"/>
          <w:szCs w:val="20"/>
        </w:rPr>
        <w:tab/>
        <w:t>Jednotný európsky dokument pre verejné obstarávanie (JED) predstavuje na účely zákona č. 343/2015 Z. z. o verejnom obstarávaní a o zmene a doplnení niektorých zákonov v znení zákona č. 438/2015 Z. z. dokument, ktorým hospodársky subjekt môže predbežne nahradiť doklady na preukázanie splnenia podmienok účasti určené verejným obstarávateľom alebo obstarávateľom.</w:t>
      </w:r>
    </w:p>
    <w:p w:rsidR="00CF71F7" w:rsidRPr="0055399B" w:rsidRDefault="00CF71F7" w:rsidP="00CF71F7">
      <w:pPr>
        <w:pStyle w:val="Odsekzoznamu"/>
        <w:numPr>
          <w:ilvl w:val="0"/>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0"/>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0"/>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0"/>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0"/>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0"/>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0"/>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0"/>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0"/>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0"/>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0"/>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0"/>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0"/>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1"/>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2"/>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pStyle w:val="Odsekzoznamu"/>
        <w:numPr>
          <w:ilvl w:val="3"/>
          <w:numId w:val="2"/>
        </w:numPr>
        <w:autoSpaceDE w:val="0"/>
        <w:autoSpaceDN w:val="0"/>
        <w:spacing w:after="0" w:line="240" w:lineRule="auto"/>
        <w:contextualSpacing w:val="0"/>
        <w:jc w:val="both"/>
        <w:rPr>
          <w:rFonts w:ascii="Arial" w:hAnsi="Arial" w:cs="Arial"/>
          <w:vanish/>
          <w:sz w:val="20"/>
          <w:szCs w:val="20"/>
        </w:rPr>
      </w:pPr>
    </w:p>
    <w:p w:rsidR="00CF71F7" w:rsidRPr="0055399B" w:rsidRDefault="00CF71F7" w:rsidP="00CF71F7">
      <w:pPr>
        <w:numPr>
          <w:ilvl w:val="4"/>
          <w:numId w:val="2"/>
        </w:numPr>
        <w:autoSpaceDE w:val="0"/>
        <w:autoSpaceDN w:val="0"/>
        <w:ind w:left="2835" w:hanging="992"/>
        <w:jc w:val="both"/>
        <w:rPr>
          <w:rFonts w:ascii="Arial" w:hAnsi="Arial" w:cs="Arial"/>
          <w:sz w:val="20"/>
          <w:szCs w:val="20"/>
        </w:rPr>
      </w:pPr>
      <w:r w:rsidRPr="0055399B">
        <w:rPr>
          <w:rFonts w:ascii="Arial" w:hAnsi="Arial" w:cs="Arial"/>
          <w:sz w:val="20"/>
          <w:szCs w:val="20"/>
        </w:rPr>
        <w:t xml:space="preserve">Uchádzač vyplní časti I. až III. JED-u a </w:t>
      </w:r>
      <w:r w:rsidRPr="0055399B">
        <w:rPr>
          <w:rFonts w:ascii="Arial" w:hAnsi="Arial" w:cs="Arial"/>
          <w:b/>
          <w:sz w:val="20"/>
          <w:szCs w:val="20"/>
        </w:rPr>
        <w:t>nemôže vyplniť len oddiel α: GLOBÁLNY ÚDAJ PRE VŠETKY PODMIENKY ÚČASTI časti IV JED-u</w:t>
      </w:r>
      <w:r w:rsidRPr="0055399B">
        <w:rPr>
          <w:rFonts w:ascii="Arial" w:hAnsi="Arial" w:cs="Arial"/>
          <w:sz w:val="20"/>
          <w:szCs w:val="20"/>
        </w:rPr>
        <w:t xml:space="preserve"> bez toho, aby musel vyplniť iné oddiely časti IV JED-u.</w:t>
      </w:r>
    </w:p>
    <w:p w:rsidR="00CF71F7" w:rsidRPr="0055399B" w:rsidRDefault="00CF71F7" w:rsidP="00CF71F7">
      <w:pPr>
        <w:numPr>
          <w:ilvl w:val="4"/>
          <w:numId w:val="2"/>
        </w:numPr>
        <w:autoSpaceDE w:val="0"/>
        <w:autoSpaceDN w:val="0"/>
        <w:ind w:left="2977" w:hanging="1134"/>
        <w:jc w:val="both"/>
        <w:rPr>
          <w:rFonts w:ascii="Arial" w:hAnsi="Arial" w:cs="Arial"/>
          <w:bCs/>
          <w:sz w:val="20"/>
          <w:szCs w:val="20"/>
        </w:rPr>
      </w:pPr>
      <w:r w:rsidRPr="0055399B">
        <w:rPr>
          <w:rFonts w:ascii="Arial" w:hAnsi="Arial" w:cs="Arial"/>
          <w:bCs/>
          <w:sz w:val="20"/>
          <w:szCs w:val="20"/>
        </w:rPr>
        <w:t>Ak uchádzač preukazuje finančné a ekonomické postavenie alebo technickú spôsobilosť alebo odbornú spôsobilosť prostredníctvom inej osoby, uchádzač je povinný predložiť JED aj pre túto osobu.</w:t>
      </w:r>
    </w:p>
    <w:p w:rsidR="00CF71F7" w:rsidRPr="0055399B" w:rsidRDefault="00CF71F7" w:rsidP="00CF71F7">
      <w:pPr>
        <w:numPr>
          <w:ilvl w:val="4"/>
          <w:numId w:val="2"/>
        </w:numPr>
        <w:autoSpaceDE w:val="0"/>
        <w:autoSpaceDN w:val="0"/>
        <w:ind w:left="2977" w:hanging="1134"/>
        <w:jc w:val="both"/>
        <w:rPr>
          <w:rFonts w:ascii="Arial" w:hAnsi="Arial" w:cs="Arial"/>
          <w:bCs/>
          <w:sz w:val="20"/>
          <w:szCs w:val="20"/>
        </w:rPr>
      </w:pPr>
      <w:r w:rsidRPr="0055399B">
        <w:rPr>
          <w:rFonts w:ascii="Arial" w:hAnsi="Arial" w:cs="Arial"/>
          <w:bCs/>
          <w:sz w:val="20"/>
          <w:szCs w:val="20"/>
        </w:rPr>
        <w:t>Ak uchádzač využíva na plnenie zákazky subdodávateľa, ktorého finančné zdroje alebo technické a odborné kapacity nevyužíva na preukázanie splnenia podmienok účasti, uchádzač je povinný predložiť JED aj pre subdodávateľa spolu s dodatočnými informáciami v časti II.D JED-u.</w:t>
      </w:r>
    </w:p>
    <w:p w:rsidR="00CF71F7" w:rsidRPr="0055399B" w:rsidRDefault="00CF71F7" w:rsidP="00CF71F7">
      <w:pPr>
        <w:numPr>
          <w:ilvl w:val="4"/>
          <w:numId w:val="2"/>
        </w:numPr>
        <w:autoSpaceDE w:val="0"/>
        <w:autoSpaceDN w:val="0"/>
        <w:ind w:left="2977" w:hanging="992"/>
        <w:jc w:val="both"/>
        <w:rPr>
          <w:rFonts w:ascii="Arial" w:hAnsi="Arial" w:cs="Arial"/>
          <w:bCs/>
          <w:sz w:val="20"/>
          <w:szCs w:val="20"/>
        </w:rPr>
      </w:pPr>
      <w:r w:rsidRPr="0055399B">
        <w:rPr>
          <w:rFonts w:ascii="Arial" w:hAnsi="Arial" w:cs="Arial"/>
          <w:bCs/>
          <w:sz w:val="20"/>
          <w:szCs w:val="20"/>
        </w:rPr>
        <w:t>V prípade, ak ponuku predkladá skupina dodávateľov, je potrebné predložiť JED pre každého člena skupiny osobitne.</w:t>
      </w:r>
    </w:p>
    <w:p w:rsidR="00CF71F7" w:rsidRPr="0055399B" w:rsidRDefault="00CF71F7" w:rsidP="00CF71F7">
      <w:pPr>
        <w:numPr>
          <w:ilvl w:val="4"/>
          <w:numId w:val="2"/>
        </w:numPr>
        <w:autoSpaceDE w:val="0"/>
        <w:autoSpaceDN w:val="0"/>
        <w:ind w:left="2977" w:hanging="992"/>
        <w:jc w:val="both"/>
        <w:rPr>
          <w:rFonts w:ascii="Arial" w:hAnsi="Arial" w:cs="Arial"/>
          <w:bCs/>
          <w:sz w:val="20"/>
          <w:szCs w:val="20"/>
        </w:rPr>
      </w:pPr>
      <w:r w:rsidRPr="0055399B">
        <w:rPr>
          <w:rFonts w:ascii="Arial" w:hAnsi="Arial" w:cs="Arial"/>
          <w:bCs/>
          <w:sz w:val="20"/>
          <w:szCs w:val="20"/>
        </w:rPr>
        <w:t>JED obsahuje aktualizované vyhlásenie hospodárskeho subjektu, že:</w:t>
      </w:r>
    </w:p>
    <w:p w:rsidR="00CF71F7" w:rsidRPr="0055399B" w:rsidRDefault="00CF71F7" w:rsidP="00CF71F7">
      <w:pPr>
        <w:numPr>
          <w:ilvl w:val="0"/>
          <w:numId w:val="1"/>
        </w:numPr>
        <w:ind w:left="2268" w:hanging="425"/>
        <w:jc w:val="both"/>
        <w:rPr>
          <w:rFonts w:ascii="Arial" w:hAnsi="Arial" w:cs="Arial"/>
          <w:bCs/>
          <w:sz w:val="20"/>
          <w:szCs w:val="20"/>
        </w:rPr>
      </w:pPr>
      <w:r w:rsidRPr="0055399B">
        <w:rPr>
          <w:rFonts w:ascii="Arial" w:hAnsi="Arial" w:cs="Arial"/>
          <w:bCs/>
          <w:sz w:val="20"/>
          <w:szCs w:val="20"/>
        </w:rPr>
        <w:t>neexistuje dôvod na jeho vylúčenie,</w:t>
      </w:r>
    </w:p>
    <w:p w:rsidR="00CF71F7" w:rsidRPr="0055399B" w:rsidRDefault="00CF71F7" w:rsidP="00CF71F7">
      <w:pPr>
        <w:numPr>
          <w:ilvl w:val="0"/>
          <w:numId w:val="1"/>
        </w:numPr>
        <w:ind w:left="2268" w:hanging="425"/>
        <w:jc w:val="both"/>
        <w:rPr>
          <w:rFonts w:ascii="Arial" w:hAnsi="Arial" w:cs="Arial"/>
          <w:bCs/>
          <w:sz w:val="20"/>
          <w:szCs w:val="20"/>
        </w:rPr>
      </w:pPr>
      <w:r w:rsidRPr="0055399B">
        <w:rPr>
          <w:rFonts w:ascii="Arial" w:hAnsi="Arial" w:cs="Arial"/>
          <w:bCs/>
          <w:sz w:val="20"/>
          <w:szCs w:val="20"/>
        </w:rPr>
        <w:t>spĺňa objektívne a nediskriminačné pravidlá a kritériá výberu obmedzeného počtu záujemcov, ak verejný obstarávateľ alebo obstarávateľ obmedzil počet záujemcov,</w:t>
      </w:r>
    </w:p>
    <w:p w:rsidR="00CF71F7" w:rsidRPr="0055399B" w:rsidRDefault="00CF71F7" w:rsidP="00CF71F7">
      <w:pPr>
        <w:numPr>
          <w:ilvl w:val="0"/>
          <w:numId w:val="1"/>
        </w:numPr>
        <w:ind w:left="2268" w:hanging="425"/>
        <w:jc w:val="both"/>
        <w:rPr>
          <w:rFonts w:ascii="Arial" w:hAnsi="Arial" w:cs="Arial"/>
          <w:bCs/>
          <w:sz w:val="20"/>
          <w:szCs w:val="20"/>
        </w:rPr>
      </w:pPr>
      <w:r w:rsidRPr="0055399B">
        <w:rPr>
          <w:rFonts w:ascii="Arial" w:hAnsi="Arial" w:cs="Arial"/>
          <w:bCs/>
          <w:sz w:val="20"/>
          <w:szCs w:val="20"/>
        </w:rPr>
        <w:t>poskytne verejnému obstarávateľovi alebo obstarávateľovi na požiadanie  doklady, ktoré nahradil Jednotným európskym dokumentom</w:t>
      </w:r>
    </w:p>
    <w:p w:rsidR="00CF71F7" w:rsidRPr="0055399B" w:rsidRDefault="00CF71F7" w:rsidP="00CF71F7">
      <w:pPr>
        <w:ind w:left="1843"/>
        <w:jc w:val="both"/>
        <w:rPr>
          <w:rFonts w:ascii="Arial" w:hAnsi="Arial" w:cs="Arial"/>
          <w:bCs/>
          <w:sz w:val="20"/>
          <w:szCs w:val="20"/>
        </w:rPr>
      </w:pPr>
      <w:r w:rsidRPr="0055399B">
        <w:rPr>
          <w:rFonts w:ascii="Arial" w:hAnsi="Arial" w:cs="Arial"/>
          <w:bCs/>
          <w:sz w:val="20"/>
          <w:szCs w:val="20"/>
        </w:rPr>
        <w:t xml:space="preserve">Bližšie informácie je možné nájsť </w:t>
      </w:r>
      <w:hyperlink r:id="rId7" w:history="1">
        <w:r w:rsidRPr="0055399B">
          <w:rPr>
            <w:rStyle w:val="Hypertextovprepojenie"/>
            <w:rFonts w:ascii="Arial" w:hAnsi="Arial" w:cs="Arial"/>
            <w:bCs/>
            <w:sz w:val="20"/>
            <w:szCs w:val="20"/>
          </w:rPr>
          <w:t>http://www.uvo.gov.sk/legislativametodika-dohlad/jednotny-europsky-dokument-pre-verejne-obstaravanie-553.html</w:t>
        </w:r>
      </w:hyperlink>
      <w:r w:rsidRPr="0055399B">
        <w:rPr>
          <w:rFonts w:ascii="Arial" w:hAnsi="Arial" w:cs="Arial"/>
          <w:bCs/>
          <w:sz w:val="20"/>
          <w:szCs w:val="20"/>
        </w:rPr>
        <w:t>.</w:t>
      </w:r>
    </w:p>
    <w:p w:rsidR="00CF71F7" w:rsidRPr="0055399B" w:rsidRDefault="00CF71F7" w:rsidP="00CF71F7">
      <w:pPr>
        <w:ind w:left="1843" w:hanging="709"/>
        <w:jc w:val="both"/>
        <w:rPr>
          <w:rFonts w:ascii="Arial" w:hAnsi="Arial" w:cs="Arial"/>
          <w:sz w:val="20"/>
          <w:szCs w:val="20"/>
        </w:rPr>
      </w:pPr>
      <w:r w:rsidRPr="0055399B">
        <w:rPr>
          <w:rFonts w:ascii="Arial" w:hAnsi="Arial" w:cs="Arial"/>
          <w:sz w:val="20"/>
          <w:szCs w:val="20"/>
        </w:rPr>
        <w:t>19.1.2</w:t>
      </w:r>
      <w:r w:rsidRPr="0055399B">
        <w:rPr>
          <w:rFonts w:ascii="Arial" w:hAnsi="Arial" w:cs="Arial"/>
          <w:sz w:val="20"/>
          <w:szCs w:val="20"/>
        </w:rPr>
        <w:tab/>
        <w:t xml:space="preserve">Elektronická ponuka sa vloží vyplnením ponukového formulára a vložením požadovaných dokladov a dokumentov v systéme JOSEPHINE umiestnenom na </w:t>
      </w:r>
      <w:r w:rsidRPr="0055399B">
        <w:rPr>
          <w:rFonts w:ascii="Arial" w:hAnsi="Arial" w:cs="Arial"/>
          <w:sz w:val="20"/>
          <w:szCs w:val="20"/>
        </w:rPr>
        <w:lastRenderedPageBreak/>
        <w:t xml:space="preserve">webovej adrese </w:t>
      </w:r>
      <w:hyperlink r:id="rId8" w:history="1">
        <w:r w:rsidRPr="0055399B">
          <w:rPr>
            <w:rStyle w:val="Hypertextovprepojenie"/>
            <w:rFonts w:ascii="Arial" w:hAnsi="Arial" w:cs="Arial"/>
            <w:sz w:val="20"/>
            <w:szCs w:val="20"/>
          </w:rPr>
          <w:t>https://josephine.proebiz.com/</w:t>
        </w:r>
      </w:hyperlink>
      <w:r w:rsidRPr="0055399B">
        <w:rPr>
          <w:rFonts w:ascii="Arial" w:hAnsi="Arial" w:cs="Arial"/>
          <w:sz w:val="20"/>
          <w:szCs w:val="20"/>
        </w:rPr>
        <w:t xml:space="preserve">. </w:t>
      </w:r>
      <w:r w:rsidRPr="0055399B">
        <w:rPr>
          <w:rFonts w:ascii="Arial" w:hAnsi="Arial" w:cs="Arial"/>
          <w:sz w:val="20"/>
        </w:rPr>
        <w:t>Po úspešnom nahraní ponuky do systému JOSEPHINE je uchádzačovi odoslaný notifikačný informatívny e-mail (a to na emailovú adresu užívateľa uchádzača, ktorý ponuku nahral)</w:t>
      </w:r>
    </w:p>
    <w:p w:rsidR="00CF71F7" w:rsidRPr="0055399B" w:rsidRDefault="00CF71F7" w:rsidP="00CF71F7">
      <w:pPr>
        <w:ind w:left="1843" w:hanging="709"/>
        <w:jc w:val="both"/>
        <w:rPr>
          <w:rFonts w:ascii="Arial" w:hAnsi="Arial" w:cs="Arial"/>
          <w:sz w:val="20"/>
          <w:szCs w:val="20"/>
        </w:rPr>
      </w:pPr>
      <w:r w:rsidRPr="0055399B">
        <w:rPr>
          <w:rFonts w:ascii="Arial" w:hAnsi="Arial" w:cs="Arial"/>
          <w:sz w:val="20"/>
          <w:szCs w:val="20"/>
        </w:rPr>
        <w:t>19.1.3</w:t>
      </w:r>
      <w:r w:rsidRPr="0055399B">
        <w:rPr>
          <w:rFonts w:ascii="Arial" w:hAnsi="Arial" w:cs="Arial"/>
          <w:sz w:val="20"/>
          <w:szCs w:val="20"/>
        </w:rPr>
        <w:tab/>
      </w:r>
      <w:r w:rsidRPr="0055399B">
        <w:rPr>
          <w:rFonts w:ascii="Arial" w:hAnsi="Arial" w:cs="Arial"/>
          <w:b/>
          <w:sz w:val="20"/>
          <w:szCs w:val="20"/>
          <w:u w:val="single"/>
        </w:rPr>
        <w:t>Zväzok 2 časť 1 súťažných podkladov: Zmluvné dojednania</w:t>
      </w:r>
      <w:r w:rsidRPr="0055399B">
        <w:rPr>
          <w:rFonts w:ascii="Arial" w:hAnsi="Arial" w:cs="Arial"/>
          <w:sz w:val="20"/>
          <w:szCs w:val="20"/>
          <w:u w:val="single"/>
        </w:rPr>
        <w:t xml:space="preserve"> a </w:t>
      </w:r>
      <w:r w:rsidRPr="0055399B">
        <w:rPr>
          <w:rFonts w:ascii="Arial" w:hAnsi="Arial" w:cs="Arial"/>
          <w:b/>
          <w:sz w:val="20"/>
          <w:szCs w:val="20"/>
          <w:u w:val="single"/>
        </w:rPr>
        <w:t>Zväzok 2 časť 3 súťažných podkladov: Príloha k ponuke</w:t>
      </w:r>
      <w:r w:rsidRPr="0055399B">
        <w:rPr>
          <w:rFonts w:ascii="Arial" w:hAnsi="Arial" w:cs="Arial"/>
          <w:sz w:val="20"/>
          <w:szCs w:val="20"/>
          <w:u w:val="single"/>
        </w:rPr>
        <w:t>,</w:t>
      </w:r>
      <w:r w:rsidRPr="0055399B">
        <w:rPr>
          <w:rFonts w:ascii="Arial" w:hAnsi="Arial" w:cs="Arial"/>
          <w:sz w:val="20"/>
          <w:szCs w:val="20"/>
        </w:rPr>
        <w:t xml:space="preserve"> v ktorých je povinný zohľadniť požiadavky verejného obstarávateľa na predmet zákazky uvedené vo Zväzku 3 až 5, ktoré nebudú obsahovať žiadne obmedzenia alebo výhrady v rozpore s požiadavkami a podmienkami uvedenými </w:t>
      </w:r>
      <w:r w:rsidRPr="0055399B">
        <w:rPr>
          <w:rFonts w:ascii="Arial" w:hAnsi="Arial" w:cs="Arial"/>
          <w:bCs/>
          <w:sz w:val="20"/>
          <w:szCs w:val="20"/>
        </w:rPr>
        <w:t>v oznámení o vyhlásení verejného obstarávania</w:t>
      </w:r>
      <w:r w:rsidRPr="0055399B">
        <w:rPr>
          <w:rFonts w:ascii="Arial" w:hAnsi="Arial" w:cs="Arial"/>
          <w:sz w:val="20"/>
          <w:szCs w:val="20"/>
        </w:rPr>
        <w:t xml:space="preserve"> a v týchto súťažných podkladoch a ani také skutočnosti, ktoré sú v rozpore so všeobecne záväznými právnymi predpismi, inak budú ponuky uchádzačov zo súťaže vylúčené. Uvedené dokumenty musia byť podpísané uchádzačom, jeho štatutárnym orgánom alebo členom štatutárneho orgánu alebo iným zástupcom uchádzača, ktorý je oprávnený konať v mene uchádzača v záväzkových vzťahoch.</w:t>
      </w:r>
    </w:p>
    <w:p w:rsidR="00CF71F7" w:rsidRPr="0055399B" w:rsidRDefault="00CF71F7" w:rsidP="00CF71F7">
      <w:pPr>
        <w:ind w:left="1843" w:hanging="703"/>
        <w:jc w:val="both"/>
        <w:rPr>
          <w:rFonts w:ascii="Arial" w:hAnsi="Arial" w:cs="Arial"/>
          <w:sz w:val="20"/>
          <w:szCs w:val="20"/>
        </w:rPr>
      </w:pPr>
      <w:r w:rsidRPr="0055399B">
        <w:rPr>
          <w:rFonts w:ascii="Arial" w:hAnsi="Arial" w:cs="Arial"/>
          <w:sz w:val="20"/>
          <w:szCs w:val="20"/>
        </w:rPr>
        <w:tab/>
        <w:t xml:space="preserve">V prípade, ak ponuku predkladá skupina dodávateľov, tieto dokumenty musia byť podpísané všetkými členmi skupiny alebo osobou/osobami oprávnenými konať v danej veci za člena skupiny. </w:t>
      </w:r>
    </w:p>
    <w:p w:rsidR="00CF71F7" w:rsidRPr="0055399B" w:rsidRDefault="00CF71F7" w:rsidP="00CF71F7">
      <w:pPr>
        <w:tabs>
          <w:tab w:val="left" w:pos="1134"/>
        </w:tabs>
        <w:ind w:left="1843" w:hanging="709"/>
        <w:jc w:val="both"/>
        <w:rPr>
          <w:rFonts w:ascii="Arial" w:hAnsi="Arial" w:cs="Arial"/>
          <w:sz w:val="20"/>
          <w:szCs w:val="20"/>
        </w:rPr>
      </w:pPr>
      <w:r w:rsidRPr="0055399B">
        <w:rPr>
          <w:rFonts w:ascii="Arial" w:hAnsi="Arial" w:cs="Arial"/>
          <w:sz w:val="20"/>
          <w:szCs w:val="20"/>
        </w:rPr>
        <w:t>19.1.4</w:t>
      </w:r>
      <w:r w:rsidRPr="0055399B">
        <w:rPr>
          <w:rFonts w:ascii="Arial" w:hAnsi="Arial" w:cs="Arial"/>
          <w:sz w:val="20"/>
          <w:szCs w:val="20"/>
        </w:rPr>
        <w:tab/>
      </w:r>
      <w:r w:rsidRPr="0055399B">
        <w:rPr>
          <w:rFonts w:ascii="Arial" w:hAnsi="Arial" w:cs="Arial"/>
          <w:bCs/>
          <w:sz w:val="20"/>
          <w:szCs w:val="20"/>
        </w:rPr>
        <w:t xml:space="preserve">Zoznam subdodávateľov a podiel subdodávok </w:t>
      </w:r>
      <w:r w:rsidRPr="0055399B">
        <w:rPr>
          <w:rFonts w:ascii="Arial" w:hAnsi="Arial" w:cs="Arial"/>
          <w:sz w:val="20"/>
          <w:szCs w:val="20"/>
        </w:rPr>
        <w:t xml:space="preserve">vypracovaný v súlade s prílohou B2B Zväzok 1 súťažných podkladov. </w:t>
      </w:r>
    </w:p>
    <w:p w:rsidR="00CF71F7" w:rsidRPr="0055399B" w:rsidRDefault="00CF71F7" w:rsidP="00CF71F7">
      <w:pPr>
        <w:tabs>
          <w:tab w:val="left" w:pos="1134"/>
        </w:tabs>
        <w:ind w:left="1843" w:hanging="709"/>
        <w:jc w:val="both"/>
        <w:rPr>
          <w:rFonts w:ascii="Arial" w:hAnsi="Arial" w:cs="Arial"/>
          <w:sz w:val="20"/>
          <w:szCs w:val="20"/>
        </w:rPr>
      </w:pPr>
      <w:r w:rsidRPr="0055399B">
        <w:rPr>
          <w:rFonts w:ascii="Arial" w:hAnsi="Arial" w:cs="Arial"/>
          <w:sz w:val="20"/>
          <w:szCs w:val="20"/>
        </w:rPr>
        <w:tab/>
      </w:r>
      <w:r w:rsidRPr="0055399B">
        <w:rPr>
          <w:rFonts w:ascii="Arial" w:hAnsi="Arial" w:cs="Arial"/>
          <w:b/>
          <w:sz w:val="20"/>
          <w:szCs w:val="20"/>
        </w:rPr>
        <w:t xml:space="preserve">Dokumenty / doklady požadované v bode 29. VYUŽITIE SUBDODÁVATEĽOV </w:t>
      </w:r>
      <w:r w:rsidRPr="0055399B">
        <w:rPr>
          <w:rFonts w:ascii="Arial" w:hAnsi="Arial" w:cs="Arial"/>
          <w:sz w:val="20"/>
          <w:szCs w:val="20"/>
        </w:rPr>
        <w:t>tejto</w:t>
      </w:r>
      <w:r w:rsidRPr="0055399B">
        <w:rPr>
          <w:rFonts w:ascii="Arial" w:hAnsi="Arial" w:cs="Arial"/>
          <w:b/>
          <w:sz w:val="20"/>
          <w:szCs w:val="20"/>
        </w:rPr>
        <w:t xml:space="preserve"> </w:t>
      </w:r>
      <w:r w:rsidRPr="0055399B">
        <w:rPr>
          <w:rFonts w:ascii="Arial" w:hAnsi="Arial" w:cs="Arial"/>
          <w:sz w:val="20"/>
          <w:szCs w:val="20"/>
        </w:rPr>
        <w:t>časti týchto SP</w:t>
      </w:r>
    </w:p>
    <w:p w:rsidR="00CF71F7" w:rsidRPr="0055399B" w:rsidRDefault="00CF71F7" w:rsidP="00CF71F7">
      <w:pPr>
        <w:tabs>
          <w:tab w:val="left" w:pos="1843"/>
        </w:tabs>
        <w:ind w:left="1843" w:hanging="709"/>
        <w:jc w:val="both"/>
        <w:rPr>
          <w:rFonts w:ascii="Arial" w:hAnsi="Arial" w:cs="Arial"/>
          <w:sz w:val="20"/>
          <w:szCs w:val="20"/>
        </w:rPr>
      </w:pPr>
      <w:r w:rsidRPr="0055399B">
        <w:rPr>
          <w:rFonts w:ascii="Arial" w:hAnsi="Arial" w:cs="Arial"/>
          <w:sz w:val="20"/>
          <w:szCs w:val="20"/>
        </w:rPr>
        <w:t>19.1.5</w:t>
      </w:r>
      <w:r w:rsidRPr="0055399B">
        <w:rPr>
          <w:rFonts w:ascii="Arial" w:hAnsi="Arial" w:cs="Arial"/>
          <w:sz w:val="20"/>
          <w:szCs w:val="20"/>
        </w:rPr>
        <w:tab/>
      </w:r>
      <w:r w:rsidRPr="0055399B">
        <w:rPr>
          <w:rFonts w:ascii="Arial" w:hAnsi="Arial" w:cs="Arial"/>
          <w:bCs/>
          <w:sz w:val="20"/>
          <w:szCs w:val="20"/>
          <w:u w:val="single"/>
        </w:rPr>
        <w:t>Zoznam nasadeného strojového vybavenia/mechanizmov a technologických zariadení</w:t>
      </w:r>
      <w:r w:rsidRPr="0055399B">
        <w:rPr>
          <w:rFonts w:ascii="Arial" w:hAnsi="Arial" w:cs="Arial"/>
          <w:bCs/>
          <w:sz w:val="20"/>
          <w:szCs w:val="20"/>
        </w:rPr>
        <w:t xml:space="preserve"> podľa prílohy B2C Zväzok 1 súťažných podkladov v zmysle </w:t>
      </w:r>
      <w:r w:rsidRPr="0055399B">
        <w:rPr>
          <w:rFonts w:asciiTheme="minorHAnsi" w:hAnsiTheme="minorHAnsi" w:cs="Arial"/>
        </w:rPr>
        <w:t>§ 34 ods. 1 písm. j) v prípade, že uchádzač</w:t>
      </w:r>
      <w:r w:rsidRPr="0055399B">
        <w:rPr>
          <w:rFonts w:ascii="Arial" w:hAnsi="Arial" w:cs="Arial"/>
          <w:bCs/>
          <w:sz w:val="20"/>
          <w:szCs w:val="20"/>
        </w:rPr>
        <w:t xml:space="preserve"> nepreukázal splnenie podmienky  účasti JED-</w:t>
      </w:r>
      <w:proofErr w:type="spellStart"/>
      <w:r w:rsidRPr="0055399B">
        <w:rPr>
          <w:rFonts w:ascii="Arial" w:hAnsi="Arial" w:cs="Arial"/>
          <w:bCs/>
          <w:sz w:val="20"/>
          <w:szCs w:val="20"/>
        </w:rPr>
        <w:t>om</w:t>
      </w:r>
      <w:proofErr w:type="spellEnd"/>
      <w:r w:rsidRPr="0055399B">
        <w:rPr>
          <w:rFonts w:ascii="Arial" w:hAnsi="Arial" w:cs="Arial"/>
          <w:bCs/>
          <w:sz w:val="20"/>
          <w:szCs w:val="20"/>
        </w:rPr>
        <w:t>.</w:t>
      </w:r>
      <w:r w:rsidRPr="0055399B">
        <w:rPr>
          <w:rFonts w:ascii="Arial" w:hAnsi="Arial" w:cs="Arial"/>
          <w:sz w:val="20"/>
          <w:szCs w:val="20"/>
        </w:rPr>
        <w:t xml:space="preserve"> </w:t>
      </w:r>
    </w:p>
    <w:p w:rsidR="00CF71F7" w:rsidRPr="0055399B" w:rsidRDefault="00CF71F7" w:rsidP="00CF71F7">
      <w:pPr>
        <w:tabs>
          <w:tab w:val="left" w:pos="1843"/>
        </w:tabs>
        <w:ind w:left="1843" w:hanging="709"/>
        <w:jc w:val="both"/>
        <w:rPr>
          <w:sz w:val="20"/>
          <w:szCs w:val="20"/>
        </w:rPr>
      </w:pPr>
      <w:r w:rsidRPr="0055399B">
        <w:rPr>
          <w:rFonts w:ascii="Arial" w:hAnsi="Arial" w:cs="Arial"/>
          <w:sz w:val="20"/>
          <w:szCs w:val="20"/>
        </w:rPr>
        <w:t>19.1.6</w:t>
      </w:r>
      <w:r w:rsidRPr="0055399B">
        <w:rPr>
          <w:rFonts w:ascii="Arial" w:hAnsi="Arial" w:cs="Arial"/>
          <w:sz w:val="20"/>
          <w:szCs w:val="20"/>
        </w:rPr>
        <w:tab/>
        <w:t>Ďalšie údaje (dokumenty), ktoré uchádzač považuje za potrebné predložiť do ponuky.</w:t>
      </w:r>
    </w:p>
    <w:p w:rsidR="00CF71F7" w:rsidRPr="0055399B" w:rsidRDefault="00CF71F7" w:rsidP="00CF71F7">
      <w:pPr>
        <w:tabs>
          <w:tab w:val="left" w:pos="1843"/>
        </w:tabs>
        <w:ind w:left="1843" w:hanging="709"/>
        <w:jc w:val="both"/>
        <w:rPr>
          <w:rFonts w:ascii="Arial" w:hAnsi="Arial" w:cs="Arial"/>
          <w:sz w:val="20"/>
          <w:szCs w:val="20"/>
        </w:rPr>
      </w:pPr>
      <w:r w:rsidRPr="0055399B">
        <w:rPr>
          <w:rFonts w:ascii="Arial" w:hAnsi="Arial" w:cs="Arial"/>
          <w:sz w:val="20"/>
          <w:szCs w:val="20"/>
        </w:rPr>
        <w:t>19.1.7</w:t>
      </w:r>
      <w:r w:rsidRPr="0055399B">
        <w:rPr>
          <w:rFonts w:ascii="Arial" w:hAnsi="Arial" w:cs="Arial"/>
          <w:sz w:val="20"/>
          <w:szCs w:val="20"/>
        </w:rPr>
        <w:tab/>
        <w:t>Platná zábezpeka alebo poistenie zábezpeky v origináli. V prípade zloženia finančných prostriedkov na účet verejného obstarávateľa, verejný obstarávateľ  odporúča, aby uchádzač doložil k svojej ponuke výpis z bankového účtu o vklade požadovanej čiastky na daný účet verejného obstarávateľa.</w:t>
      </w:r>
    </w:p>
    <w:p w:rsidR="00CF71F7" w:rsidRPr="0055399B" w:rsidRDefault="00CF71F7" w:rsidP="00CF71F7">
      <w:pPr>
        <w:tabs>
          <w:tab w:val="left" w:pos="1843"/>
        </w:tabs>
        <w:ind w:left="1843" w:hanging="709"/>
        <w:jc w:val="both"/>
        <w:rPr>
          <w:sz w:val="20"/>
          <w:szCs w:val="20"/>
        </w:rPr>
      </w:pPr>
      <w:r w:rsidRPr="0055399B">
        <w:rPr>
          <w:rFonts w:ascii="Arial" w:hAnsi="Arial" w:cs="Arial"/>
          <w:sz w:val="20"/>
          <w:szCs w:val="20"/>
        </w:rPr>
        <w:t>19.1.8</w:t>
      </w:r>
      <w:r w:rsidRPr="0055399B">
        <w:rPr>
          <w:rFonts w:ascii="Arial" w:hAnsi="Arial" w:cs="Arial"/>
          <w:sz w:val="20"/>
          <w:szCs w:val="20"/>
        </w:rPr>
        <w:tab/>
        <w:t>Harmonogram prác v súlade s prílohou B2A Zväzku 1 súťažných podkladov.</w:t>
      </w:r>
    </w:p>
    <w:p w:rsidR="00CF71F7" w:rsidRPr="0055399B" w:rsidRDefault="00CF71F7" w:rsidP="00CF71F7">
      <w:pPr>
        <w:tabs>
          <w:tab w:val="left" w:pos="-709"/>
          <w:tab w:val="left" w:pos="1080"/>
        </w:tabs>
        <w:ind w:left="1843" w:hanging="709"/>
        <w:jc w:val="both"/>
        <w:rPr>
          <w:rFonts w:ascii="Arial" w:hAnsi="Arial" w:cs="Arial"/>
          <w:sz w:val="20"/>
          <w:szCs w:val="20"/>
        </w:rPr>
      </w:pPr>
      <w:r w:rsidRPr="0055399B">
        <w:rPr>
          <w:rFonts w:ascii="Arial" w:hAnsi="Arial" w:cs="Arial"/>
          <w:sz w:val="20"/>
          <w:szCs w:val="20"/>
        </w:rPr>
        <w:t>19.1.9</w:t>
      </w:r>
      <w:r w:rsidRPr="0055399B">
        <w:rPr>
          <w:rFonts w:ascii="Arial" w:hAnsi="Arial" w:cs="Arial"/>
          <w:sz w:val="20"/>
          <w:szCs w:val="20"/>
        </w:rPr>
        <w:tab/>
        <w:t>Vyplnený formulár „</w:t>
      </w:r>
      <w:r w:rsidRPr="0055399B">
        <w:rPr>
          <w:rFonts w:ascii="Arial" w:hAnsi="Arial" w:cs="Arial"/>
          <w:sz w:val="20"/>
          <w:szCs w:val="20"/>
          <w:u w:val="single"/>
        </w:rPr>
        <w:t>Návrh na plnenie kritéria“</w:t>
      </w:r>
      <w:r w:rsidRPr="0055399B">
        <w:rPr>
          <w:rFonts w:ascii="Arial" w:hAnsi="Arial" w:cs="Arial"/>
          <w:sz w:val="20"/>
          <w:szCs w:val="20"/>
        </w:rPr>
        <w:t xml:space="preserve"> (časť A3 Zväzok 1 súťažných podkladov) </w:t>
      </w:r>
      <w:r w:rsidRPr="0055399B">
        <w:rPr>
          <w:rFonts w:ascii="Arial" w:hAnsi="Arial" w:cs="Arial"/>
          <w:sz w:val="20"/>
          <w:szCs w:val="20"/>
          <w:u w:val="single"/>
        </w:rPr>
        <w:t>podpísaný uchádzačom</w:t>
      </w:r>
      <w:r w:rsidRPr="0055399B">
        <w:rPr>
          <w:rFonts w:ascii="Arial" w:hAnsi="Arial" w:cs="Arial"/>
          <w:sz w:val="20"/>
          <w:szCs w:val="20"/>
        </w:rPr>
        <w:t>, a to jeho štatutárnym orgánom alebo členom štatutárneho orgánu alebo iným zástupcom uchádzača, ktorý je oprávnený konať v mene uchádzača v záväzkových vzťahoch.</w:t>
      </w:r>
    </w:p>
    <w:p w:rsidR="00CF71F7" w:rsidRDefault="00CF71F7" w:rsidP="00CF71F7">
      <w:pPr>
        <w:tabs>
          <w:tab w:val="left" w:pos="-284"/>
          <w:tab w:val="left" w:pos="1080"/>
        </w:tabs>
        <w:ind w:left="1843" w:hanging="709"/>
        <w:jc w:val="both"/>
        <w:rPr>
          <w:rFonts w:ascii="Arial" w:hAnsi="Arial" w:cs="Arial"/>
          <w:sz w:val="20"/>
          <w:szCs w:val="20"/>
        </w:rPr>
      </w:pPr>
      <w:r w:rsidRPr="0055399B">
        <w:rPr>
          <w:rFonts w:ascii="Arial" w:hAnsi="Arial" w:cs="Arial"/>
          <w:sz w:val="20"/>
          <w:szCs w:val="20"/>
        </w:rPr>
        <w:t>19.1.10</w:t>
      </w:r>
      <w:r w:rsidRPr="0055399B">
        <w:rPr>
          <w:rFonts w:ascii="Arial" w:hAnsi="Arial" w:cs="Arial"/>
          <w:sz w:val="20"/>
          <w:szCs w:val="20"/>
        </w:rPr>
        <w:tab/>
        <w:t xml:space="preserve">Ocenená cenová časť, </w:t>
      </w:r>
      <w:proofErr w:type="spellStart"/>
      <w:r w:rsidRPr="0055399B">
        <w:rPr>
          <w:rFonts w:ascii="Arial" w:hAnsi="Arial" w:cs="Arial"/>
          <w:sz w:val="20"/>
          <w:szCs w:val="20"/>
        </w:rPr>
        <w:t>t.j</w:t>
      </w:r>
      <w:proofErr w:type="spellEnd"/>
      <w:r w:rsidRPr="0055399B">
        <w:rPr>
          <w:rFonts w:ascii="Arial" w:hAnsi="Arial" w:cs="Arial"/>
          <w:sz w:val="20"/>
          <w:szCs w:val="20"/>
        </w:rPr>
        <w:t xml:space="preserve">. Zväzok 4 súťažných podkladov bude vypracovaná v programe „EXCEL“ a predložená v  elektronickej forme </w:t>
      </w:r>
      <w:proofErr w:type="spellStart"/>
      <w:r w:rsidRPr="0055399B">
        <w:rPr>
          <w:rFonts w:ascii="Arial" w:hAnsi="Arial" w:cs="Arial"/>
          <w:sz w:val="20"/>
          <w:szCs w:val="20"/>
        </w:rPr>
        <w:t>prostrednictvom</w:t>
      </w:r>
      <w:proofErr w:type="spellEnd"/>
      <w:r w:rsidRPr="0055399B">
        <w:rPr>
          <w:rFonts w:ascii="Arial" w:hAnsi="Arial" w:cs="Arial"/>
          <w:sz w:val="20"/>
          <w:szCs w:val="20"/>
        </w:rPr>
        <w:t xml:space="preserve"> JOZEPHINE. Verejný obstarávateľ požaduje oceniť všetky položky uvedené v Dokumentácii a v Súpise prác. </w:t>
      </w:r>
    </w:p>
    <w:p w:rsidR="00CF71F7" w:rsidRPr="009D7484" w:rsidRDefault="00CF71F7" w:rsidP="00CF71F7">
      <w:pPr>
        <w:tabs>
          <w:tab w:val="left" w:pos="-284"/>
          <w:tab w:val="left" w:pos="1080"/>
        </w:tabs>
        <w:ind w:left="1843" w:hanging="709"/>
        <w:jc w:val="both"/>
        <w:rPr>
          <w:rFonts w:ascii="Arial" w:hAnsi="Arial" w:cs="Arial"/>
          <w:color w:val="FF0000"/>
          <w:sz w:val="20"/>
          <w:szCs w:val="20"/>
        </w:rPr>
      </w:pPr>
      <w:r w:rsidRPr="009D7484">
        <w:rPr>
          <w:rFonts w:ascii="Arial" w:hAnsi="Arial" w:cs="Arial"/>
          <w:color w:val="FF0000"/>
          <w:sz w:val="20"/>
          <w:szCs w:val="20"/>
        </w:rPr>
        <w:t>19.1.11 Príloha B8 Predbežné technické riešenie</w:t>
      </w:r>
    </w:p>
    <w:p w:rsidR="00CF71F7" w:rsidRPr="000D2A98" w:rsidRDefault="00CF71F7" w:rsidP="00CF71F7">
      <w:pPr>
        <w:pBdr>
          <w:bottom w:val="single" w:sz="6" w:space="1" w:color="auto"/>
        </w:pBdr>
        <w:rPr>
          <w:rFonts w:ascii="Arial" w:hAnsi="Arial" w:cs="Arial"/>
          <w:b/>
        </w:rPr>
      </w:pPr>
    </w:p>
    <w:p w:rsidR="00CF71F7" w:rsidRDefault="00CF71F7" w:rsidP="00CF71F7">
      <w:pPr>
        <w:jc w:val="both"/>
        <w:rPr>
          <w:rFonts w:ascii="Arial" w:hAnsi="Arial" w:cs="Arial"/>
          <w:b/>
        </w:rPr>
      </w:pPr>
    </w:p>
    <w:p w:rsidR="00CF71F7" w:rsidRDefault="00CF71F7" w:rsidP="00CF71F7">
      <w:pPr>
        <w:jc w:val="both"/>
        <w:rPr>
          <w:rFonts w:ascii="Arial" w:hAnsi="Arial" w:cs="Arial"/>
          <w:b/>
        </w:rPr>
      </w:pPr>
      <w:r>
        <w:rPr>
          <w:rFonts w:ascii="Arial" w:hAnsi="Arial" w:cs="Arial"/>
          <w:b/>
        </w:rPr>
        <w:t>Otázka:</w:t>
      </w:r>
    </w:p>
    <w:p w:rsidR="00CF71F7" w:rsidRDefault="00CF71F7" w:rsidP="00CF71F7">
      <w:pPr>
        <w:rPr>
          <w:rFonts w:eastAsiaTheme="minorHAnsi"/>
          <w:sz w:val="22"/>
          <w:szCs w:val="22"/>
          <w:lang w:eastAsia="en-US"/>
        </w:rPr>
      </w:pPr>
      <w:r>
        <w:rPr>
          <w:rFonts w:ascii="Open Sans" w:hAnsi="Open Sans"/>
          <w:color w:val="333333"/>
          <w:sz w:val="20"/>
          <w:szCs w:val="20"/>
          <w:shd w:val="clear" w:color="auto" w:fill="FFFFFF"/>
        </w:rPr>
        <w:t xml:space="preserve">V </w:t>
      </w:r>
      <w:r>
        <w:rPr>
          <w:rFonts w:ascii="Open Sans" w:hAnsi="Open Sans"/>
          <w:color w:val="333333"/>
          <w:sz w:val="20"/>
          <w:szCs w:val="20"/>
          <w:shd w:val="clear" w:color="auto" w:fill="FFFFFF"/>
        </w:rPr>
        <w:t>súhrnnej tabuľke kritérií, pri Kritériu K3 - Náklady na prevádzku je uvedená ako merná jednotka ,,EUR bez DPH". V Časti A2 Kritériá na vyhodnotenie ponúk a pravidlá ich uplatnenia v časti 4. Kritérium K3 - Náklady na prevádzku sa uvádza, že výpočet kritéria je závislý IBA od zvoleného typu nosnej konštrukcie mosta a plochy nosnej konštrukcie mosta. Žiadame VO o vysvetlenie uvedeného rozporu.</w:t>
      </w:r>
    </w:p>
    <w:p w:rsidR="00CF71F7" w:rsidRDefault="00CF71F7" w:rsidP="00CF71F7">
      <w:pPr>
        <w:jc w:val="both"/>
        <w:rPr>
          <w:rFonts w:ascii="Arial" w:hAnsi="Arial" w:cs="Arial"/>
          <w:b/>
        </w:rPr>
      </w:pPr>
    </w:p>
    <w:p w:rsidR="00CF71F7" w:rsidRDefault="00CF71F7" w:rsidP="00CF71F7">
      <w:pPr>
        <w:jc w:val="both"/>
        <w:rPr>
          <w:rFonts w:ascii="Arial" w:hAnsi="Arial" w:cs="Arial"/>
          <w:b/>
          <w:color w:val="00B050"/>
        </w:rPr>
      </w:pPr>
      <w:r w:rsidRPr="00CF71F7">
        <w:rPr>
          <w:rFonts w:ascii="Arial" w:hAnsi="Arial" w:cs="Arial"/>
          <w:b/>
          <w:color w:val="00B050"/>
        </w:rPr>
        <w:t>Odpoveď:</w:t>
      </w:r>
    </w:p>
    <w:p w:rsidR="00CF71F7" w:rsidRDefault="00CF71F7" w:rsidP="00CF71F7">
      <w:pPr>
        <w:jc w:val="both"/>
        <w:rPr>
          <w:rFonts w:ascii="Arial" w:hAnsi="Arial" w:cs="Arial"/>
          <w:b/>
          <w:color w:val="00B050"/>
        </w:rPr>
      </w:pPr>
      <w:r>
        <w:rPr>
          <w:rFonts w:ascii="Arial" w:hAnsi="Arial" w:cs="Arial"/>
          <w:b/>
          <w:color w:val="00B050"/>
        </w:rPr>
        <w:t>Verejný obstarávateľ zasiela nové znenia nasledovných dokumentov:</w:t>
      </w:r>
    </w:p>
    <w:p w:rsidR="00CF71F7" w:rsidRDefault="00CF71F7" w:rsidP="00CF71F7">
      <w:pPr>
        <w:pStyle w:val="Odsekzoznamu"/>
        <w:numPr>
          <w:ilvl w:val="0"/>
          <w:numId w:val="3"/>
        </w:numPr>
        <w:jc w:val="both"/>
        <w:rPr>
          <w:rFonts w:ascii="Arial" w:hAnsi="Arial" w:cs="Arial"/>
          <w:b/>
          <w:color w:val="00B050"/>
        </w:rPr>
      </w:pPr>
      <w:r>
        <w:rPr>
          <w:rFonts w:ascii="Arial" w:hAnsi="Arial" w:cs="Arial"/>
          <w:b/>
          <w:color w:val="00B050"/>
        </w:rPr>
        <w:t>Návrh na plnenie</w:t>
      </w:r>
      <w:r w:rsidRPr="00CF71F7">
        <w:rPr>
          <w:rFonts w:ascii="Arial" w:hAnsi="Arial" w:cs="Arial"/>
          <w:b/>
          <w:color w:val="00B050"/>
        </w:rPr>
        <w:t xml:space="preserve"> kritérií súhrnná tabuľka</w:t>
      </w:r>
    </w:p>
    <w:p w:rsidR="00CF71F7" w:rsidRDefault="00CF71F7" w:rsidP="00CF71F7">
      <w:pPr>
        <w:pStyle w:val="Odsekzoznamu"/>
        <w:numPr>
          <w:ilvl w:val="0"/>
          <w:numId w:val="3"/>
        </w:numPr>
        <w:jc w:val="both"/>
        <w:rPr>
          <w:rFonts w:ascii="Arial" w:hAnsi="Arial" w:cs="Arial"/>
          <w:b/>
          <w:color w:val="00B050"/>
        </w:rPr>
      </w:pPr>
      <w:r w:rsidRPr="00CF71F7">
        <w:rPr>
          <w:rFonts w:ascii="Arial" w:hAnsi="Arial" w:cs="Arial"/>
          <w:b/>
          <w:color w:val="00B050"/>
        </w:rPr>
        <w:t>ČASŤ A2  KRITÉRIÁ NA VYHODNOTENIE PONÚK</w:t>
      </w:r>
      <w:r w:rsidRPr="00CF71F7">
        <w:rPr>
          <w:rFonts w:ascii="Arial" w:hAnsi="Arial" w:cs="Arial"/>
          <w:b/>
          <w:color w:val="00B050"/>
        </w:rPr>
        <w:t xml:space="preserve"> </w:t>
      </w:r>
      <w:r w:rsidRPr="00CF71F7">
        <w:rPr>
          <w:rFonts w:ascii="Arial" w:hAnsi="Arial" w:cs="Arial"/>
          <w:b/>
          <w:color w:val="00B050"/>
        </w:rPr>
        <w:t>A PRAVIDLÁ ICH UPLATNENIA</w:t>
      </w:r>
      <w:r>
        <w:rPr>
          <w:rFonts w:ascii="Arial" w:hAnsi="Arial" w:cs="Arial"/>
          <w:b/>
          <w:color w:val="00B050"/>
        </w:rPr>
        <w:t xml:space="preserve"> - </w:t>
      </w:r>
      <w:r w:rsidRPr="00CF71F7">
        <w:rPr>
          <w:rFonts w:ascii="Arial" w:hAnsi="Arial" w:cs="Arial"/>
          <w:b/>
          <w:color w:val="00B050"/>
        </w:rPr>
        <w:t xml:space="preserve"> zmena Popisu „</w:t>
      </w:r>
      <w:r w:rsidRPr="00CF71F7">
        <w:rPr>
          <w:rFonts w:ascii="Arial" w:hAnsi="Arial" w:cs="Arial"/>
          <w:b/>
          <w:color w:val="00B050"/>
        </w:rPr>
        <w:t>4. Kritérium K3 – Náklady na prevádzku</w:t>
      </w:r>
      <w:r w:rsidRPr="00CF71F7">
        <w:rPr>
          <w:rFonts w:ascii="Arial" w:hAnsi="Arial" w:cs="Arial"/>
          <w:b/>
          <w:color w:val="00B050"/>
        </w:rPr>
        <w:t>“</w:t>
      </w:r>
    </w:p>
    <w:p w:rsidR="00CF71F7" w:rsidRPr="00CF71F7" w:rsidRDefault="00CF71F7" w:rsidP="00CF71F7">
      <w:pPr>
        <w:pStyle w:val="Odsekzoznamu"/>
        <w:numPr>
          <w:ilvl w:val="0"/>
          <w:numId w:val="3"/>
        </w:numPr>
        <w:rPr>
          <w:rFonts w:ascii="Arial" w:hAnsi="Arial" w:cs="Arial"/>
          <w:b/>
          <w:color w:val="00B050"/>
        </w:rPr>
      </w:pPr>
      <w:r w:rsidRPr="00CF71F7">
        <w:rPr>
          <w:rFonts w:ascii="Arial" w:hAnsi="Arial" w:cs="Arial"/>
          <w:b/>
          <w:color w:val="00B050"/>
        </w:rPr>
        <w:t>ČASŤ A3 PRÍLOHA A3.2: NÁVRH NA PLNENIE KRITERIÍ - KRITERIUM K3</w:t>
      </w:r>
    </w:p>
    <w:p w:rsidR="00CF71F7" w:rsidRPr="00CF71F7" w:rsidRDefault="00CF71F7" w:rsidP="00CF71F7">
      <w:pPr>
        <w:pStyle w:val="Odsekzoznamu"/>
        <w:jc w:val="both"/>
        <w:rPr>
          <w:rFonts w:ascii="Arial" w:hAnsi="Arial" w:cs="Arial"/>
          <w:b/>
          <w:color w:val="00B050"/>
        </w:rPr>
      </w:pPr>
      <w:bookmarkStart w:id="0" w:name="_GoBack"/>
      <w:bookmarkEnd w:id="0"/>
    </w:p>
    <w:p w:rsidR="00CF71F7" w:rsidRPr="00CF71F7" w:rsidRDefault="00CF71F7" w:rsidP="00CF71F7">
      <w:pPr>
        <w:jc w:val="both"/>
        <w:rPr>
          <w:rFonts w:ascii="Arial" w:hAnsi="Arial" w:cs="Arial"/>
          <w:b/>
          <w:color w:val="00B050"/>
        </w:rPr>
      </w:pPr>
    </w:p>
    <w:sectPr w:rsidR="00CF71F7" w:rsidRPr="00CF71F7" w:rsidSect="00626C1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3FF" w:rsidRDefault="00DB73FF" w:rsidP="00F2585E">
      <w:r>
        <w:separator/>
      </w:r>
    </w:p>
  </w:endnote>
  <w:endnote w:type="continuationSeparator" w:id="0">
    <w:p w:rsidR="00DB73FF" w:rsidRDefault="00DB73FF" w:rsidP="00F2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Open Sans">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3FF" w:rsidRDefault="00DB73FF" w:rsidP="00F2585E">
      <w:r>
        <w:separator/>
      </w:r>
    </w:p>
  </w:footnote>
  <w:footnote w:type="continuationSeparator" w:id="0">
    <w:p w:rsidR="00DB73FF" w:rsidRDefault="00DB73FF" w:rsidP="00F25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3FF" w:rsidRPr="00911733" w:rsidRDefault="00DB73FF" w:rsidP="00F2585E">
    <w:pPr>
      <w:pStyle w:val="H6"/>
      <w:tabs>
        <w:tab w:val="left" w:pos="6313"/>
      </w:tabs>
      <w:spacing w:before="0" w:after="0"/>
      <w:rPr>
        <w:rFonts w:cs="Arial"/>
        <w:b w:val="0"/>
        <w:snapToGrid/>
        <w:sz w:val="18"/>
      </w:rPr>
    </w:pPr>
    <w:r w:rsidRPr="00911733">
      <w:rPr>
        <w:rFonts w:cs="Arial"/>
        <w:b w:val="0"/>
        <w:snapToGrid/>
        <w:sz w:val="18"/>
      </w:rPr>
      <w:t xml:space="preserve">Súťažné podklady: </w:t>
    </w:r>
    <w:r w:rsidRPr="00BD3F29">
      <w:rPr>
        <w:rFonts w:cs="Arial"/>
        <w:b w:val="0"/>
        <w:snapToGrid/>
        <w:sz w:val="18"/>
      </w:rPr>
      <w:t>Diaľnica D1 Bratislava-</w:t>
    </w:r>
    <w:proofErr w:type="spellStart"/>
    <w:r w:rsidRPr="00BD3F29">
      <w:rPr>
        <w:rFonts w:cs="Arial"/>
        <w:b w:val="0"/>
        <w:snapToGrid/>
        <w:sz w:val="18"/>
      </w:rPr>
      <w:t>Triblavina</w:t>
    </w:r>
    <w:proofErr w:type="spellEnd"/>
    <w:r w:rsidRPr="00BD3F29">
      <w:rPr>
        <w:rFonts w:cs="Arial"/>
        <w:b w:val="0"/>
        <w:snapToGrid/>
        <w:sz w:val="18"/>
      </w:rPr>
      <w:t>, most D1/D4</w:t>
    </w:r>
    <w:r>
      <w:rPr>
        <w:rFonts w:cs="Arial"/>
        <w:b w:val="0"/>
        <w:snapToGrid/>
        <w:sz w:val="18"/>
      </w:rPr>
      <w:t xml:space="preserve">           </w:t>
    </w:r>
    <w:r w:rsidRPr="00911733">
      <w:rPr>
        <w:rFonts w:cs="Arial"/>
        <w:b w:val="0"/>
        <w:snapToGrid/>
        <w:sz w:val="18"/>
      </w:rPr>
      <w:t>Národná diaľničná spoločnosť, a.s.</w:t>
    </w:r>
  </w:p>
  <w:p w:rsidR="00DB73FF" w:rsidRPr="00687B84" w:rsidRDefault="00DB73FF" w:rsidP="00F2585E">
    <w:pPr>
      <w:pStyle w:val="H6"/>
      <w:tabs>
        <w:tab w:val="left" w:pos="5907"/>
        <w:tab w:val="left" w:pos="6402"/>
        <w:tab w:val="left" w:pos="6567"/>
        <w:tab w:val="right" w:pos="9356"/>
      </w:tabs>
      <w:spacing w:before="0" w:after="0"/>
      <w:rPr>
        <w:rFonts w:cs="Arial"/>
        <w:b w:val="0"/>
        <w:snapToGrid/>
        <w:sz w:val="18"/>
      </w:rPr>
    </w:pPr>
    <w:r w:rsidRPr="00687B84">
      <w:rPr>
        <w:rFonts w:cs="Arial"/>
        <w:b w:val="0"/>
        <w:sz w:val="18"/>
      </w:rPr>
      <w:t>Zadávanie nadlimitnej zákazky – Práce „</w:t>
    </w:r>
    <w:r>
      <w:rPr>
        <w:rFonts w:cs="Arial"/>
        <w:b w:val="0"/>
        <w:sz w:val="18"/>
      </w:rPr>
      <w:t>žltý</w:t>
    </w:r>
    <w:r w:rsidRPr="00687B84">
      <w:rPr>
        <w:rFonts w:cs="Arial"/>
        <w:b w:val="0"/>
        <w:sz w:val="18"/>
      </w:rPr>
      <w:t xml:space="preserve"> FIDIC“</w:t>
    </w:r>
    <w:r>
      <w:rPr>
        <w:rFonts w:cs="Arial"/>
        <w:b w:val="0"/>
        <w:sz w:val="18"/>
      </w:rPr>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p w:rsidR="00DB73FF" w:rsidRDefault="00DB73FF" w:rsidP="00F2585E">
    <w:pPr>
      <w:pStyle w:val="Hlavika"/>
    </w:pPr>
  </w:p>
  <w:p w:rsidR="00DB73FF" w:rsidRDefault="00DB73F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5103A"/>
    <w:multiLevelType w:val="hybridMultilevel"/>
    <w:tmpl w:val="A0DA6044"/>
    <w:lvl w:ilvl="0" w:tplc="E6D6254E">
      <w:start w:val="19"/>
      <w:numFmt w:val="bullet"/>
      <w:lvlText w:val="-"/>
      <w:lvlJc w:val="left"/>
      <w:pPr>
        <w:ind w:left="720" w:hanging="360"/>
      </w:pPr>
      <w:rPr>
        <w:rFonts w:ascii="Arial" w:eastAsia="SimSu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62D73AC"/>
    <w:multiLevelType w:val="hybridMultilevel"/>
    <w:tmpl w:val="F13C3F5E"/>
    <w:lvl w:ilvl="0" w:tplc="8D2C571A">
      <w:start w:val="1"/>
      <w:numFmt w:val="upp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2"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103"/>
    <w:rsid w:val="000002B7"/>
    <w:rsid w:val="000735EE"/>
    <w:rsid w:val="000D2A98"/>
    <w:rsid w:val="000E0A84"/>
    <w:rsid w:val="0013632E"/>
    <w:rsid w:val="001425C3"/>
    <w:rsid w:val="0014735C"/>
    <w:rsid w:val="001D3DD4"/>
    <w:rsid w:val="002345A8"/>
    <w:rsid w:val="002440A7"/>
    <w:rsid w:val="0025399A"/>
    <w:rsid w:val="003A6465"/>
    <w:rsid w:val="003D3C43"/>
    <w:rsid w:val="00430DD3"/>
    <w:rsid w:val="00436708"/>
    <w:rsid w:val="00467F23"/>
    <w:rsid w:val="004D2DAB"/>
    <w:rsid w:val="004E051D"/>
    <w:rsid w:val="004E2EC4"/>
    <w:rsid w:val="00537D92"/>
    <w:rsid w:val="0059730F"/>
    <w:rsid w:val="005A1B9F"/>
    <w:rsid w:val="005A7321"/>
    <w:rsid w:val="005B5191"/>
    <w:rsid w:val="00626C14"/>
    <w:rsid w:val="006418F9"/>
    <w:rsid w:val="006674E3"/>
    <w:rsid w:val="006C4821"/>
    <w:rsid w:val="006E4499"/>
    <w:rsid w:val="0073087E"/>
    <w:rsid w:val="007C35BC"/>
    <w:rsid w:val="00833103"/>
    <w:rsid w:val="008F5BC6"/>
    <w:rsid w:val="00B076F9"/>
    <w:rsid w:val="00B73B48"/>
    <w:rsid w:val="00B97D6A"/>
    <w:rsid w:val="00C048C0"/>
    <w:rsid w:val="00C308FD"/>
    <w:rsid w:val="00CF71F7"/>
    <w:rsid w:val="00DB73FF"/>
    <w:rsid w:val="00E4716F"/>
    <w:rsid w:val="00F2585E"/>
    <w:rsid w:val="00F4045A"/>
    <w:rsid w:val="00F91B96"/>
    <w:rsid w:val="00FB1CC0"/>
    <w:rsid w:val="00FD1552"/>
    <w:rsid w:val="00FF12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6B393"/>
  <w15:docId w15:val="{D8D97E55-54EF-4123-83B6-69B15BBF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D2A98"/>
    <w:pPr>
      <w:spacing w:after="0" w:line="240" w:lineRule="auto"/>
    </w:pPr>
    <w:rPr>
      <w:rFonts w:ascii="Times New Roman" w:eastAsia="SimSun" w:hAnsi="Times New Roman" w:cs="Times New Roman"/>
      <w:sz w:val="24"/>
      <w:szCs w:val="24"/>
      <w:lang w:eastAsia="zh-CN"/>
    </w:rPr>
  </w:style>
  <w:style w:type="paragraph" w:styleId="Nadpis2">
    <w:name w:val="heading 2"/>
    <w:basedOn w:val="Normlny"/>
    <w:next w:val="Normlny"/>
    <w:link w:val="Nadpis2Char"/>
    <w:uiPriority w:val="9"/>
    <w:semiHidden/>
    <w:unhideWhenUsed/>
    <w:qFormat/>
    <w:rsid w:val="00F2585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F71F7"/>
    <w:pPr>
      <w:keepNext/>
      <w:keepLines/>
      <w:spacing w:before="40"/>
      <w:outlineLvl w:val="5"/>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F2585E"/>
    <w:pPr>
      <w:tabs>
        <w:tab w:val="center" w:pos="4536"/>
        <w:tab w:val="right" w:pos="9072"/>
      </w:tabs>
    </w:pPr>
  </w:style>
  <w:style w:type="character" w:customStyle="1" w:styleId="HlavikaChar">
    <w:name w:val="Hlavička Char"/>
    <w:basedOn w:val="Predvolenpsmoodseku"/>
    <w:link w:val="Hlavika"/>
    <w:uiPriority w:val="99"/>
    <w:rsid w:val="00F2585E"/>
  </w:style>
  <w:style w:type="paragraph" w:styleId="Pta">
    <w:name w:val="footer"/>
    <w:basedOn w:val="Normlny"/>
    <w:link w:val="PtaChar"/>
    <w:uiPriority w:val="99"/>
    <w:unhideWhenUsed/>
    <w:rsid w:val="00F2585E"/>
    <w:pPr>
      <w:tabs>
        <w:tab w:val="center" w:pos="4536"/>
        <w:tab w:val="right" w:pos="9072"/>
      </w:tabs>
    </w:pPr>
  </w:style>
  <w:style w:type="character" w:customStyle="1" w:styleId="PtaChar">
    <w:name w:val="Päta Char"/>
    <w:basedOn w:val="Predvolenpsmoodseku"/>
    <w:link w:val="Pta"/>
    <w:uiPriority w:val="99"/>
    <w:rsid w:val="00F2585E"/>
  </w:style>
  <w:style w:type="paragraph" w:customStyle="1" w:styleId="H6">
    <w:name w:val="H6"/>
    <w:basedOn w:val="Normlny"/>
    <w:next w:val="Normlny"/>
    <w:uiPriority w:val="99"/>
    <w:rsid w:val="00F2585E"/>
    <w:pPr>
      <w:keepNext/>
      <w:spacing w:before="100" w:after="100"/>
      <w:outlineLvl w:val="6"/>
    </w:pPr>
    <w:rPr>
      <w:rFonts w:ascii="Arial" w:eastAsia="Times New Roman" w:hAnsi="Arial"/>
      <w:b/>
      <w:snapToGrid w:val="0"/>
      <w:sz w:val="16"/>
      <w:szCs w:val="20"/>
      <w:lang w:eastAsia="cs-CZ"/>
    </w:rPr>
  </w:style>
  <w:style w:type="character" w:customStyle="1" w:styleId="Nadpis2Char">
    <w:name w:val="Nadpis 2 Char"/>
    <w:basedOn w:val="Predvolenpsmoodseku"/>
    <w:link w:val="Nadpis2"/>
    <w:uiPriority w:val="9"/>
    <w:semiHidden/>
    <w:rsid w:val="00F2585E"/>
    <w:rPr>
      <w:rFonts w:asciiTheme="majorHAnsi" w:eastAsiaTheme="majorEastAsia" w:hAnsiTheme="majorHAnsi" w:cstheme="majorBidi"/>
      <w:color w:val="2E74B5" w:themeColor="accent1" w:themeShade="BF"/>
      <w:sz w:val="26"/>
      <w:szCs w:val="26"/>
    </w:rPr>
  </w:style>
  <w:style w:type="table" w:customStyle="1" w:styleId="TableNormal">
    <w:name w:val="Table Normal"/>
    <w:rsid w:val="00F2585E"/>
    <w:pPr>
      <w:spacing w:after="0" w:line="240" w:lineRule="auto"/>
    </w:pPr>
    <w:rPr>
      <w:rFonts w:ascii="Times New Roman" w:eastAsia="Arial Unicode MS" w:hAnsi="Times New Roman" w:cs="Times New Roman"/>
      <w:sz w:val="20"/>
      <w:szCs w:val="20"/>
      <w:lang w:eastAsia="sk-SK"/>
    </w:rPr>
    <w:tblPr>
      <w:tblCellMar>
        <w:top w:w="0" w:type="dxa"/>
        <w:left w:w="0" w:type="dxa"/>
        <w:bottom w:w="0" w:type="dxa"/>
        <w:right w:w="0" w:type="dxa"/>
      </w:tblCellMar>
    </w:tblPr>
  </w:style>
  <w:style w:type="character" w:customStyle="1" w:styleId="OdsekzoznamuChar">
    <w:name w:val="Odsek zoznamu Char"/>
    <w:basedOn w:val="Predvolenpsmoodseku"/>
    <w:link w:val="Odsekzoznamu"/>
    <w:uiPriority w:val="34"/>
    <w:locked/>
    <w:rsid w:val="00537D92"/>
    <w:rPr>
      <w:rFonts w:ascii="Calibri" w:hAnsi="Calibri" w:cs="Calibri"/>
    </w:rPr>
  </w:style>
  <w:style w:type="paragraph" w:styleId="Odsekzoznamu">
    <w:name w:val="List Paragraph"/>
    <w:basedOn w:val="Normlny"/>
    <w:link w:val="OdsekzoznamuChar"/>
    <w:uiPriority w:val="34"/>
    <w:qFormat/>
    <w:rsid w:val="00537D92"/>
    <w:pPr>
      <w:spacing w:after="200" w:line="276" w:lineRule="auto"/>
      <w:ind w:left="720"/>
      <w:contextualSpacing/>
    </w:pPr>
    <w:rPr>
      <w:rFonts w:ascii="Calibri" w:hAnsi="Calibri" w:cs="Calibri"/>
    </w:rPr>
  </w:style>
  <w:style w:type="character" w:customStyle="1" w:styleId="Nadpis6Char">
    <w:name w:val="Nadpis 6 Char"/>
    <w:basedOn w:val="Predvolenpsmoodseku"/>
    <w:link w:val="Nadpis6"/>
    <w:uiPriority w:val="9"/>
    <w:semiHidden/>
    <w:rsid w:val="00CF71F7"/>
    <w:rPr>
      <w:rFonts w:asciiTheme="majorHAnsi" w:eastAsiaTheme="majorEastAsia" w:hAnsiTheme="majorHAnsi" w:cstheme="majorBidi"/>
      <w:color w:val="1F4D78" w:themeColor="accent1" w:themeShade="7F"/>
      <w:sz w:val="24"/>
      <w:szCs w:val="24"/>
      <w:lang w:eastAsia="zh-CN"/>
    </w:rPr>
  </w:style>
  <w:style w:type="character" w:styleId="Hypertextovprepojenie">
    <w:name w:val="Hyperlink"/>
    <w:rsid w:val="00CF71F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5100">
      <w:bodyDiv w:val="1"/>
      <w:marLeft w:val="0"/>
      <w:marRight w:val="0"/>
      <w:marTop w:val="0"/>
      <w:marBottom w:val="0"/>
      <w:divBdr>
        <w:top w:val="none" w:sz="0" w:space="0" w:color="auto"/>
        <w:left w:val="none" w:sz="0" w:space="0" w:color="auto"/>
        <w:bottom w:val="none" w:sz="0" w:space="0" w:color="auto"/>
        <w:right w:val="none" w:sz="0" w:space="0" w:color="auto"/>
      </w:divBdr>
    </w:div>
    <w:div w:id="268122802">
      <w:bodyDiv w:val="1"/>
      <w:marLeft w:val="0"/>
      <w:marRight w:val="0"/>
      <w:marTop w:val="0"/>
      <w:marBottom w:val="0"/>
      <w:divBdr>
        <w:top w:val="none" w:sz="0" w:space="0" w:color="auto"/>
        <w:left w:val="none" w:sz="0" w:space="0" w:color="auto"/>
        <w:bottom w:val="none" w:sz="0" w:space="0" w:color="auto"/>
        <w:right w:val="none" w:sz="0" w:space="0" w:color="auto"/>
      </w:divBdr>
    </w:div>
    <w:div w:id="484322125">
      <w:bodyDiv w:val="1"/>
      <w:marLeft w:val="0"/>
      <w:marRight w:val="0"/>
      <w:marTop w:val="0"/>
      <w:marBottom w:val="0"/>
      <w:divBdr>
        <w:top w:val="none" w:sz="0" w:space="0" w:color="auto"/>
        <w:left w:val="none" w:sz="0" w:space="0" w:color="auto"/>
        <w:bottom w:val="none" w:sz="0" w:space="0" w:color="auto"/>
        <w:right w:val="none" w:sz="0" w:space="0" w:color="auto"/>
      </w:divBdr>
    </w:div>
    <w:div w:id="513421922">
      <w:bodyDiv w:val="1"/>
      <w:marLeft w:val="0"/>
      <w:marRight w:val="0"/>
      <w:marTop w:val="0"/>
      <w:marBottom w:val="0"/>
      <w:divBdr>
        <w:top w:val="none" w:sz="0" w:space="0" w:color="auto"/>
        <w:left w:val="none" w:sz="0" w:space="0" w:color="auto"/>
        <w:bottom w:val="none" w:sz="0" w:space="0" w:color="auto"/>
        <w:right w:val="none" w:sz="0" w:space="0" w:color="auto"/>
      </w:divBdr>
    </w:div>
    <w:div w:id="680401453">
      <w:bodyDiv w:val="1"/>
      <w:marLeft w:val="0"/>
      <w:marRight w:val="0"/>
      <w:marTop w:val="0"/>
      <w:marBottom w:val="0"/>
      <w:divBdr>
        <w:top w:val="none" w:sz="0" w:space="0" w:color="auto"/>
        <w:left w:val="none" w:sz="0" w:space="0" w:color="auto"/>
        <w:bottom w:val="none" w:sz="0" w:space="0" w:color="auto"/>
        <w:right w:val="none" w:sz="0" w:space="0" w:color="auto"/>
      </w:divBdr>
    </w:div>
    <w:div w:id="804590483">
      <w:bodyDiv w:val="1"/>
      <w:marLeft w:val="0"/>
      <w:marRight w:val="0"/>
      <w:marTop w:val="0"/>
      <w:marBottom w:val="0"/>
      <w:divBdr>
        <w:top w:val="none" w:sz="0" w:space="0" w:color="auto"/>
        <w:left w:val="none" w:sz="0" w:space="0" w:color="auto"/>
        <w:bottom w:val="none" w:sz="0" w:space="0" w:color="auto"/>
        <w:right w:val="none" w:sz="0" w:space="0" w:color="auto"/>
      </w:divBdr>
    </w:div>
    <w:div w:id="1233270031">
      <w:bodyDiv w:val="1"/>
      <w:marLeft w:val="0"/>
      <w:marRight w:val="0"/>
      <w:marTop w:val="0"/>
      <w:marBottom w:val="0"/>
      <w:divBdr>
        <w:top w:val="none" w:sz="0" w:space="0" w:color="auto"/>
        <w:left w:val="none" w:sz="0" w:space="0" w:color="auto"/>
        <w:bottom w:val="none" w:sz="0" w:space="0" w:color="auto"/>
        <w:right w:val="none" w:sz="0" w:space="0" w:color="auto"/>
      </w:divBdr>
    </w:div>
    <w:div w:id="1687169445">
      <w:bodyDiv w:val="1"/>
      <w:marLeft w:val="0"/>
      <w:marRight w:val="0"/>
      <w:marTop w:val="0"/>
      <w:marBottom w:val="0"/>
      <w:divBdr>
        <w:top w:val="none" w:sz="0" w:space="0" w:color="auto"/>
        <w:left w:val="none" w:sz="0" w:space="0" w:color="auto"/>
        <w:bottom w:val="none" w:sz="0" w:space="0" w:color="auto"/>
        <w:right w:val="none" w:sz="0" w:space="0" w:color="auto"/>
      </w:divBdr>
    </w:div>
    <w:div w:id="1735277326">
      <w:bodyDiv w:val="1"/>
      <w:marLeft w:val="0"/>
      <w:marRight w:val="0"/>
      <w:marTop w:val="0"/>
      <w:marBottom w:val="0"/>
      <w:divBdr>
        <w:top w:val="none" w:sz="0" w:space="0" w:color="auto"/>
        <w:left w:val="none" w:sz="0" w:space="0" w:color="auto"/>
        <w:bottom w:val="none" w:sz="0" w:space="0" w:color="auto"/>
        <w:right w:val="none" w:sz="0" w:space="0" w:color="auto"/>
      </w:divBdr>
    </w:div>
    <w:div w:id="1883446104">
      <w:bodyDiv w:val="1"/>
      <w:marLeft w:val="0"/>
      <w:marRight w:val="0"/>
      <w:marTop w:val="0"/>
      <w:marBottom w:val="0"/>
      <w:divBdr>
        <w:top w:val="none" w:sz="0" w:space="0" w:color="auto"/>
        <w:left w:val="none" w:sz="0" w:space="0" w:color="auto"/>
        <w:bottom w:val="none" w:sz="0" w:space="0" w:color="auto"/>
        <w:right w:val="none" w:sz="0" w:space="0" w:color="auto"/>
      </w:divBdr>
    </w:div>
    <w:div w:id="1933779768">
      <w:bodyDiv w:val="1"/>
      <w:marLeft w:val="0"/>
      <w:marRight w:val="0"/>
      <w:marTop w:val="0"/>
      <w:marBottom w:val="0"/>
      <w:divBdr>
        <w:top w:val="none" w:sz="0" w:space="0" w:color="auto"/>
        <w:left w:val="none" w:sz="0" w:space="0" w:color="auto"/>
        <w:bottom w:val="none" w:sz="0" w:space="0" w:color="auto"/>
        <w:right w:val="none" w:sz="0" w:space="0" w:color="auto"/>
      </w:divBdr>
    </w:div>
    <w:div w:id="195062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www.uvo.gov.sk/legislativametodika-dohlad/jednotny-europsky-dokument-pre-verejne-obstaravanie-55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1052</Words>
  <Characters>6002</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Záhorec Andrej</dc:creator>
  <cp:keywords/>
  <dc:description/>
  <cp:lastModifiedBy>Záhorec Andrej</cp:lastModifiedBy>
  <cp:revision>2</cp:revision>
  <dcterms:created xsi:type="dcterms:W3CDTF">2019-06-26T12:21:00Z</dcterms:created>
  <dcterms:modified xsi:type="dcterms:W3CDTF">2019-06-26T12:21:00Z</dcterms:modified>
</cp:coreProperties>
</file>