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A014" w14:textId="672FEEFF" w:rsidR="262C1481" w:rsidRPr="003E47B1" w:rsidRDefault="262C1481" w:rsidP="0A44E958">
      <w:pPr>
        <w:spacing w:line="276" w:lineRule="auto"/>
        <w:ind w:left="709" w:hanging="709"/>
        <w:jc w:val="center"/>
        <w:rPr>
          <w:rFonts w:ascii="Arial" w:eastAsia="Arial" w:hAnsi="Arial" w:cs="Arial"/>
          <w:sz w:val="28"/>
          <w:szCs w:val="28"/>
        </w:rPr>
      </w:pPr>
      <w:r w:rsidRPr="003E47B1">
        <w:rPr>
          <w:rFonts w:ascii="Arial" w:eastAsia="Arial" w:hAnsi="Arial" w:cs="Arial"/>
          <w:i/>
          <w:iCs/>
          <w:sz w:val="28"/>
          <w:szCs w:val="28"/>
        </w:rPr>
        <w:t>(</w:t>
      </w:r>
      <w:r w:rsidR="00302E3D" w:rsidRPr="00302E3D">
        <w:rPr>
          <w:rFonts w:ascii="Arial" w:eastAsia="Arial" w:hAnsi="Arial" w:cs="Arial"/>
          <w:i/>
          <w:iCs/>
          <w:sz w:val="28"/>
          <w:szCs w:val="28"/>
        </w:rPr>
        <w:t>INFORMATÍVNY</w:t>
      </w:r>
      <w:r w:rsidR="00302E3D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3E47B1">
        <w:rPr>
          <w:rFonts w:ascii="Arial" w:eastAsia="Arial" w:hAnsi="Arial" w:cs="Arial"/>
          <w:i/>
          <w:iCs/>
          <w:sz w:val="28"/>
          <w:szCs w:val="28"/>
        </w:rPr>
        <w:t>VZOR)</w:t>
      </w:r>
      <w:r w:rsidR="001F7972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0069609E">
        <w:rPr>
          <w:rFonts w:ascii="Arial" w:eastAsia="Arial" w:hAnsi="Arial" w:cs="Arial"/>
          <w:i/>
          <w:iCs/>
          <w:sz w:val="28"/>
          <w:szCs w:val="28"/>
        </w:rPr>
        <w:t xml:space="preserve"> </w:t>
      </w:r>
    </w:p>
    <w:p w14:paraId="3DE1B496" w14:textId="74975ABE" w:rsidR="0A44E958" w:rsidRDefault="0A44E958" w:rsidP="003E47B1">
      <w:pPr>
        <w:pStyle w:val="Default"/>
        <w:spacing w:line="276" w:lineRule="auto"/>
        <w:ind w:left="709" w:hanging="709"/>
        <w:jc w:val="center"/>
        <w:rPr>
          <w:rFonts w:eastAsia="Calibri"/>
          <w:color w:val="000000" w:themeColor="text1"/>
        </w:rPr>
      </w:pPr>
    </w:p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70EE25DF">
        <w:rPr>
          <w:rFonts w:ascii="Arial" w:hAnsi="Arial" w:cs="Arial"/>
          <w:b/>
          <w:bCs/>
          <w:sz w:val="28"/>
          <w:szCs w:val="28"/>
        </w:rPr>
        <w:t>Zmluva</w:t>
      </w:r>
      <w:r w:rsidR="002A0C7F" w:rsidRPr="70EE25DF">
        <w:rPr>
          <w:rFonts w:ascii="Arial" w:hAnsi="Arial" w:cs="Arial"/>
          <w:b/>
          <w:bCs/>
          <w:sz w:val="28"/>
          <w:szCs w:val="28"/>
        </w:rPr>
        <w:t xml:space="preserve"> </w:t>
      </w:r>
      <w:r w:rsidRPr="70EE25D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bookmarkStart w:id="0" w:name="_GoBack"/>
      <w:bookmarkEnd w:id="0"/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1" w:tgtFrame="_blank" w:tooltip="Po kliknutí na odkaz budete presmerovaní  na webové sídlo www.google.sk/maps" w:history="1">
        <w:proofErr w:type="spellStart"/>
        <w:r w:rsidRPr="0067137D">
          <w:rPr>
            <w:rFonts w:ascii="Arial" w:hAnsi="Arial" w:cs="Arial"/>
          </w:rPr>
          <w:t>Lazaretská</w:t>
        </w:r>
        <w:proofErr w:type="spellEnd"/>
        <w:r w:rsidRPr="0067137D">
          <w:rPr>
            <w:rFonts w:ascii="Arial" w:hAnsi="Arial" w:cs="Arial"/>
          </w:rPr>
          <w:t xml:space="preserve">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6C8CBDF4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B87352">
        <w:rPr>
          <w:rFonts w:ascii="Arial" w:hAnsi="Arial" w:cs="Arial"/>
        </w:rPr>
        <w:t>nie je platca DPH</w:t>
      </w:r>
    </w:p>
    <w:p w14:paraId="7D2D1AF9" w14:textId="6F5D8753" w:rsidR="00D345AF" w:rsidRPr="00B87352" w:rsidRDefault="002A0C7F" w:rsidP="002A0C7F">
      <w:pPr>
        <w:spacing w:after="0"/>
        <w:jc w:val="both"/>
        <w:rPr>
          <w:rFonts w:ascii="Arial" w:hAnsi="Arial" w:cs="Arial"/>
        </w:rPr>
      </w:pPr>
      <w:r w:rsidRPr="00B87352">
        <w:rPr>
          <w:rFonts w:ascii="Arial" w:hAnsi="Arial" w:cs="Arial"/>
        </w:rPr>
        <w:t>v mene ktorého koná</w:t>
      </w:r>
      <w:r w:rsidRPr="009929F3">
        <w:rPr>
          <w:rFonts w:ascii="Arial" w:hAnsi="Arial"/>
        </w:rPr>
        <w:tab/>
      </w:r>
      <w:r w:rsidRPr="00B87352">
        <w:rPr>
          <w:rFonts w:ascii="Arial" w:hAnsi="Arial" w:cs="Arial"/>
        </w:rPr>
        <w:t>:</w:t>
      </w:r>
      <w:r w:rsidRPr="009929F3">
        <w:rPr>
          <w:rFonts w:ascii="Arial" w:hAnsi="Arial"/>
        </w:rPr>
        <w:tab/>
      </w:r>
      <w:r w:rsidR="00EE4E11" w:rsidRPr="0067137D">
        <w:rPr>
          <w:rFonts w:ascii="Arial" w:hAnsi="Arial" w:cs="Arial"/>
        </w:rPr>
        <w:t>...............................</w:t>
      </w:r>
      <w:r w:rsidR="00B87352" w:rsidRPr="009445B4">
        <w:rPr>
          <w:rFonts w:ascii="Arial" w:hAnsi="Arial" w:cs="Arial"/>
        </w:rPr>
        <w:t>, riaditeľ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>
        <w:tab/>
      </w:r>
      <w: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05CB6655" w:rsidR="000B1CAE" w:rsidRPr="009A4C9D" w:rsidRDefault="00C92932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9A4C9D">
        <w:rPr>
          <w:rFonts w:ascii="Arial" w:hAnsi="Arial" w:cs="Arial"/>
          <w:color w:val="auto"/>
          <w:sz w:val="22"/>
          <w:szCs w:val="22"/>
        </w:rPr>
        <w:t xml:space="preserve">Prevádzkovateľ ako objednávateľ a </w:t>
      </w:r>
      <w:r w:rsidR="00AB6F35">
        <w:rPr>
          <w:rFonts w:ascii="Arial" w:hAnsi="Arial" w:cs="Arial"/>
          <w:color w:val="auto"/>
          <w:sz w:val="22"/>
          <w:szCs w:val="22"/>
        </w:rPr>
        <w:t>Dodávateľ</w:t>
      </w:r>
      <w:r w:rsidR="00AB6F35" w:rsidRPr="009A4C9D">
        <w:rPr>
          <w:rFonts w:ascii="Arial" w:hAnsi="Arial" w:cs="Arial"/>
          <w:color w:val="auto"/>
          <w:sz w:val="22"/>
          <w:szCs w:val="22"/>
        </w:rPr>
        <w:t xml:space="preserve"> </w:t>
      </w:r>
      <w:r w:rsidRPr="009A4C9D">
        <w:rPr>
          <w:rFonts w:ascii="Arial" w:hAnsi="Arial" w:cs="Arial"/>
          <w:color w:val="auto"/>
          <w:sz w:val="22"/>
          <w:szCs w:val="22"/>
        </w:rPr>
        <w:t xml:space="preserve">ako poskytovateľ uzavreli dňa </w:t>
      </w:r>
      <w:r w:rsidRPr="009929F3">
        <w:rPr>
          <w:rFonts w:ascii="Arial" w:hAnsi="Arial"/>
          <w:color w:val="auto"/>
          <w:sz w:val="22"/>
        </w:rPr>
        <w:t>...</w:t>
      </w:r>
      <w:r w:rsidRPr="009A4C9D">
        <w:rPr>
          <w:rFonts w:ascii="Arial" w:hAnsi="Arial" w:cs="Arial"/>
          <w:color w:val="auto"/>
          <w:sz w:val="22"/>
          <w:szCs w:val="22"/>
        </w:rPr>
        <w:t xml:space="preserve"> nasledovnú zmluvu: </w:t>
      </w:r>
      <w:r w:rsidR="005C4563" w:rsidRPr="005C4563">
        <w:rPr>
          <w:rFonts w:ascii="Arial" w:hAnsi="Arial" w:cs="Arial"/>
          <w:b/>
          <w:iCs/>
          <w:color w:val="auto"/>
          <w:sz w:val="22"/>
          <w:szCs w:val="22"/>
        </w:rPr>
        <w:t>Zmluva  o podpore prevádzky, údržbe a rozvoji podporných informačných systémov</w:t>
      </w:r>
      <w:r w:rsidR="00163F95"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proofErr w:type="spellStart"/>
      <w:r w:rsidR="00163F95">
        <w:rPr>
          <w:rFonts w:ascii="Arial" w:hAnsi="Arial" w:cs="Arial"/>
          <w:b/>
          <w:iCs/>
          <w:color w:val="auto"/>
          <w:sz w:val="22"/>
          <w:szCs w:val="22"/>
        </w:rPr>
        <w:t>eZ</w:t>
      </w:r>
      <w:r w:rsidR="00EE4E11">
        <w:rPr>
          <w:rFonts w:ascii="Arial" w:hAnsi="Arial" w:cs="Arial"/>
          <w:b/>
          <w:iCs/>
          <w:color w:val="auto"/>
          <w:sz w:val="22"/>
          <w:szCs w:val="22"/>
        </w:rPr>
        <w:t>dravie</w:t>
      </w:r>
      <w:proofErr w:type="spellEnd"/>
      <w:r w:rsidRPr="009A4C9D">
        <w:rPr>
          <w:rFonts w:ascii="Arial" w:hAnsi="Arial" w:cs="Arial"/>
          <w:color w:val="auto"/>
          <w:sz w:val="22"/>
          <w:szCs w:val="22"/>
        </w:rPr>
        <w:t>, č. zmluvy u NCZI: ... (ďalej aj len ako „</w:t>
      </w:r>
      <w:r w:rsidRPr="009A4C9D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Pr="009A4C9D">
        <w:rPr>
          <w:rFonts w:ascii="Arial" w:hAnsi="Arial" w:cs="Arial"/>
          <w:color w:val="auto"/>
          <w:sz w:val="22"/>
          <w:szCs w:val="22"/>
        </w:rPr>
        <w:t xml:space="preserve">“). Na základe dodávateľskej zmluvy sa </w:t>
      </w:r>
      <w:r w:rsidR="00AB6F35">
        <w:rPr>
          <w:rFonts w:ascii="Arial" w:hAnsi="Arial" w:cs="Arial"/>
          <w:color w:val="auto"/>
          <w:sz w:val="22"/>
          <w:szCs w:val="22"/>
        </w:rPr>
        <w:t>Dodávateľ</w:t>
      </w:r>
      <w:r w:rsidR="00AB6F35" w:rsidRPr="009A4C9D">
        <w:rPr>
          <w:rFonts w:ascii="Arial" w:hAnsi="Arial" w:cs="Arial"/>
          <w:color w:val="auto"/>
          <w:sz w:val="22"/>
          <w:szCs w:val="22"/>
        </w:rPr>
        <w:t xml:space="preserve"> </w:t>
      </w:r>
      <w:r w:rsidRPr="009A4C9D">
        <w:rPr>
          <w:rFonts w:ascii="Arial" w:hAnsi="Arial" w:cs="Arial"/>
          <w:color w:val="auto"/>
          <w:sz w:val="22"/>
          <w:szCs w:val="22"/>
        </w:rPr>
        <w:t xml:space="preserve">zaväzuje poskytovať Prevádzkovateľovi </w:t>
      </w:r>
      <w:r w:rsidR="005C4563" w:rsidRPr="005C4563">
        <w:rPr>
          <w:rFonts w:ascii="Arial" w:hAnsi="Arial" w:cs="Arial"/>
          <w:color w:val="auto"/>
          <w:sz w:val="22"/>
          <w:szCs w:val="22"/>
        </w:rPr>
        <w:lastRenderedPageBreak/>
        <w:t>technickú podporu prevádzky, údržbu a rozvoj podporných informačných systémov pre podporu riadenia prevádzky informačných systémov NCZI</w:t>
      </w:r>
      <w:r w:rsidR="005C4563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t xml:space="preserve">Prevádzkovateľ je podľa § 3 písm. </w:t>
      </w:r>
      <w:r w:rsidR="3DE5C566" w:rsidRPr="151ABA7F">
        <w:rPr>
          <w:rFonts w:ascii="Arial" w:hAnsi="Arial" w:cs="Arial"/>
          <w:sz w:val="22"/>
          <w:szCs w:val="22"/>
        </w:rPr>
        <w:t>m</w:t>
      </w:r>
      <w:r w:rsidRPr="151ABA7F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51ABA7F">
        <w:rPr>
          <w:rFonts w:ascii="Arial" w:hAnsi="Arial" w:cs="Arial"/>
          <w:sz w:val="22"/>
          <w:szCs w:val="22"/>
        </w:rPr>
        <w:t xml:space="preserve"> v znení neskorších predpisov</w:t>
      </w:r>
      <w:r w:rsidRPr="151ABA7F">
        <w:rPr>
          <w:rFonts w:ascii="Arial" w:hAnsi="Arial" w:cs="Arial"/>
          <w:sz w:val="22"/>
          <w:szCs w:val="22"/>
        </w:rPr>
        <w:t xml:space="preserve"> (ďalej len „</w:t>
      </w:r>
      <w:r w:rsidR="5038D37A" w:rsidRPr="151ABA7F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51ABA7F">
        <w:rPr>
          <w:rFonts w:ascii="Arial" w:hAnsi="Arial" w:cs="Arial"/>
          <w:sz w:val="22"/>
          <w:szCs w:val="22"/>
        </w:rPr>
        <w:t xml:space="preserve">“) </w:t>
      </w:r>
      <w:r w:rsidR="2ABA28F9" w:rsidRPr="151ABA7F">
        <w:rPr>
          <w:rFonts w:ascii="Arial" w:hAnsi="Arial" w:cs="Arial"/>
          <w:sz w:val="22"/>
          <w:szCs w:val="22"/>
        </w:rPr>
        <w:t>p</w:t>
      </w:r>
      <w:r w:rsidR="5DFFB803" w:rsidRPr="151ABA7F">
        <w:rPr>
          <w:rFonts w:ascii="Arial" w:hAnsi="Arial" w:cs="Arial"/>
          <w:sz w:val="22"/>
          <w:szCs w:val="22"/>
        </w:rPr>
        <w:t>revádzkovateľ</w:t>
      </w:r>
      <w:r w:rsidRPr="151ABA7F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51ABA7F">
        <w:rPr>
          <w:rFonts w:ascii="Arial" w:hAnsi="Arial" w:cs="Arial"/>
          <w:sz w:val="22"/>
          <w:szCs w:val="22"/>
        </w:rPr>
        <w:t>l</w:t>
      </w:r>
      <w:r w:rsidRPr="151ABA7F">
        <w:rPr>
          <w:rFonts w:ascii="Arial" w:hAnsi="Arial" w:cs="Arial"/>
          <w:sz w:val="22"/>
          <w:szCs w:val="22"/>
        </w:rPr>
        <w:t xml:space="preserve">) </w:t>
      </w:r>
      <w:r w:rsidR="5038D37A" w:rsidRPr="151ABA7F">
        <w:rPr>
          <w:rFonts w:ascii="Arial" w:hAnsi="Arial" w:cs="Arial"/>
          <w:sz w:val="22"/>
          <w:szCs w:val="22"/>
        </w:rPr>
        <w:t>zákona o kybernetickej bezpečnosti</w:t>
      </w:r>
      <w:r w:rsidR="11AFEAB0" w:rsidRPr="151ABA7F">
        <w:rPr>
          <w:rFonts w:ascii="Arial" w:hAnsi="Arial" w:cs="Arial"/>
          <w:sz w:val="22"/>
          <w:szCs w:val="22"/>
        </w:rPr>
        <w:t>.</w:t>
      </w:r>
      <w:r w:rsidRPr="151ABA7F">
        <w:rPr>
          <w:rFonts w:ascii="Arial" w:hAnsi="Arial" w:cs="Arial"/>
          <w:sz w:val="22"/>
          <w:szCs w:val="22"/>
        </w:rPr>
        <w:t xml:space="preserve"> </w:t>
      </w:r>
      <w:r w:rsidR="11AFEAB0" w:rsidRPr="151ABA7F">
        <w:rPr>
          <w:rFonts w:ascii="Arial" w:hAnsi="Arial" w:cs="Arial"/>
          <w:sz w:val="22"/>
          <w:szCs w:val="22"/>
        </w:rPr>
        <w:t>Dodávateľ</w:t>
      </w:r>
      <w:r w:rsidRPr="151ABA7F">
        <w:rPr>
          <w:rFonts w:ascii="Arial" w:hAnsi="Arial" w:cs="Arial"/>
          <w:sz w:val="22"/>
          <w:szCs w:val="22"/>
        </w:rPr>
        <w:t xml:space="preserve"> je </w:t>
      </w:r>
      <w:r w:rsidR="1CED60B8" w:rsidRPr="151ABA7F">
        <w:rPr>
          <w:rFonts w:ascii="Arial" w:hAnsi="Arial" w:cs="Arial"/>
          <w:sz w:val="22"/>
          <w:szCs w:val="22"/>
        </w:rPr>
        <w:t xml:space="preserve">s poukazom na </w:t>
      </w:r>
      <w:r w:rsidRPr="151ABA7F">
        <w:rPr>
          <w:rFonts w:ascii="Arial" w:hAnsi="Arial" w:cs="Arial"/>
          <w:sz w:val="22"/>
          <w:szCs w:val="22"/>
        </w:rPr>
        <w:t xml:space="preserve">§ 19 ods. </w:t>
      </w:r>
      <w:r w:rsidR="2D2293CD" w:rsidRPr="151ABA7F">
        <w:rPr>
          <w:rFonts w:ascii="Arial" w:hAnsi="Arial" w:cs="Arial"/>
          <w:sz w:val="22"/>
          <w:szCs w:val="22"/>
        </w:rPr>
        <w:t xml:space="preserve">2 </w:t>
      </w:r>
      <w:r w:rsidR="5038D37A" w:rsidRPr="151ABA7F">
        <w:rPr>
          <w:rFonts w:ascii="Arial" w:hAnsi="Arial" w:cs="Arial"/>
          <w:sz w:val="22"/>
          <w:szCs w:val="22"/>
        </w:rPr>
        <w:t xml:space="preserve">zákona o kybernetickej bezpečnosti </w:t>
      </w:r>
      <w:r w:rsidR="11AFEAB0" w:rsidRPr="151ABA7F">
        <w:rPr>
          <w:rFonts w:ascii="Arial" w:hAnsi="Arial" w:cs="Arial"/>
          <w:sz w:val="22"/>
          <w:szCs w:val="22"/>
        </w:rPr>
        <w:t>dodávateľom</w:t>
      </w:r>
      <w:r w:rsidR="2D2293CD" w:rsidRPr="151ABA7F">
        <w:rPr>
          <w:rFonts w:ascii="Arial" w:hAnsi="Arial" w:cs="Arial"/>
          <w:sz w:val="22"/>
          <w:szCs w:val="22"/>
        </w:rPr>
        <w:t xml:space="preserve"> </w:t>
      </w:r>
      <w:r w:rsidR="3DE5C566" w:rsidRPr="151ABA7F">
        <w:rPr>
          <w:rFonts w:ascii="Arial" w:hAnsi="Arial" w:cs="Arial"/>
          <w:sz w:val="22"/>
          <w:szCs w:val="22"/>
        </w:rPr>
        <w:t>služieb</w:t>
      </w:r>
      <w:r w:rsidR="11AFEAB0" w:rsidRPr="151ABA7F">
        <w:rPr>
          <w:rFonts w:ascii="Arial" w:hAnsi="Arial" w:cs="Arial"/>
          <w:sz w:val="22"/>
          <w:szCs w:val="22"/>
        </w:rPr>
        <w:t>, ktor</w:t>
      </w:r>
      <w:r w:rsidR="3DE5C566" w:rsidRPr="151ABA7F">
        <w:rPr>
          <w:rFonts w:ascii="Arial" w:hAnsi="Arial" w:cs="Arial"/>
          <w:sz w:val="22"/>
          <w:szCs w:val="22"/>
        </w:rPr>
        <w:t>é</w:t>
      </w:r>
      <w:r w:rsidR="11AFEAB0" w:rsidRPr="151ABA7F">
        <w:rPr>
          <w:rFonts w:ascii="Arial" w:hAnsi="Arial" w:cs="Arial"/>
          <w:sz w:val="22"/>
          <w:szCs w:val="22"/>
        </w:rPr>
        <w:t xml:space="preserve"> priamo súvis</w:t>
      </w:r>
      <w:r w:rsidR="3DE5C566" w:rsidRPr="151ABA7F">
        <w:rPr>
          <w:rFonts w:ascii="Arial" w:hAnsi="Arial" w:cs="Arial"/>
          <w:sz w:val="22"/>
          <w:szCs w:val="22"/>
        </w:rPr>
        <w:t>ia</w:t>
      </w:r>
      <w:r w:rsidR="11AFEAB0" w:rsidRPr="151ABA7F">
        <w:rPr>
          <w:rFonts w:ascii="Arial" w:hAnsi="Arial" w:cs="Arial"/>
          <w:sz w:val="22"/>
          <w:szCs w:val="22"/>
        </w:rPr>
        <w:t xml:space="preserve"> </w:t>
      </w:r>
      <w:r w:rsidR="3DE5C566" w:rsidRPr="151ABA7F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51ABA7F">
        <w:rPr>
          <w:rFonts w:ascii="Arial" w:hAnsi="Arial" w:cs="Arial"/>
          <w:sz w:val="22"/>
          <w:szCs w:val="22"/>
        </w:rPr>
        <w:t xml:space="preserve"> pre </w:t>
      </w:r>
      <w:r w:rsidR="11EF6457" w:rsidRPr="151ABA7F">
        <w:rPr>
          <w:rFonts w:ascii="Arial" w:hAnsi="Arial" w:cs="Arial"/>
          <w:sz w:val="22"/>
          <w:szCs w:val="22"/>
        </w:rPr>
        <w:t>P</w:t>
      </w:r>
      <w:r w:rsidR="11AFEAB0" w:rsidRPr="151ABA7F">
        <w:rPr>
          <w:rFonts w:ascii="Arial" w:hAnsi="Arial" w:cs="Arial"/>
          <w:sz w:val="22"/>
          <w:szCs w:val="22"/>
        </w:rPr>
        <w:t xml:space="preserve">revádzkovateľa </w:t>
      </w:r>
      <w:r w:rsidR="11EF6457" w:rsidRPr="151ABA7F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51ABA7F">
        <w:rPr>
          <w:rFonts w:ascii="Arial" w:hAnsi="Arial" w:cs="Arial"/>
          <w:sz w:val="22"/>
          <w:szCs w:val="22"/>
        </w:rPr>
        <w:t>základnej služby</w:t>
      </w:r>
      <w:r w:rsidRPr="151ABA7F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43A63459" w:rsidR="00D97782" w:rsidRPr="0067137D" w:rsidRDefault="009A4C9D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75AD2301" w:rsidRPr="151ABA7F">
        <w:rPr>
          <w:rFonts w:ascii="Arial" w:hAnsi="Arial" w:cs="Arial"/>
          <w:sz w:val="22"/>
          <w:szCs w:val="22"/>
        </w:rPr>
        <w:t xml:space="preserve"> súlade s § 19 ods. 2 </w:t>
      </w:r>
      <w:r w:rsidR="2FCE6804" w:rsidRPr="151ABA7F">
        <w:rPr>
          <w:rFonts w:ascii="Arial" w:hAnsi="Arial" w:cs="Arial"/>
          <w:sz w:val="22"/>
          <w:szCs w:val="22"/>
        </w:rPr>
        <w:t xml:space="preserve"> </w:t>
      </w:r>
      <w:r w:rsidR="5038D37A" w:rsidRPr="151ABA7F">
        <w:rPr>
          <w:rFonts w:ascii="Arial" w:hAnsi="Arial" w:cs="Arial"/>
          <w:sz w:val="22"/>
          <w:szCs w:val="22"/>
        </w:rPr>
        <w:t xml:space="preserve">zákona o kybernetickej bezpečnosti </w:t>
      </w:r>
      <w:r w:rsidR="00BB09F4">
        <w:rPr>
          <w:rFonts w:ascii="Arial" w:hAnsi="Arial" w:cs="Arial"/>
          <w:sz w:val="22"/>
          <w:szCs w:val="22"/>
        </w:rPr>
        <w:t>v spojení s</w:t>
      </w:r>
      <w:r w:rsidR="75AD2301" w:rsidRPr="151ABA7F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>9</w:t>
      </w:r>
      <w:r w:rsidR="75AD2301" w:rsidRPr="151ABA7F">
        <w:rPr>
          <w:rFonts w:ascii="Arial" w:hAnsi="Arial" w:cs="Arial"/>
          <w:sz w:val="22"/>
          <w:szCs w:val="22"/>
        </w:rPr>
        <w:t xml:space="preserve">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151ABA7F">
        <w:rPr>
          <w:rFonts w:ascii="Arial" w:hAnsi="Arial" w:cs="Arial"/>
          <w:b/>
          <w:bCs/>
          <w:sz w:val="22"/>
          <w:szCs w:val="22"/>
        </w:rPr>
        <w:t>v</w:t>
      </w:r>
      <w:r w:rsidR="75AD2301" w:rsidRPr="151ABA7F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151ABA7F">
        <w:rPr>
          <w:rFonts w:ascii="Arial" w:hAnsi="Arial" w:cs="Arial"/>
          <w:b/>
          <w:bCs/>
          <w:sz w:val="22"/>
          <w:szCs w:val="22"/>
        </w:rPr>
        <w:t xml:space="preserve"> OBO</w:t>
      </w:r>
      <w:r w:rsidR="75AD2301" w:rsidRPr="151ABA7F">
        <w:rPr>
          <w:rFonts w:ascii="Arial" w:hAnsi="Arial" w:cs="Arial"/>
          <w:sz w:val="22"/>
          <w:szCs w:val="22"/>
        </w:rPr>
        <w:t>“) zmluvné strany</w:t>
      </w:r>
      <w:r w:rsidR="725CA802" w:rsidRPr="151ABA7F">
        <w:rPr>
          <w:rFonts w:ascii="Arial" w:hAnsi="Arial" w:cs="Arial"/>
          <w:sz w:val="22"/>
          <w:szCs w:val="22"/>
        </w:rPr>
        <w:t xml:space="preserve"> </w:t>
      </w:r>
      <w:r w:rsidR="75AD2301" w:rsidRPr="151ABA7F">
        <w:rPr>
          <w:rFonts w:ascii="Arial" w:hAnsi="Arial" w:cs="Arial"/>
          <w:sz w:val="22"/>
          <w:szCs w:val="22"/>
        </w:rPr>
        <w:t xml:space="preserve">uzatvárajú </w:t>
      </w:r>
      <w:r w:rsidR="11AFEAB0" w:rsidRPr="151ABA7F">
        <w:rPr>
          <w:rFonts w:ascii="Arial" w:hAnsi="Arial" w:cs="Arial"/>
          <w:sz w:val="22"/>
          <w:szCs w:val="22"/>
        </w:rPr>
        <w:t>túto Z</w:t>
      </w:r>
      <w:r w:rsidR="75AD2301" w:rsidRPr="151ABA7F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="75AD2301" w:rsidRPr="151ABA7F">
        <w:rPr>
          <w:rFonts w:ascii="Arial" w:hAnsi="Arial" w:cs="Arial"/>
          <w:b/>
          <w:bCs/>
          <w:sz w:val="22"/>
          <w:szCs w:val="22"/>
        </w:rPr>
        <w:t>zmluva</w:t>
      </w:r>
      <w:r w:rsidR="75AD2301" w:rsidRPr="151ABA7F">
        <w:rPr>
          <w:rFonts w:ascii="Arial" w:hAnsi="Arial" w:cs="Arial"/>
          <w:sz w:val="22"/>
          <w:szCs w:val="22"/>
        </w:rPr>
        <w:t>“)</w:t>
      </w:r>
      <w:r w:rsidR="435E17D1" w:rsidRPr="151ABA7F">
        <w:rPr>
          <w:rFonts w:ascii="Arial" w:hAnsi="Arial" w:cs="Arial"/>
          <w:sz w:val="22"/>
          <w:szCs w:val="22"/>
        </w:rPr>
        <w:t>; pred uzatvorením tejto zmluvy sa vykonala analýza rizík a analýza funkčného dopadu</w:t>
      </w:r>
      <w:r w:rsidR="75AD2301" w:rsidRPr="151ABA7F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6D9429B5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151ABA7F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151ABA7F">
        <w:rPr>
          <w:rFonts w:ascii="Arial" w:hAnsi="Arial" w:cs="Arial"/>
          <w:sz w:val="22"/>
          <w:szCs w:val="22"/>
        </w:rPr>
        <w:t>dodávateľskú zmluvu,</w:t>
      </w:r>
      <w:r w:rsidR="3456C695" w:rsidRPr="151ABA7F">
        <w:rPr>
          <w:rFonts w:ascii="Arial" w:hAnsi="Arial" w:cs="Arial"/>
          <w:sz w:val="22"/>
          <w:szCs w:val="22"/>
        </w:rPr>
        <w:t xml:space="preserve"> </w:t>
      </w:r>
      <w:r w:rsidR="00BB09F4">
        <w:rPr>
          <w:rFonts w:ascii="Arial" w:hAnsi="Arial" w:cs="Arial"/>
          <w:sz w:val="22"/>
          <w:szCs w:val="22"/>
        </w:rPr>
        <w:t xml:space="preserve">ktorej predmetom </w:t>
      </w:r>
      <w:r w:rsidR="00AB6F35">
        <w:rPr>
          <w:rFonts w:ascii="Arial" w:hAnsi="Arial" w:cs="Arial"/>
          <w:sz w:val="22"/>
          <w:szCs w:val="22"/>
        </w:rPr>
        <w:t xml:space="preserve">sú </w:t>
      </w:r>
      <w:r w:rsidR="11EF6457" w:rsidRPr="151ABA7F">
        <w:rPr>
          <w:rFonts w:ascii="Arial" w:hAnsi="Arial" w:cs="Arial"/>
          <w:sz w:val="22"/>
          <w:szCs w:val="22"/>
        </w:rPr>
        <w:t>služby (činnosti)</w:t>
      </w:r>
      <w:r w:rsidR="00AB6F35">
        <w:rPr>
          <w:rFonts w:ascii="Arial" w:hAnsi="Arial" w:cs="Arial"/>
          <w:sz w:val="22"/>
          <w:szCs w:val="22"/>
        </w:rPr>
        <w:t xml:space="preserve"> Dodávateľa</w:t>
      </w:r>
      <w:r w:rsidR="3456C695" w:rsidRPr="151ABA7F">
        <w:rPr>
          <w:rFonts w:ascii="Arial" w:hAnsi="Arial" w:cs="Arial"/>
          <w:sz w:val="22"/>
          <w:szCs w:val="22"/>
        </w:rPr>
        <w:t xml:space="preserve">, </w:t>
      </w:r>
      <w:r w:rsidR="11EF6457" w:rsidRPr="151ABA7F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Prevádzkovateľa ako prevádzkovateľa základnej služby</w:t>
      </w:r>
      <w:r w:rsidR="3456C695" w:rsidRPr="151ABA7F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Default="008A57DA" w:rsidP="194116FD">
      <w:pPr>
        <w:pStyle w:val="Default"/>
        <w:rPr>
          <w:rFonts w:eastAsia="Calibri"/>
          <w:color w:val="000000" w:themeColor="text1"/>
        </w:rPr>
      </w:pP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 xml:space="preserve">vo vzťahu,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BC94C8D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DCABE0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19DCABE0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19DCABE0">
        <w:rPr>
          <w:rFonts w:ascii="Arial" w:hAnsi="Arial" w:cs="Arial"/>
          <w:color w:val="auto"/>
          <w:sz w:val="22"/>
          <w:szCs w:val="22"/>
        </w:rPr>
        <w:t>Prevádzkovateľ</w:t>
      </w:r>
      <w:r w:rsidRPr="19DCABE0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19DCABE0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19DCABE0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19DCABE0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19DCABE0">
        <w:rPr>
          <w:rFonts w:ascii="Arial" w:hAnsi="Arial" w:cs="Arial"/>
          <w:color w:val="auto"/>
          <w:sz w:val="22"/>
          <w:szCs w:val="22"/>
        </w:rPr>
        <w:t>OBO</w:t>
      </w:r>
      <w:r w:rsidR="00477BCB" w:rsidRPr="19DCABE0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zákonom č. </w:t>
      </w:r>
      <w:r w:rsidRPr="19DCABE0">
        <w:rPr>
          <w:rFonts w:ascii="Arial" w:hAnsi="Arial" w:cs="Arial"/>
          <w:color w:val="auto"/>
          <w:sz w:val="22"/>
          <w:szCs w:val="22"/>
        </w:rPr>
        <w:lastRenderedPageBreak/>
        <w:t>95/2019 Z. z. o informačných technológiách vo verejnej správe a o zmene a doplnení niektorých zákonov v znení neskorších predpisov,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19DCABE0">
        <w:rPr>
          <w:rFonts w:ascii="Arial" w:hAnsi="Arial" w:cs="Arial"/>
          <w:color w:val="auto"/>
          <w:sz w:val="22"/>
          <w:szCs w:val="22"/>
        </w:rPr>
        <w:t>,</w:t>
      </w:r>
      <w:r w:rsidRPr="19DCABE0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plnenia tejto zmluvy a bezpečnostné požiadavky uvedené v tejto zmluve.</w:t>
      </w:r>
      <w:r w:rsidR="00B669EB" w:rsidRPr="19DCABE0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19DCABE0">
        <w:rPr>
          <w:rFonts w:ascii="Arial" w:hAnsi="Arial" w:cs="Arial"/>
          <w:color w:val="auto"/>
          <w:sz w:val="22"/>
          <w:szCs w:val="22"/>
        </w:rPr>
        <w:t>Dodávateľ vyhlasuje, že sa pred podpisom tejto zmluvy oboznámil s platnou bezpečnostnou politikou Prevádzkovateľa a vyjadruje s ňou súhlas.</w:t>
      </w:r>
      <w:r w:rsidR="00973556" w:rsidRPr="19DCABE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6810F5BE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75F4ACFE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75F4ACFE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75F4ACFE">
        <w:rPr>
          <w:rFonts w:ascii="Arial" w:hAnsi="Arial" w:cs="Arial"/>
          <w:b/>
          <w:bCs/>
          <w:color w:val="auto"/>
          <w:sz w:val="22"/>
          <w:szCs w:val="22"/>
        </w:rPr>
        <w:t>rílohu č. 1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75F4ACFE">
        <w:rPr>
          <w:rFonts w:ascii="Arial" w:hAnsi="Arial" w:cs="Arial"/>
          <w:color w:val="auto"/>
          <w:sz w:val="22"/>
          <w:szCs w:val="22"/>
        </w:rPr>
        <w:t>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45EB83CE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75F4ACFE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sa môžu priebežne meniť a dopĺňať tak, aby zodpovedali aktuálnym bezpečnostným </w:t>
      </w:r>
      <w:r w:rsidR="00C516E1" w:rsidRPr="75F4ACFE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75F4ACFE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75F4ACFE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5F4ACFE">
        <w:rPr>
          <w:rFonts w:ascii="Arial" w:hAnsi="Arial" w:cs="Arial"/>
          <w:color w:val="auto"/>
          <w:sz w:val="22"/>
          <w:szCs w:val="22"/>
        </w:rPr>
        <w:t>a</w:t>
      </w:r>
      <w:r w:rsidR="00D10FEE" w:rsidRPr="75F4ACFE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75F4ACFE">
        <w:rPr>
          <w:rFonts w:ascii="Arial" w:hAnsi="Arial" w:cs="Arial"/>
          <w:color w:val="auto"/>
          <w:sz w:val="22"/>
          <w:szCs w:val="22"/>
        </w:rPr>
        <w:t xml:space="preserve"> </w:t>
      </w:r>
      <w:r w:rsidRPr="75F4ACFE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75F4ACFE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75F4ACFE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75F4ACFE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75F4ACF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e-mailovú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B4EEB04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>Dodávateľ môže zapojiť</w:t>
      </w:r>
      <w:r w:rsidR="53CD9D45" w:rsidRPr="3B7C0410">
        <w:rPr>
          <w:rFonts w:ascii="Arial" w:hAnsi="Arial" w:cs="Arial"/>
          <w:color w:val="auto"/>
          <w:sz w:val="22"/>
          <w:szCs w:val="22"/>
        </w:rPr>
        <w:t xml:space="preserve"> ďalšieho dodávateľa</w:t>
      </w:r>
      <w:r w:rsidR="41410E84" w:rsidRPr="3B7C0410">
        <w:rPr>
          <w:rFonts w:ascii="Arial" w:hAnsi="Arial" w:cs="Arial"/>
          <w:color w:val="auto"/>
          <w:sz w:val="22"/>
          <w:szCs w:val="22"/>
        </w:rPr>
        <w:t xml:space="preserve"> (subdodávateľa)</w:t>
      </w:r>
      <w:r w:rsidR="53CD9D45" w:rsidRPr="3B7C0410">
        <w:rPr>
          <w:rFonts w:ascii="Arial" w:hAnsi="Arial" w:cs="Arial"/>
          <w:color w:val="auto"/>
          <w:sz w:val="22"/>
          <w:szCs w:val="22"/>
        </w:rPr>
        <w:t xml:space="preserve"> úplne alebo čiastočne zabezpečujúceho plnenie  pre Prevádzkovateľa</w:t>
      </w:r>
      <w:r w:rsidR="0356C05F" w:rsidRPr="3B7C0410">
        <w:rPr>
          <w:rFonts w:ascii="Arial" w:hAnsi="Arial" w:cs="Arial"/>
          <w:color w:val="auto"/>
          <w:sz w:val="22"/>
          <w:szCs w:val="22"/>
        </w:rPr>
        <w:t xml:space="preserve"> za splnenia podmienok </w:t>
      </w:r>
      <w:r w:rsidR="5496C096" w:rsidRPr="3B7C0410">
        <w:rPr>
          <w:rFonts w:ascii="Arial" w:hAnsi="Arial" w:cs="Arial"/>
          <w:color w:val="auto"/>
          <w:sz w:val="22"/>
          <w:szCs w:val="22"/>
        </w:rPr>
        <w:t>uvedených v dodávateľskej zmluve</w:t>
      </w:r>
      <w:r w:rsidR="0356C05F" w:rsidRPr="3B7C0410">
        <w:rPr>
          <w:rFonts w:ascii="Arial" w:hAnsi="Arial" w:cs="Arial"/>
          <w:color w:val="auto"/>
          <w:sz w:val="22"/>
          <w:szCs w:val="22"/>
        </w:rPr>
        <w:t xml:space="preserve">, 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="5F104FEC" w:rsidRPr="3B7C0410">
        <w:rPr>
          <w:rFonts w:ascii="Arial" w:hAnsi="Arial" w:cs="Arial"/>
          <w:color w:val="auto"/>
          <w:sz w:val="22"/>
          <w:szCs w:val="22"/>
        </w:rPr>
        <w:t>a to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3B7C0410">
        <w:rPr>
          <w:rFonts w:ascii="Arial" w:hAnsi="Arial" w:cs="Arial"/>
          <w:color w:val="auto"/>
          <w:sz w:val="22"/>
          <w:szCs w:val="22"/>
        </w:rPr>
        <w:t>Dodávateľ</w:t>
      </w:r>
      <w:r w:rsidRPr="3B7C0410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3B7C0410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 w:rsidRPr="3B7C0410">
        <w:rPr>
          <w:rFonts w:ascii="Arial" w:hAnsi="Arial" w:cs="Arial"/>
          <w:color w:val="auto"/>
          <w:sz w:val="22"/>
          <w:szCs w:val="22"/>
        </w:rPr>
        <w:t xml:space="preserve"> OBO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3B7C0410">
        <w:rPr>
          <w:rFonts w:ascii="Arial" w:hAnsi="Arial" w:cs="Arial"/>
          <w:color w:val="auto"/>
          <w:sz w:val="22"/>
          <w:szCs w:val="22"/>
        </w:rPr>
        <w:t>kontaktnej osobe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 w:rsidRPr="3B7C0410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2">
        <w:r w:rsidR="008C2F9B" w:rsidRPr="3B7C0410">
          <w:rPr>
            <w:rStyle w:val="Hypertextovprepojenie"/>
            <w:rFonts w:ascii="Arial" w:hAnsi="Arial" w:cs="Arial"/>
            <w:sz w:val="22"/>
            <w:szCs w:val="22"/>
          </w:rPr>
          <w:t>csirt@nzcisk.sk</w:t>
        </w:r>
      </w:hyperlink>
      <w:r w:rsidRPr="3B7C0410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5C01283A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3B7C0410">
        <w:rPr>
          <w:rFonts w:ascii="Arial" w:hAnsi="Arial" w:cs="Arial"/>
          <w:color w:val="auto"/>
          <w:sz w:val="22"/>
          <w:szCs w:val="22"/>
        </w:rPr>
        <w:t>oskytnúť P</w:t>
      </w:r>
      <w:r w:rsidRPr="3B7C0410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3B7C0410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</w:t>
      </w:r>
      <w:r w:rsidRPr="3B7C0410">
        <w:rPr>
          <w:rFonts w:ascii="Arial" w:hAnsi="Arial" w:cs="Arial"/>
          <w:color w:val="auto"/>
          <w:sz w:val="22"/>
          <w:szCs w:val="22"/>
        </w:rPr>
        <w:t>mohol</w:t>
      </w:r>
      <w:r w:rsidR="000708CF" w:rsidRPr="3B7C0410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3B7C0410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3B7C0410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3B7C0410">
        <w:rPr>
          <w:rFonts w:ascii="Arial" w:hAnsi="Arial" w:cs="Arial"/>
          <w:color w:val="auto"/>
          <w:sz w:val="22"/>
          <w:szCs w:val="22"/>
        </w:rPr>
        <w:t>Prevádzkovateľ</w:t>
      </w:r>
      <w:r w:rsidRPr="3B7C0410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64377EF9" w:rsidR="001C259F" w:rsidRPr="0067137D" w:rsidRDefault="063D074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B7C0410">
        <w:rPr>
          <w:rFonts w:ascii="Arial" w:hAnsi="Arial" w:cs="Arial"/>
          <w:color w:val="auto"/>
          <w:sz w:val="22"/>
          <w:szCs w:val="22"/>
        </w:rPr>
        <w:t xml:space="preserve">Dodávateľ </w:t>
      </w:r>
      <w:r w:rsidR="001C259F" w:rsidRPr="3B7C0410">
        <w:rPr>
          <w:rFonts w:ascii="Arial" w:hAnsi="Arial" w:cs="Arial"/>
          <w:color w:val="auto"/>
          <w:sz w:val="22"/>
          <w:szCs w:val="22"/>
        </w:rPr>
        <w:t>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3B7C0410">
        <w:rPr>
          <w:rFonts w:ascii="Arial" w:hAnsi="Arial" w:cs="Arial"/>
          <w:color w:val="auto"/>
          <w:sz w:val="22"/>
          <w:szCs w:val="22"/>
        </w:rPr>
        <w:t xml:space="preserve">o činností môže poveriť </w:t>
      </w:r>
      <w:r w:rsidR="66156B87" w:rsidRPr="3B7C0410">
        <w:rPr>
          <w:rFonts w:ascii="Arial" w:hAnsi="Arial" w:cs="Arial"/>
          <w:color w:val="auto"/>
          <w:sz w:val="22"/>
          <w:szCs w:val="22"/>
        </w:rPr>
        <w:t xml:space="preserve">Dodávateľ </w:t>
      </w:r>
      <w:r w:rsidR="00BD000D" w:rsidRPr="3B7C0410">
        <w:rPr>
          <w:rFonts w:ascii="Arial" w:hAnsi="Arial" w:cs="Arial"/>
          <w:color w:val="auto"/>
          <w:sz w:val="22"/>
          <w:szCs w:val="22"/>
        </w:rPr>
        <w:t>len konkrétne osoby v rámci pracovných rolí, ktorých zoznam je uvedený v </w:t>
      </w:r>
      <w:r w:rsidR="00BD000D" w:rsidRPr="3B7C0410">
        <w:rPr>
          <w:rFonts w:ascii="Arial" w:hAnsi="Arial" w:cs="Arial"/>
          <w:b/>
          <w:bCs/>
          <w:color w:val="auto"/>
          <w:sz w:val="22"/>
          <w:szCs w:val="22"/>
        </w:rPr>
        <w:t>Prílohe č. 3</w:t>
      </w:r>
      <w:r w:rsidR="00BD000D" w:rsidRPr="3B7C0410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7C0D5EB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2AD95F1A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 pri riešení a reakcii na kybernetický incident</w:t>
      </w:r>
      <w:r w:rsidR="0023080B">
        <w:rPr>
          <w:rFonts w:ascii="Arial" w:hAnsi="Arial" w:cs="Arial"/>
          <w:sz w:val="22"/>
          <w:szCs w:val="22"/>
        </w:rPr>
        <w:t xml:space="preserve"> </w:t>
      </w:r>
      <w:r w:rsidRPr="0067137D">
        <w:rPr>
          <w:rFonts w:ascii="Arial" w:hAnsi="Arial" w:cs="Arial"/>
          <w:sz w:val="22"/>
          <w:szCs w:val="22"/>
        </w:rPr>
        <w:t xml:space="preserve">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 xml:space="preserve">ako aj svojimi internými procedúrami a </w:t>
      </w:r>
      <w:r w:rsidRPr="0067137D">
        <w:rPr>
          <w:rFonts w:ascii="Arial" w:hAnsi="Arial" w:cs="Arial"/>
          <w:sz w:val="22"/>
          <w:szCs w:val="22"/>
        </w:rPr>
        <w:lastRenderedPageBreak/>
        <w:t>postupmi tak, aby bol kybernetický incident a jeho dôsledky odstránené v čo najkratšom možnom čase</w:t>
      </w:r>
      <w:r w:rsidR="0023080B">
        <w:rPr>
          <w:rFonts w:ascii="Arial" w:hAnsi="Arial" w:cs="Arial"/>
          <w:sz w:val="22"/>
          <w:szCs w:val="22"/>
        </w:rPr>
        <w:t>, a zaväzuje sa zároveň poskytnúť súčinnosť Prevádzkovateľovi pri riešení kybernetického incidentu</w:t>
      </w:r>
      <w:r w:rsidRPr="0067137D">
        <w:rPr>
          <w:rFonts w:ascii="Arial" w:hAnsi="Arial" w:cs="Arial"/>
          <w:sz w:val="22"/>
          <w:szCs w:val="22"/>
        </w:rPr>
        <w:t>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Odsekzoznamu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25CF5A6F" w:rsidR="00D97782" w:rsidRPr="0067137D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39017A8D">
        <w:rPr>
          <w:rFonts w:ascii="Arial" w:hAnsi="Arial" w:cs="Arial"/>
          <w:lang w:val="sk-SK"/>
        </w:rPr>
        <w:t>Dodávateľ</w:t>
      </w:r>
      <w:r w:rsidR="00D97782" w:rsidRPr="39017A8D">
        <w:rPr>
          <w:rFonts w:ascii="Arial" w:hAnsi="Arial" w:cs="Arial"/>
          <w:lang w:val="sk-SK"/>
        </w:rPr>
        <w:t xml:space="preserve"> je povinný informovať </w:t>
      </w:r>
      <w:r w:rsidR="00D345AF" w:rsidRPr="39017A8D">
        <w:rPr>
          <w:rFonts w:ascii="Arial" w:hAnsi="Arial" w:cs="Arial"/>
          <w:lang w:val="sk-SK"/>
        </w:rPr>
        <w:t>Prevádzkovateľ</w:t>
      </w:r>
      <w:r w:rsidR="00D97782" w:rsidRPr="39017A8D">
        <w:rPr>
          <w:rFonts w:ascii="Arial" w:hAnsi="Arial" w:cs="Arial"/>
          <w:lang w:val="sk-SK"/>
        </w:rPr>
        <w:t xml:space="preserve">a </w:t>
      </w:r>
      <w:r w:rsidR="0023080B">
        <w:rPr>
          <w:rFonts w:ascii="Arial" w:hAnsi="Arial" w:cs="Arial"/>
          <w:lang w:val="sk-SK"/>
        </w:rPr>
        <w:t xml:space="preserve">o </w:t>
      </w:r>
      <w:r w:rsidR="00D97782" w:rsidRPr="39017A8D">
        <w:rPr>
          <w:rFonts w:ascii="Arial" w:hAnsi="Arial" w:cs="Arial"/>
          <w:lang w:val="sk-SK"/>
        </w:rPr>
        <w:t>skutočnostiach, ktoré môžu mať vplyv na zabezpečenie kybernetickej bezpečnosti</w:t>
      </w:r>
      <w:r w:rsidR="00D554A7" w:rsidRPr="39017A8D">
        <w:rPr>
          <w:rFonts w:ascii="Arial" w:hAnsi="Arial" w:cs="Arial"/>
          <w:lang w:val="sk-SK"/>
        </w:rPr>
        <w:t>, a to zaslaním e-mailu kontaktnej osobe Prevádzkovateľa uvedenú v tejto zmluve</w:t>
      </w:r>
      <w:r w:rsidR="00FA40D8" w:rsidRPr="39017A8D">
        <w:rPr>
          <w:rFonts w:ascii="Arial" w:hAnsi="Arial" w:cs="Arial"/>
          <w:lang w:val="sk-SK"/>
        </w:rPr>
        <w:t xml:space="preserve"> </w:t>
      </w:r>
      <w:r w:rsidR="00FA40D8" w:rsidRPr="39017A8D">
        <w:rPr>
          <w:rFonts w:ascii="Arial" w:hAnsi="Arial" w:cs="Arial"/>
        </w:rPr>
        <w:t>a </w:t>
      </w:r>
      <w:proofErr w:type="spellStart"/>
      <w:r w:rsidR="00FA40D8" w:rsidRPr="39017A8D">
        <w:rPr>
          <w:rFonts w:ascii="Arial" w:hAnsi="Arial" w:cs="Arial"/>
        </w:rPr>
        <w:t>súčasne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na</w:t>
      </w:r>
      <w:proofErr w:type="spellEnd"/>
      <w:r w:rsidR="00FA40D8" w:rsidRPr="39017A8D">
        <w:rPr>
          <w:rFonts w:ascii="Arial" w:hAnsi="Arial" w:cs="Arial"/>
        </w:rPr>
        <w:t xml:space="preserve"> e-</w:t>
      </w:r>
      <w:proofErr w:type="spellStart"/>
      <w:r w:rsidR="00FA40D8" w:rsidRPr="39017A8D">
        <w:rPr>
          <w:rFonts w:ascii="Arial" w:hAnsi="Arial" w:cs="Arial"/>
        </w:rPr>
        <w:t>mailovú</w:t>
      </w:r>
      <w:proofErr w:type="spellEnd"/>
      <w:r w:rsidR="00FA40D8" w:rsidRPr="39017A8D">
        <w:rPr>
          <w:rFonts w:ascii="Arial" w:hAnsi="Arial" w:cs="Arial"/>
        </w:rPr>
        <w:t xml:space="preserve"> </w:t>
      </w:r>
      <w:proofErr w:type="spellStart"/>
      <w:r w:rsidR="00FA40D8" w:rsidRPr="39017A8D">
        <w:rPr>
          <w:rFonts w:ascii="Arial" w:hAnsi="Arial" w:cs="Arial"/>
        </w:rPr>
        <w:t>adresu</w:t>
      </w:r>
      <w:proofErr w:type="spellEnd"/>
      <w:r w:rsidR="00FA40D8" w:rsidRPr="39017A8D">
        <w:rPr>
          <w:rFonts w:ascii="Arial" w:hAnsi="Arial" w:cs="Arial"/>
        </w:rPr>
        <w:t xml:space="preserve">: </w:t>
      </w:r>
      <w:hyperlink r:id="rId13" w:history="1">
        <w:r w:rsidR="00E92920" w:rsidRPr="002502DE">
          <w:rPr>
            <w:rStyle w:val="Hypertextovprepojenie"/>
            <w:rFonts w:ascii="Arial" w:hAnsi="Arial" w:cs="Arial"/>
          </w:rPr>
          <w:t>csirt@nczisk.sk</w:t>
        </w:r>
      </w:hyperlink>
      <w:r w:rsidR="00D554A7" w:rsidRPr="39017A8D">
        <w:rPr>
          <w:rFonts w:ascii="Arial" w:hAnsi="Arial" w:cs="Arial"/>
          <w:lang w:val="sk-SK"/>
        </w:rPr>
        <w:t>.</w:t>
      </w:r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D9FE188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</w:t>
      </w:r>
      <w:r w:rsidR="00886365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FF52850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FF52850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FF52850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FF52850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5D9ADD61" w:rsidR="00D97782" w:rsidRPr="0067137D" w:rsidRDefault="480F951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6A41821C">
        <w:rPr>
          <w:rFonts w:ascii="Arial" w:hAnsi="Arial" w:cs="Arial"/>
          <w:b/>
          <w:bCs/>
          <w:color w:val="auto"/>
          <w:sz w:val="22"/>
          <w:szCs w:val="22"/>
        </w:rPr>
        <w:t>Kontrolná činnosť a a</w:t>
      </w:r>
      <w:r w:rsidR="00D97782" w:rsidRPr="6A41821C">
        <w:rPr>
          <w:rFonts w:ascii="Arial" w:hAnsi="Arial" w:cs="Arial"/>
          <w:b/>
          <w:bCs/>
          <w:color w:val="auto"/>
          <w:sz w:val="22"/>
          <w:szCs w:val="22"/>
        </w:rPr>
        <w:t>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4A4EE651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je oprávnený vykonať u Dodávateľa </w:t>
      </w:r>
      <w:r w:rsidR="40161955" w:rsidRPr="6A41821C">
        <w:rPr>
          <w:rFonts w:ascii="Arial" w:hAnsi="Arial" w:cs="Arial"/>
          <w:color w:val="auto"/>
          <w:sz w:val="22"/>
          <w:szCs w:val="22"/>
        </w:rPr>
        <w:t xml:space="preserve">kontrolnú činnosť </w:t>
      </w:r>
      <w:r w:rsidR="3273288A" w:rsidRPr="6A41821C">
        <w:rPr>
          <w:rFonts w:ascii="Arial" w:hAnsi="Arial" w:cs="Arial"/>
          <w:color w:val="auto"/>
          <w:sz w:val="22"/>
          <w:szCs w:val="22"/>
        </w:rPr>
        <w:t xml:space="preserve">a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 spojené s vykonaním </w:t>
      </w:r>
      <w:r w:rsidR="6D67ACF4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auditu znáša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5E6D4D13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umožní kedykoľvek vykonať </w:t>
      </w:r>
      <w:r w:rsidR="73CE4358" w:rsidRPr="6A41821C">
        <w:rPr>
          <w:rFonts w:ascii="Arial" w:hAnsi="Arial" w:cs="Arial"/>
          <w:color w:val="auto"/>
          <w:sz w:val="22"/>
          <w:szCs w:val="22"/>
        </w:rPr>
        <w:t xml:space="preserve">kontrolu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audit, ktorým si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</w:t>
      </w:r>
      <w:r w:rsidR="5320B5F1" w:rsidRPr="6A41821C">
        <w:rPr>
          <w:rFonts w:ascii="Arial" w:hAnsi="Arial" w:cs="Arial"/>
          <w:color w:val="auto"/>
          <w:sz w:val="22"/>
          <w:szCs w:val="22"/>
        </w:rPr>
        <w:t xml:space="preserve">kontrola alebo </w:t>
      </w:r>
      <w:r w:rsidR="00776E96" w:rsidRPr="6A41821C">
        <w:rPr>
          <w:rFonts w:ascii="Arial" w:hAnsi="Arial" w:cs="Arial"/>
          <w:color w:val="auto"/>
          <w:sz w:val="22"/>
          <w:szCs w:val="22"/>
        </w:rPr>
        <w:t>audit bud</w:t>
      </w:r>
      <w:r w:rsidR="7A81E100" w:rsidRPr="6A41821C">
        <w:rPr>
          <w:rFonts w:ascii="Arial" w:hAnsi="Arial" w:cs="Arial"/>
          <w:color w:val="auto"/>
          <w:sz w:val="22"/>
          <w:szCs w:val="22"/>
        </w:rPr>
        <w:t>ú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zameran</w:t>
      </w:r>
      <w:r w:rsidR="6EF1BBDD" w:rsidRPr="6A41821C">
        <w:rPr>
          <w:rFonts w:ascii="Arial" w:hAnsi="Arial" w:cs="Arial"/>
          <w:color w:val="auto"/>
          <w:sz w:val="22"/>
          <w:szCs w:val="22"/>
        </w:rPr>
        <w:t>é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390CC5A5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Prípadné nedostatky zistené </w:t>
      </w:r>
      <w:r w:rsidR="057CA07D" w:rsidRPr="6A41821C">
        <w:rPr>
          <w:rFonts w:ascii="Arial" w:hAnsi="Arial" w:cs="Arial"/>
          <w:color w:val="auto"/>
          <w:sz w:val="22"/>
          <w:szCs w:val="22"/>
        </w:rPr>
        <w:t>kontrolou</w:t>
      </w:r>
      <w:r w:rsidR="3F569142" w:rsidRPr="6A41821C">
        <w:rPr>
          <w:rFonts w:ascii="Arial" w:hAnsi="Arial" w:cs="Arial"/>
          <w:color w:val="auto"/>
          <w:sz w:val="22"/>
          <w:szCs w:val="22"/>
        </w:rPr>
        <w:t xml:space="preserve">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auditom je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78ED6D47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Prevádzkovateľ môže </w:t>
      </w:r>
      <w:r w:rsidR="64CF1315" w:rsidRPr="6A41821C">
        <w:rPr>
          <w:rFonts w:ascii="Arial" w:hAnsi="Arial" w:cs="Arial"/>
          <w:color w:val="auto"/>
          <w:sz w:val="22"/>
          <w:szCs w:val="22"/>
        </w:rPr>
        <w:t>kontrolu alebo</w:t>
      </w:r>
      <w:r w:rsidR="676F2A41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 u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 pri výkone </w:t>
      </w:r>
      <w:r w:rsidR="7BCEACA3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realizuje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04D9D370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 je pri </w:t>
      </w:r>
      <w:r w:rsidR="29F20B39" w:rsidRPr="6A41821C">
        <w:rPr>
          <w:rFonts w:ascii="Arial" w:hAnsi="Arial" w:cs="Arial"/>
          <w:color w:val="auto"/>
          <w:sz w:val="22"/>
          <w:szCs w:val="22"/>
        </w:rPr>
        <w:t>kontroly a</w:t>
      </w:r>
      <w:r w:rsidR="29565C89" w:rsidRPr="6A41821C">
        <w:rPr>
          <w:rFonts w:ascii="Arial" w:hAnsi="Arial" w:cs="Arial"/>
          <w:color w:val="auto"/>
          <w:sz w:val="22"/>
          <w:szCs w:val="22"/>
        </w:rPr>
        <w:t>lebo</w:t>
      </w:r>
      <w:r w:rsidR="29F20B39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audite povinný spolupracovať s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6A41821C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6A41821C">
        <w:rPr>
          <w:rFonts w:ascii="Arial" w:hAnsi="Arial" w:cs="Arial"/>
          <w:color w:val="auto"/>
          <w:sz w:val="22"/>
          <w:szCs w:val="22"/>
        </w:rPr>
        <w:t>ia</w:t>
      </w:r>
      <w:r w:rsidR="00D97782" w:rsidRPr="6A41821C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6B004E3D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Prevádzkovateľ je v rámci </w:t>
      </w:r>
      <w:r w:rsidR="599187E2" w:rsidRPr="6A41821C">
        <w:rPr>
          <w:rFonts w:ascii="Arial" w:hAnsi="Arial" w:cs="Arial"/>
          <w:color w:val="auto"/>
          <w:sz w:val="22"/>
          <w:szCs w:val="22"/>
        </w:rPr>
        <w:t>kontroly a</w:t>
      </w:r>
      <w:r w:rsidR="377D3B5E" w:rsidRPr="6A41821C">
        <w:rPr>
          <w:rFonts w:ascii="Arial" w:hAnsi="Arial" w:cs="Arial"/>
          <w:color w:val="auto"/>
          <w:sz w:val="22"/>
          <w:szCs w:val="22"/>
        </w:rPr>
        <w:t>lebo</w:t>
      </w:r>
      <w:r w:rsidR="599187E2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oprávnený klásť otázky zamestnancom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</w:t>
      </w:r>
      <w:r w:rsidR="0051014E" w:rsidRPr="6A41821C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6A41821C">
        <w:rPr>
          <w:rFonts w:ascii="Arial" w:hAnsi="Arial" w:cs="Arial"/>
          <w:color w:val="auto"/>
          <w:sz w:val="22"/>
          <w:szCs w:val="22"/>
        </w:rPr>
        <w:t>, ktor</w:t>
      </w:r>
      <w:r w:rsidR="0051014E" w:rsidRPr="6A41821C">
        <w:rPr>
          <w:rFonts w:ascii="Arial" w:hAnsi="Arial" w:cs="Arial"/>
          <w:color w:val="auto"/>
          <w:sz w:val="22"/>
          <w:szCs w:val="22"/>
        </w:rPr>
        <w:t>é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6A41821C">
        <w:rPr>
          <w:rFonts w:ascii="Arial" w:hAnsi="Arial" w:cs="Arial"/>
          <w:color w:val="auto"/>
          <w:sz w:val="22"/>
          <w:szCs w:val="22"/>
        </w:rPr>
        <w:t>n</w:t>
      </w:r>
      <w:r w:rsidRPr="6A41821C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3C489A4F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 rámci </w:t>
      </w:r>
      <w:r w:rsidR="00F1995C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je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6A41821C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6A41821C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6A41821C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6A41821C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6A41821C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1D2E2662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lastRenderedPageBreak/>
        <w:t xml:space="preserve">Prevádzkovateľ je povinný oznámiť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6A41821C">
        <w:rPr>
          <w:rFonts w:ascii="Arial" w:hAnsi="Arial" w:cs="Arial"/>
          <w:color w:val="auto"/>
          <w:sz w:val="22"/>
          <w:szCs w:val="22"/>
        </w:rPr>
        <w:t>10)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6A41821C">
        <w:rPr>
          <w:rFonts w:ascii="Arial" w:hAnsi="Arial" w:cs="Arial"/>
          <w:color w:val="auto"/>
          <w:sz w:val="22"/>
          <w:szCs w:val="22"/>
        </w:rPr>
        <w:t>ých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6A41821C">
        <w:rPr>
          <w:rFonts w:ascii="Arial" w:hAnsi="Arial" w:cs="Arial"/>
          <w:color w:val="auto"/>
          <w:sz w:val="22"/>
          <w:szCs w:val="22"/>
        </w:rPr>
        <w:t>í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</w:t>
      </w:r>
      <w:r w:rsidR="72CB150E" w:rsidRPr="6A41821C">
        <w:rPr>
          <w:rFonts w:ascii="Arial" w:hAnsi="Arial" w:cs="Arial"/>
          <w:color w:val="auto"/>
          <w:sz w:val="22"/>
          <w:szCs w:val="22"/>
        </w:rPr>
        <w:t xml:space="preserve"> kontrolu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67E3B167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Vykonanie alebo nevykonanie </w:t>
      </w:r>
      <w:r w:rsidR="5F89932E" w:rsidRPr="6A41821C">
        <w:rPr>
          <w:rFonts w:ascii="Arial" w:hAnsi="Arial" w:cs="Arial"/>
          <w:color w:val="auto"/>
          <w:sz w:val="22"/>
          <w:szCs w:val="22"/>
        </w:rPr>
        <w:t xml:space="preserve">kontroly alebo 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auditu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1C143D1A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neumožní vykonanie</w:t>
      </w:r>
      <w:r w:rsidR="3A4B1C72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7840D04F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</w:t>
      </w:r>
      <w:r w:rsidR="18AF6FF1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a ktoré nie sú verejne známe.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</w:t>
      </w:r>
      <w:r w:rsidR="5041BD91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musia dodržiavať pokyny Dodávateľa týkajúce sa uvedených priestorov na úseku bezpečnosti a ochrany zdravia pri práci (ďalej len „</w:t>
      </w:r>
      <w:r w:rsidR="00776E96" w:rsidRPr="6A41821C">
        <w:rPr>
          <w:rFonts w:ascii="Arial" w:hAnsi="Arial" w:cs="Arial"/>
          <w:b/>
          <w:bCs/>
          <w:color w:val="auto"/>
          <w:sz w:val="22"/>
          <w:szCs w:val="22"/>
        </w:rPr>
        <w:t>BOZP</w:t>
      </w:r>
      <w:r w:rsidR="00776E96" w:rsidRPr="6A41821C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6A41821C">
        <w:rPr>
          <w:rFonts w:ascii="Arial" w:hAnsi="Arial" w:cs="Arial"/>
          <w:b/>
          <w:bCs/>
          <w:color w:val="auto"/>
          <w:sz w:val="22"/>
          <w:szCs w:val="22"/>
        </w:rPr>
        <w:t>PO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6A41821C">
        <w:rPr>
          <w:rFonts w:ascii="Arial" w:hAnsi="Arial" w:cs="Arial"/>
          <w:color w:val="auto"/>
          <w:sz w:val="22"/>
          <w:szCs w:val="22"/>
        </w:rPr>
        <w:t>. Za vytvorenie podmienok na zaistenie BOZP a PO a zabezpečenie a vybavenie priestorov Dodávateľa na bezpečný výkon</w:t>
      </w:r>
      <w:r w:rsidR="04EB6668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zodpovedá v plnom rozsahu a výlučne Dodávateľ. Dodávateľ je povinný preukázateľne informovať osoby určené </w:t>
      </w:r>
      <w:r w:rsidR="007779E5" w:rsidRPr="6A41821C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6A41821C">
        <w:rPr>
          <w:rFonts w:ascii="Arial" w:hAnsi="Arial" w:cs="Arial"/>
          <w:color w:val="auto"/>
          <w:sz w:val="22"/>
          <w:szCs w:val="22"/>
        </w:rPr>
        <w:t>o nebezpečenstvách a ohrozeniach, ktoré sa pri výkone</w:t>
      </w:r>
      <w:r w:rsidR="65F02992" w:rsidRPr="6A41821C">
        <w:rPr>
          <w:rFonts w:ascii="Arial" w:hAnsi="Arial" w:cs="Arial"/>
          <w:color w:val="auto"/>
          <w:sz w:val="22"/>
          <w:szCs w:val="22"/>
        </w:rPr>
        <w:t xml:space="preserve"> kontroly alebo</w:t>
      </w:r>
      <w:r w:rsidR="00776E96" w:rsidRPr="6A41821C">
        <w:rPr>
          <w:rFonts w:ascii="Arial" w:hAnsi="Arial" w:cs="Arial"/>
          <w:color w:val="auto"/>
          <w:sz w:val="22"/>
          <w:szCs w:val="22"/>
        </w:rPr>
        <w:t xml:space="preserve">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1A5CFF98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6A41821C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dodávateľskú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6A41821C">
        <w:rPr>
          <w:rFonts w:ascii="Arial" w:hAnsi="Arial" w:cs="Arial"/>
          <w:color w:val="auto"/>
          <w:sz w:val="22"/>
          <w:szCs w:val="22"/>
        </w:rPr>
        <w:t>zmluvu</w:t>
      </w:r>
      <w:r w:rsidR="00A0450B" w:rsidRPr="6A41821C">
        <w:rPr>
          <w:rFonts w:ascii="Arial" w:hAnsi="Arial" w:cs="Arial"/>
          <w:color w:val="auto"/>
          <w:sz w:val="22"/>
          <w:szCs w:val="22"/>
        </w:rPr>
        <w:t xml:space="preserve"> </w:t>
      </w:r>
      <w:r w:rsidRPr="6A41821C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6A41821C">
        <w:rPr>
          <w:rFonts w:ascii="Arial" w:hAnsi="Arial" w:cs="Arial"/>
          <w:color w:val="auto"/>
          <w:sz w:val="22"/>
          <w:szCs w:val="22"/>
        </w:rPr>
        <w:t>Dodávateľ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6A41821C">
        <w:rPr>
          <w:rFonts w:ascii="Arial" w:hAnsi="Arial" w:cs="Arial"/>
          <w:color w:val="auto"/>
          <w:sz w:val="22"/>
          <w:szCs w:val="22"/>
        </w:rPr>
        <w:t>Prevádzkovateľ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mohol vykonať</w:t>
      </w:r>
      <w:r w:rsidR="25F618E4" w:rsidRPr="6A41821C">
        <w:rPr>
          <w:rFonts w:ascii="Arial" w:hAnsi="Arial" w:cs="Arial"/>
          <w:color w:val="auto"/>
          <w:sz w:val="22"/>
          <w:szCs w:val="22"/>
        </w:rPr>
        <w:t xml:space="preserve"> kontrolu alebo</w:t>
      </w:r>
      <w:r w:rsidRPr="6A41821C">
        <w:rPr>
          <w:rFonts w:ascii="Arial" w:hAnsi="Arial" w:cs="Arial"/>
          <w:color w:val="auto"/>
          <w:sz w:val="22"/>
          <w:szCs w:val="22"/>
        </w:rPr>
        <w:t xml:space="preserve"> audit v súlade s touto zmluvou aj u týchto sub</w:t>
      </w:r>
      <w:r w:rsidR="0002259D" w:rsidRPr="6A41821C">
        <w:rPr>
          <w:rFonts w:ascii="Arial" w:hAnsi="Arial" w:cs="Arial"/>
          <w:color w:val="auto"/>
          <w:sz w:val="22"/>
          <w:szCs w:val="22"/>
        </w:rPr>
        <w:t>d</w:t>
      </w:r>
      <w:r w:rsidR="00217A4C" w:rsidRPr="6A41821C">
        <w:rPr>
          <w:rFonts w:ascii="Arial" w:hAnsi="Arial" w:cs="Arial"/>
          <w:color w:val="auto"/>
          <w:sz w:val="22"/>
          <w:szCs w:val="22"/>
        </w:rPr>
        <w:t>odávateľ</w:t>
      </w:r>
      <w:r w:rsidRPr="6A41821C">
        <w:rPr>
          <w:rFonts w:ascii="Arial" w:hAnsi="Arial" w:cs="Arial"/>
          <w:color w:val="auto"/>
          <w:sz w:val="22"/>
          <w:szCs w:val="22"/>
        </w:rPr>
        <w:t>ov.</w:t>
      </w:r>
      <w:r w:rsidR="00336579" w:rsidRPr="6A41821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3F2DA811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lastRenderedPageBreak/>
        <w:t>Všetky informácie, ktoré majú vplyv na plnenie tejto zmluv</w:t>
      </w:r>
      <w:r w:rsidR="00BD0E12" w:rsidRPr="39017A8D">
        <w:rPr>
          <w:rFonts w:ascii="Arial" w:hAnsi="Arial" w:cs="Arial"/>
          <w:color w:val="auto"/>
          <w:sz w:val="22"/>
          <w:szCs w:val="22"/>
        </w:rPr>
        <w:t>y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39017A8D">
        <w:rPr>
          <w:rFonts w:ascii="Arial" w:hAnsi="Arial" w:cs="Arial"/>
          <w:color w:val="auto"/>
          <w:sz w:val="22"/>
          <w:szCs w:val="22"/>
        </w:rPr>
        <w:t>adresy</w:t>
      </w:r>
      <w:r w:rsidR="0002259D" w:rsidRPr="39017A8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39017A8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 w:rsidRPr="39017A8D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4" w:history="1">
        <w:r w:rsidR="00886365" w:rsidRPr="009C74BE">
          <w:rPr>
            <w:rStyle w:val="Hypertextovprepojenie"/>
            <w:rFonts w:ascii="Arial" w:hAnsi="Arial" w:cs="Arial"/>
            <w:sz w:val="22"/>
            <w:szCs w:val="22"/>
          </w:rPr>
          <w:t>csirt@nczisk.sk</w:t>
        </w:r>
      </w:hyperlink>
      <w:r w:rsidR="008C2F9B" w:rsidRPr="39017A8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39017A8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 w:rsidRPr="39017A8D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pok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ú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</w:t>
      </w:r>
      <w:r w:rsidR="00C12DEB" w:rsidRPr="39017A8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39017A8D">
        <w:rPr>
          <w:rFonts w:ascii="Arial" w:hAnsi="Arial" w:cs="Arial"/>
          <w:color w:val="auto"/>
          <w:sz w:val="22"/>
          <w:szCs w:val="22"/>
        </w:rPr>
        <w:t>in</w:t>
      </w:r>
      <w:r w:rsidR="00C12DEB" w:rsidRPr="39017A8D">
        <w:rPr>
          <w:rFonts w:ascii="Arial" w:hAnsi="Arial" w:cs="Arial"/>
          <w:color w:val="auto"/>
          <w:sz w:val="22"/>
          <w:szCs w:val="22"/>
        </w:rPr>
        <w:t>ých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39017A8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39017A8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39017A8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39017A8D">
        <w:rPr>
          <w:rFonts w:ascii="Arial" w:hAnsi="Arial" w:cs="Arial"/>
          <w:color w:val="auto"/>
          <w:sz w:val="22"/>
          <w:szCs w:val="22"/>
        </w:rPr>
        <w:t>a.</w:t>
      </w:r>
      <w:r w:rsidR="004E1271" w:rsidRPr="39017A8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39017A8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3ED2E58E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V prípade porušenia </w:t>
      </w:r>
      <w:r w:rsidR="2071451C" w:rsidRPr="778EA8F2">
        <w:rPr>
          <w:rFonts w:ascii="Arial" w:hAnsi="Arial" w:cs="Arial"/>
          <w:color w:val="auto"/>
          <w:sz w:val="22"/>
          <w:szCs w:val="22"/>
        </w:rPr>
        <w:t xml:space="preserve">akejkoľvek </w:t>
      </w:r>
      <w:r w:rsidRPr="778EA8F2">
        <w:rPr>
          <w:rFonts w:ascii="Arial" w:hAnsi="Arial" w:cs="Arial"/>
          <w:color w:val="auto"/>
          <w:sz w:val="22"/>
          <w:szCs w:val="22"/>
        </w:rPr>
        <w:t>povinnosti Dodávateľa vyplývajúce</w:t>
      </w:r>
      <w:r w:rsidR="314210EC" w:rsidRPr="778EA8F2">
        <w:rPr>
          <w:rFonts w:ascii="Arial" w:hAnsi="Arial" w:cs="Arial"/>
          <w:color w:val="auto"/>
          <w:sz w:val="22"/>
          <w:szCs w:val="22"/>
        </w:rPr>
        <w:t>j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mu z tejto zmluvy</w:t>
      </w:r>
      <w:r w:rsidR="0EEC6FDE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, je </w:t>
      </w:r>
      <w:r w:rsidR="6F1C73CA" w:rsidRPr="778EA8F2">
        <w:rPr>
          <w:rFonts w:ascii="Arial" w:hAnsi="Arial" w:cs="Arial"/>
          <w:color w:val="auto"/>
          <w:sz w:val="22"/>
          <w:szCs w:val="22"/>
        </w:rPr>
        <w:t xml:space="preserve">Prevádzkovateľ </w:t>
      </w:r>
      <w:r w:rsidR="6D25AE0B" w:rsidRPr="778EA8F2">
        <w:rPr>
          <w:rFonts w:ascii="Arial" w:hAnsi="Arial" w:cs="Arial"/>
          <w:color w:val="auto"/>
          <w:sz w:val="22"/>
          <w:szCs w:val="22"/>
        </w:rPr>
        <w:t xml:space="preserve">oprávnený požadovať od </w:t>
      </w:r>
      <w:r w:rsidRPr="778EA8F2">
        <w:rPr>
          <w:rFonts w:ascii="Arial" w:hAnsi="Arial" w:cs="Arial"/>
          <w:color w:val="auto"/>
          <w:sz w:val="22"/>
          <w:szCs w:val="22"/>
        </w:rPr>
        <w:t>Dodávateľ</w:t>
      </w:r>
      <w:r w:rsidR="4C97F3BA" w:rsidRPr="778EA8F2">
        <w:rPr>
          <w:rFonts w:ascii="Arial" w:hAnsi="Arial" w:cs="Arial"/>
          <w:color w:val="auto"/>
          <w:sz w:val="22"/>
          <w:szCs w:val="22"/>
        </w:rPr>
        <w:t>a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64F29540" w:rsidRPr="778EA8F2">
        <w:rPr>
          <w:rFonts w:ascii="Arial" w:hAnsi="Arial" w:cs="Arial"/>
          <w:color w:val="auto"/>
          <w:sz w:val="22"/>
          <w:szCs w:val="22"/>
        </w:rPr>
        <w:t>zaplatenie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zmluvn</w:t>
      </w:r>
      <w:r w:rsidR="6B927EB1" w:rsidRPr="778EA8F2">
        <w:rPr>
          <w:rFonts w:ascii="Arial" w:hAnsi="Arial" w:cs="Arial"/>
          <w:color w:val="auto"/>
          <w:sz w:val="22"/>
          <w:szCs w:val="22"/>
        </w:rPr>
        <w:t xml:space="preserve">ej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pokut</w:t>
      </w:r>
      <w:r w:rsidR="59102213" w:rsidRPr="778EA8F2">
        <w:rPr>
          <w:rFonts w:ascii="Arial" w:hAnsi="Arial" w:cs="Arial"/>
          <w:color w:val="auto"/>
          <w:sz w:val="22"/>
          <w:szCs w:val="22"/>
        </w:rPr>
        <w:t>y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vo výške </w:t>
      </w:r>
      <w:r w:rsidRPr="778EA8F2">
        <w:rPr>
          <w:rFonts w:ascii="Arial" w:hAnsi="Arial" w:cs="Arial"/>
          <w:b/>
          <w:bCs/>
          <w:color w:val="auto"/>
          <w:sz w:val="22"/>
          <w:szCs w:val="22"/>
        </w:rPr>
        <w:t>15 000,-</w:t>
      </w:r>
      <w:r w:rsidR="363B6232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 EUR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(slovom: pätnásťtisíc eur)</w:t>
      </w:r>
      <w:r w:rsidR="642E3703" w:rsidRPr="778EA8F2">
        <w:rPr>
          <w:rFonts w:ascii="Arial" w:hAnsi="Arial" w:cs="Arial"/>
          <w:color w:val="auto"/>
          <w:sz w:val="22"/>
          <w:szCs w:val="22"/>
        </w:rPr>
        <w:t xml:space="preserve"> za každé jednotlivé (aj opakované) porušenie </w:t>
      </w:r>
      <w:r w:rsidR="1B7BE257" w:rsidRPr="778EA8F2">
        <w:rPr>
          <w:rFonts w:ascii="Arial" w:hAnsi="Arial" w:cs="Arial"/>
          <w:color w:val="auto"/>
          <w:sz w:val="22"/>
          <w:szCs w:val="22"/>
        </w:rPr>
        <w:t xml:space="preserve">zmluvnej </w:t>
      </w:r>
      <w:r w:rsidR="642E3703" w:rsidRPr="778EA8F2">
        <w:rPr>
          <w:rFonts w:ascii="Arial" w:hAnsi="Arial" w:cs="Arial"/>
          <w:color w:val="auto"/>
          <w:sz w:val="22"/>
          <w:szCs w:val="22"/>
        </w:rPr>
        <w:t>povinnosti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 alebo zmluvnú pokutu vo výške </w:t>
      </w:r>
      <w:r w:rsidR="0033B76E" w:rsidRPr="778EA8F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667CA98D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118CFE23" w:rsidRPr="778EA8F2">
        <w:rPr>
          <w:rFonts w:ascii="Arial" w:hAnsi="Arial" w:cs="Arial"/>
          <w:b/>
          <w:bCs/>
          <w:color w:val="auto"/>
          <w:sz w:val="22"/>
          <w:szCs w:val="22"/>
        </w:rPr>
        <w:t xml:space="preserve">000,- EUR 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(slovom: </w:t>
      </w:r>
      <w:r w:rsidR="3D26A576" w:rsidRPr="778EA8F2">
        <w:rPr>
          <w:rFonts w:ascii="Arial" w:hAnsi="Arial" w:cs="Arial"/>
          <w:color w:val="auto"/>
          <w:sz w:val="22"/>
          <w:szCs w:val="22"/>
        </w:rPr>
        <w:t xml:space="preserve">tisíc </w:t>
      </w:r>
      <w:r w:rsidR="118CFE23" w:rsidRPr="778EA8F2">
        <w:rPr>
          <w:rFonts w:ascii="Arial" w:hAnsi="Arial" w:cs="Arial"/>
          <w:color w:val="auto"/>
          <w:sz w:val="22"/>
          <w:szCs w:val="22"/>
        </w:rPr>
        <w:t>eur)  za každý začatý deň omeškania s plnením</w:t>
      </w:r>
      <w:r w:rsidR="5E4650FF" w:rsidRPr="778EA8F2">
        <w:rPr>
          <w:rFonts w:ascii="Arial" w:hAnsi="Arial" w:cs="Arial"/>
          <w:color w:val="auto"/>
          <w:sz w:val="22"/>
          <w:szCs w:val="22"/>
        </w:rPr>
        <w:t xml:space="preserve"> zmluvnej</w:t>
      </w:r>
      <w:r w:rsidR="118CFE23" w:rsidRPr="778EA8F2">
        <w:rPr>
          <w:rFonts w:ascii="Arial" w:hAnsi="Arial" w:cs="Arial"/>
          <w:color w:val="auto"/>
          <w:sz w:val="22"/>
          <w:szCs w:val="22"/>
        </w:rPr>
        <w:t xml:space="preserve"> povinnost</w:t>
      </w:r>
      <w:r w:rsidR="0A5C2308" w:rsidRPr="778EA8F2">
        <w:rPr>
          <w:rFonts w:ascii="Arial" w:hAnsi="Arial" w:cs="Arial"/>
          <w:color w:val="auto"/>
          <w:sz w:val="22"/>
          <w:szCs w:val="22"/>
        </w:rPr>
        <w:t xml:space="preserve">i. </w:t>
      </w:r>
      <w:r w:rsidR="4DD7CCE2" w:rsidRPr="778EA8F2">
        <w:rPr>
          <w:rFonts w:ascii="Arial" w:hAnsi="Arial" w:cs="Arial"/>
          <w:color w:val="auto"/>
          <w:sz w:val="22"/>
          <w:szCs w:val="22"/>
        </w:rPr>
        <w:t>Zmluvné strany zhodne prehlasujú, že dojednanie zmluvnej pokuty podľa predchádzajúcej vety pre porušenie zmluvnej povinnosti Dodávateľa považujú za dostatočne určité.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543E6346" w:rsidRPr="778EA8F2">
        <w:rPr>
          <w:rFonts w:ascii="Arial" w:hAnsi="Arial" w:cs="Arial"/>
          <w:color w:val="auto"/>
          <w:sz w:val="22"/>
          <w:szCs w:val="22"/>
        </w:rPr>
        <w:t>N</w:t>
      </w:r>
      <w:r w:rsidR="363B6232" w:rsidRPr="778EA8F2">
        <w:rPr>
          <w:rFonts w:ascii="Arial" w:hAnsi="Arial" w:cs="Arial"/>
          <w:color w:val="auto"/>
          <w:sz w:val="22"/>
          <w:szCs w:val="22"/>
        </w:rPr>
        <w:t>árok Prevádzkovateľa na náhradu škody v plnej výške, ako aj nárok na náhradu pokút</w:t>
      </w:r>
      <w:r w:rsidR="009048E8">
        <w:rPr>
          <w:rFonts w:ascii="Arial" w:hAnsi="Arial" w:cs="Arial"/>
          <w:color w:val="auto"/>
          <w:sz w:val="22"/>
          <w:szCs w:val="22"/>
        </w:rPr>
        <w:t>, poplatkov alebo iných peňažných sankcií</w:t>
      </w:r>
      <w:r w:rsidR="363B6232" w:rsidRPr="778EA8F2">
        <w:rPr>
          <w:rFonts w:ascii="Arial" w:hAnsi="Arial" w:cs="Arial"/>
          <w:color w:val="auto"/>
          <w:sz w:val="22"/>
          <w:szCs w:val="22"/>
        </w:rPr>
        <w:t xml:space="preserve">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  <w:r w:rsidR="009EF60B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6C1E24B8" w:rsidR="004714F2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778EA8F2">
        <w:rPr>
          <w:rFonts w:ascii="Arial" w:hAnsi="Arial" w:cs="Arial"/>
          <w:color w:val="auto"/>
          <w:sz w:val="22"/>
          <w:szCs w:val="22"/>
        </w:rPr>
        <w:t> </w:t>
      </w:r>
      <w:r w:rsidRPr="778EA8F2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778EA8F2">
        <w:rPr>
          <w:rFonts w:ascii="Arial" w:hAnsi="Arial" w:cs="Arial"/>
          <w:color w:val="auto"/>
          <w:sz w:val="22"/>
          <w:szCs w:val="22"/>
        </w:rPr>
        <w:t>.</w:t>
      </w:r>
    </w:p>
    <w:p w14:paraId="6BD5742A" w14:textId="77777777" w:rsidR="00217CED" w:rsidRPr="005C4563" w:rsidRDefault="00217CED" w:rsidP="009929F3">
      <w:pPr>
        <w:pStyle w:val="Odsekzoznamu"/>
        <w:rPr>
          <w:rFonts w:ascii="Arial" w:hAnsi="Arial"/>
        </w:rPr>
      </w:pPr>
    </w:p>
    <w:p w14:paraId="5B739942" w14:textId="4A955B3F" w:rsidR="00217CED" w:rsidRPr="0067137D" w:rsidRDefault="00217CED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 je povinný odstrániť prípadné porušenie povinnosti vyplývajúcej z tejto zmluvy najneskôr do troch (3) dní od doručenia výzvy Prevádzkovateľa, ak sa zmluvné strany nedohodnú písomne inak.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778EA8F2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778EA8F2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778EA8F2">
        <w:rPr>
          <w:rFonts w:ascii="Arial" w:hAnsi="Arial" w:cs="Arial"/>
          <w:color w:val="auto"/>
          <w:sz w:val="22"/>
          <w:szCs w:val="22"/>
        </w:rPr>
        <w:t>,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778EA8F2">
        <w:rPr>
          <w:rFonts w:ascii="Arial" w:hAnsi="Arial" w:cs="Arial"/>
          <w:color w:val="auto"/>
          <w:sz w:val="22"/>
          <w:szCs w:val="22"/>
        </w:rPr>
        <w:t> 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778EA8F2">
        <w:rPr>
          <w:rFonts w:ascii="Arial" w:hAnsi="Arial" w:cs="Arial"/>
          <w:color w:val="auto"/>
          <w:sz w:val="22"/>
          <w:szCs w:val="22"/>
        </w:rPr>
        <w:t>získa</w:t>
      </w:r>
      <w:r w:rsidR="00424217" w:rsidRPr="778EA8F2">
        <w:rPr>
          <w:rFonts w:ascii="Arial" w:hAnsi="Arial" w:cs="Arial"/>
          <w:color w:val="auto"/>
          <w:sz w:val="22"/>
          <w:szCs w:val="22"/>
        </w:rPr>
        <w:t>né</w:t>
      </w:r>
      <w:r w:rsidR="00443F89" w:rsidRPr="778EA8F2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778EA8F2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778EA8F2">
        <w:rPr>
          <w:rFonts w:ascii="Arial" w:hAnsi="Arial" w:cs="Arial"/>
          <w:color w:val="auto"/>
          <w:sz w:val="22"/>
          <w:szCs w:val="22"/>
        </w:rPr>
        <w:t xml:space="preserve">alebo 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Pr="778EA8F2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778EA8F2">
        <w:rPr>
          <w:rFonts w:ascii="Arial" w:hAnsi="Arial" w:cs="Arial"/>
          <w:color w:val="auto"/>
          <w:sz w:val="22"/>
          <w:szCs w:val="22"/>
        </w:rPr>
        <w:t>piatich (</w:t>
      </w:r>
      <w:r w:rsidRPr="778EA8F2">
        <w:rPr>
          <w:rFonts w:ascii="Arial" w:hAnsi="Arial" w:cs="Arial"/>
          <w:color w:val="auto"/>
          <w:sz w:val="22"/>
          <w:szCs w:val="22"/>
        </w:rPr>
        <w:t>5</w:t>
      </w:r>
      <w:r w:rsidR="00CB2720" w:rsidRPr="778EA8F2">
        <w:rPr>
          <w:rFonts w:ascii="Arial" w:hAnsi="Arial" w:cs="Arial"/>
          <w:color w:val="auto"/>
          <w:sz w:val="22"/>
          <w:szCs w:val="22"/>
        </w:rPr>
        <w:t>)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dní odo dňa, kedy </w:t>
      </w:r>
      <w:r w:rsidRPr="778EA8F2">
        <w:rPr>
          <w:rFonts w:ascii="Arial" w:hAnsi="Arial" w:cs="Arial"/>
          <w:color w:val="auto"/>
          <w:sz w:val="22"/>
          <w:szCs w:val="22"/>
        </w:rPr>
        <w:lastRenderedPageBreak/>
        <w:t>Prevádzkovateľ informoval Dodávateľa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6330BFDA" w:rsidR="00D97782" w:rsidRPr="0067137D" w:rsidRDefault="009048E8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Najneskôr ku dňu ukončenia</w:t>
      </w:r>
      <w:r w:rsidR="00D97782" w:rsidRPr="778EA8F2">
        <w:rPr>
          <w:rFonts w:ascii="Arial" w:hAnsi="Arial" w:cs="Arial"/>
          <w:color w:val="auto"/>
          <w:sz w:val="22"/>
          <w:szCs w:val="22"/>
        </w:rPr>
        <w:t xml:space="preserve"> tejto zmluvy je </w:t>
      </w:r>
      <w:r w:rsidR="00217A4C" w:rsidRPr="778EA8F2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778EA8F2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778EA8F2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778EA8F2">
        <w:rPr>
          <w:rFonts w:ascii="Arial" w:hAnsi="Arial" w:cs="Arial"/>
          <w:color w:val="auto"/>
          <w:sz w:val="22"/>
          <w:szCs w:val="22"/>
        </w:rPr>
        <w:t xml:space="preserve">a </w:t>
      </w:r>
      <w:r>
        <w:rPr>
          <w:rFonts w:ascii="Arial" w:hAnsi="Arial" w:cs="Arial"/>
          <w:color w:val="auto"/>
          <w:sz w:val="22"/>
          <w:szCs w:val="22"/>
        </w:rPr>
        <w:t>potrebné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778EA8F2">
        <w:rPr>
          <w:rFonts w:ascii="Arial" w:hAnsi="Arial" w:cs="Arial"/>
          <w:color w:val="auto"/>
          <w:sz w:val="22"/>
          <w:szCs w:val="22"/>
        </w:rPr>
        <w:t xml:space="preserve">licencie, práva alebo súhlasy </w:t>
      </w:r>
      <w:r>
        <w:rPr>
          <w:rFonts w:ascii="Arial" w:hAnsi="Arial" w:cs="Arial"/>
          <w:color w:val="auto"/>
          <w:sz w:val="22"/>
          <w:szCs w:val="22"/>
        </w:rPr>
        <w:t>nevyhnutné</w:t>
      </w:r>
      <w:r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778EA8F2">
        <w:rPr>
          <w:rFonts w:ascii="Arial" w:hAnsi="Arial" w:cs="Arial"/>
          <w:color w:val="auto"/>
          <w:sz w:val="22"/>
          <w:szCs w:val="22"/>
        </w:rPr>
        <w:t>na zabezpečenie kontinuity prevádzkovania základnej služby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(5) rokov po ukončení tejto zmluvy, ak z dodávateľskej zmluvy nevyplýva </w:t>
      </w:r>
      <w:r w:rsidR="007951AB" w:rsidRPr="778EA8F2">
        <w:rPr>
          <w:rFonts w:ascii="Arial" w:hAnsi="Arial" w:cs="Arial"/>
          <w:color w:val="auto"/>
          <w:sz w:val="22"/>
          <w:szCs w:val="22"/>
        </w:rPr>
        <w:t>dlhšia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778EA8F2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778EA8F2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778EA8F2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="00D97782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778EA8F2">
        <w:rPr>
          <w:rFonts w:ascii="Arial" w:hAnsi="Arial" w:cs="Arial"/>
          <w:color w:val="auto"/>
          <w:sz w:val="22"/>
          <w:szCs w:val="22"/>
        </w:rPr>
        <w:t xml:space="preserve">Ustanovenia o autorských právach (licenciách) </w:t>
      </w:r>
      <w:r w:rsidR="009B5213" w:rsidRPr="778EA8F2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778EA8F2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778EA8F2">
        <w:rPr>
          <w:rFonts w:ascii="Arial" w:hAnsi="Arial" w:cs="Arial"/>
          <w:color w:val="auto"/>
          <w:sz w:val="22"/>
          <w:szCs w:val="22"/>
        </w:rPr>
        <w:t>,</w:t>
      </w:r>
      <w:r w:rsidR="00DC3461" w:rsidRPr="778EA8F2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778EA8F2">
        <w:rPr>
          <w:rFonts w:ascii="Arial" w:hAnsi="Arial" w:cs="Arial"/>
          <w:color w:val="auto"/>
          <w:sz w:val="22"/>
          <w:szCs w:val="22"/>
        </w:rPr>
        <w:t>.</w:t>
      </w:r>
      <w:r w:rsidR="002B643C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55363EA" w14:textId="77777777" w:rsidR="000908C7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597740" w14:textId="77777777" w:rsidR="00E92920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7D7179C5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2E5C0D22">
        <w:rPr>
          <w:rFonts w:ascii="Arial" w:hAnsi="Arial" w:cs="Arial"/>
          <w:color w:val="auto"/>
          <w:sz w:val="22"/>
          <w:szCs w:val="22"/>
        </w:rPr>
        <w:t>Táto zm</w:t>
      </w:r>
      <w:r w:rsidR="009B5213" w:rsidRPr="2E5C0D22">
        <w:rPr>
          <w:rFonts w:ascii="Arial" w:hAnsi="Arial" w:cs="Arial"/>
          <w:color w:val="auto"/>
          <w:sz w:val="22"/>
          <w:szCs w:val="22"/>
        </w:rPr>
        <w:t>luva sa uzatvára na dobu určitú, a to do skončenia</w:t>
      </w:r>
      <w:r w:rsidR="00323E4A" w:rsidRPr="2E5C0D22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2E5C0D22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2435EF5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778EA8F2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</w:t>
      </w:r>
      <w:r w:rsidR="5122789A" w:rsidRPr="778EA8F2">
        <w:rPr>
          <w:rFonts w:ascii="Arial" w:hAnsi="Arial" w:cs="Arial"/>
          <w:color w:val="auto"/>
          <w:sz w:val="22"/>
          <w:szCs w:val="22"/>
        </w:rPr>
        <w:t xml:space="preserve"> </w:t>
      </w:r>
      <w:r w:rsidR="15ED1BB0" w:rsidRPr="778EA8F2">
        <w:rPr>
          <w:rFonts w:ascii="Arial" w:hAnsi="Arial" w:cs="Arial"/>
          <w:color w:val="auto"/>
          <w:sz w:val="22"/>
          <w:szCs w:val="22"/>
        </w:rPr>
        <w:t xml:space="preserve">vyplývajúcu </w:t>
      </w:r>
      <w:r w:rsidRPr="778EA8F2">
        <w:rPr>
          <w:rFonts w:ascii="Arial" w:hAnsi="Arial" w:cs="Arial"/>
          <w:color w:val="auto"/>
          <w:sz w:val="22"/>
          <w:szCs w:val="22"/>
        </w:rPr>
        <w:t>mu z tejto zmluvy</w:t>
      </w:r>
      <w:r w:rsidR="66FE3849" w:rsidRPr="778EA8F2">
        <w:rPr>
          <w:rFonts w:ascii="Arial" w:hAnsi="Arial" w:cs="Arial"/>
          <w:color w:val="auto"/>
          <w:sz w:val="22"/>
          <w:szCs w:val="22"/>
        </w:rPr>
        <w:t>.</w:t>
      </w:r>
      <w:r w:rsidR="57890EFE" w:rsidRPr="778EA8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Odsekzoznamu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762D4D6C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Prevádzkovateľ pri zmene spôsobu hlásenia bezpečnostného incidentu uvedeného v </w:t>
      </w:r>
      <w:r w:rsidR="00D554A7" w:rsidRPr="00E92920">
        <w:rPr>
          <w:rFonts w:ascii="Arial" w:hAnsi="Arial" w:cs="Arial"/>
          <w:b/>
          <w:bCs/>
          <w:color w:val="auto"/>
          <w:sz w:val="22"/>
          <w:szCs w:val="22"/>
        </w:rPr>
        <w:t>Prílohe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3C894293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FF52850">
        <w:rPr>
          <w:rFonts w:ascii="Arial" w:hAnsi="Arial" w:cs="Arial"/>
          <w:color w:val="auto"/>
          <w:sz w:val="22"/>
          <w:szCs w:val="22"/>
        </w:rPr>
        <w:t xml:space="preserve">Príloha č. 1 – </w:t>
      </w:r>
      <w:r w:rsidR="5634CDCC" w:rsidRPr="5FF52850">
        <w:rPr>
          <w:rFonts w:ascii="Arial" w:hAnsi="Arial" w:cs="Arial"/>
          <w:color w:val="auto"/>
          <w:sz w:val="22"/>
          <w:szCs w:val="22"/>
        </w:rPr>
        <w:t>Špecifikácia a rozsah bezpečnostných opatrení</w:t>
      </w:r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68F1C696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</w:t>
      </w:r>
      <w:r w:rsidR="00886365">
        <w:rPr>
          <w:rFonts w:ascii="Arial" w:hAnsi="Arial" w:cs="Arial"/>
          <w:color w:val="auto"/>
          <w:sz w:val="22"/>
          <w:szCs w:val="22"/>
        </w:rPr>
        <w:t> </w:t>
      </w:r>
      <w:r w:rsidRPr="44FF74BD">
        <w:rPr>
          <w:rFonts w:ascii="Arial" w:hAnsi="Arial" w:cs="Arial"/>
          <w:color w:val="auto"/>
          <w:sz w:val="22"/>
          <w:szCs w:val="22"/>
        </w:rPr>
        <w:t>Dodávateľa</w:t>
      </w:r>
      <w:r w:rsidR="00886365">
        <w:rPr>
          <w:rFonts w:ascii="Arial" w:hAnsi="Arial" w:cs="Arial"/>
          <w:color w:val="auto"/>
          <w:sz w:val="22"/>
          <w:szCs w:val="22"/>
        </w:rPr>
        <w:t>.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76921EEC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Táto zmluva sa vyhotovuje v </w:t>
      </w:r>
      <w:r w:rsidR="009929F3">
        <w:rPr>
          <w:rFonts w:ascii="Arial" w:hAnsi="Arial" w:cs="Arial"/>
          <w:color w:val="auto"/>
          <w:sz w:val="22"/>
          <w:szCs w:val="22"/>
        </w:rPr>
        <w:t>troch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(</w:t>
      </w:r>
      <w:r w:rsidR="009929F3">
        <w:rPr>
          <w:rFonts w:ascii="Arial" w:hAnsi="Arial" w:cs="Arial"/>
          <w:color w:val="auto"/>
          <w:sz w:val="22"/>
          <w:szCs w:val="22"/>
        </w:rPr>
        <w:t>3</w:t>
      </w:r>
      <w:r w:rsidR="00D10FEE" w:rsidRPr="44FF74BD">
        <w:rPr>
          <w:rFonts w:ascii="Arial" w:hAnsi="Arial" w:cs="Arial"/>
          <w:color w:val="auto"/>
          <w:sz w:val="22"/>
          <w:szCs w:val="22"/>
        </w:rPr>
        <w:t>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</w:t>
      </w:r>
      <w:r w:rsidR="009929F3">
        <w:rPr>
          <w:rFonts w:ascii="Arial" w:hAnsi="Arial" w:cs="Arial"/>
          <w:color w:val="auto"/>
          <w:sz w:val="22"/>
          <w:szCs w:val="22"/>
        </w:rPr>
        <w:t xml:space="preserve">z toho </w:t>
      </w:r>
      <w:r w:rsidR="005F157C">
        <w:rPr>
          <w:rFonts w:ascii="Arial" w:hAnsi="Arial" w:cs="Arial"/>
          <w:color w:val="auto"/>
          <w:sz w:val="22"/>
          <w:szCs w:val="22"/>
        </w:rPr>
        <w:t>dva (2) pre Prevádzkovateľa a jeden (1) pre Dodávateľa</w:t>
      </w:r>
      <w:r w:rsidRPr="44FF74BD">
        <w:rPr>
          <w:rFonts w:ascii="Arial" w:hAnsi="Arial" w:cs="Arial"/>
          <w:color w:val="auto"/>
          <w:sz w:val="22"/>
          <w:szCs w:val="22"/>
        </w:rPr>
        <w:t>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21D7BCD" w:rsidR="00DF4E33" w:rsidRPr="00DF4E33" w:rsidRDefault="00691168" w:rsidP="00163F95">
      <w:pPr>
        <w:spacing w:after="0"/>
        <w:ind w:left="708" w:firstLine="708"/>
        <w:jc w:val="both"/>
        <w:rPr>
          <w:rFonts w:ascii="Arial" w:hAnsi="Arial" w:cs="Arial"/>
          <w:bCs/>
        </w:rPr>
      </w:pPr>
      <w:r w:rsidRPr="00107710">
        <w:rPr>
          <w:rFonts w:ascii="Arial" w:hAnsi="Arial" w:cs="Arial"/>
          <w:b/>
          <w:bCs/>
        </w:rPr>
        <w:t>......</w:t>
      </w:r>
      <w:r w:rsidR="00DF4E33" w:rsidRPr="00DF4E33">
        <w:rPr>
          <w:rFonts w:ascii="Arial" w:hAnsi="Arial" w:cs="Arial"/>
          <w:b/>
          <w:bCs/>
        </w:rPr>
        <w:tab/>
      </w:r>
      <w:r w:rsidR="00DF4E33" w:rsidRPr="00DF4E33">
        <w:rPr>
          <w:rFonts w:ascii="Arial" w:hAnsi="Arial" w:cs="Arial"/>
          <w:b/>
          <w:bCs/>
        </w:rPr>
        <w:tab/>
      </w:r>
      <w:r w:rsidR="00DF4E33" w:rsidRPr="00DF4E33">
        <w:rPr>
          <w:rFonts w:ascii="Arial" w:hAnsi="Arial" w:cs="Arial"/>
          <w:bCs/>
        </w:rPr>
        <w:tab/>
      </w:r>
      <w:r w:rsidR="00DF4E33" w:rsidRPr="00DF4E3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F4E33" w:rsidRPr="00DF4E33">
        <w:rPr>
          <w:rFonts w:ascii="Arial" w:hAnsi="Arial" w:cs="Arial"/>
          <w:bCs/>
        </w:rPr>
        <w:tab/>
      </w:r>
      <w:r w:rsidR="00DF4E33" w:rsidRPr="00107710">
        <w:rPr>
          <w:rFonts w:ascii="Arial" w:hAnsi="Arial" w:cs="Arial"/>
          <w:b/>
          <w:bCs/>
        </w:rPr>
        <w:t>......</w:t>
      </w:r>
    </w:p>
    <w:p w14:paraId="4D71659E" w14:textId="603CE75C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="00B87352">
        <w:rPr>
          <w:rFonts w:ascii="Arial" w:hAnsi="Arial" w:cs="Arial"/>
        </w:rPr>
        <w:tab/>
      </w:r>
      <w:r w:rsidR="00B87352">
        <w:rPr>
          <w:rFonts w:ascii="Arial" w:hAnsi="Arial" w:cs="Arial"/>
        </w:rPr>
        <w:tab/>
      </w:r>
      <w:r w:rsidRPr="00107710">
        <w:rPr>
          <w:rFonts w:ascii="Arial" w:hAnsi="Arial" w:cs="Arial"/>
        </w:rPr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107710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4809D149" w:rsidR="00315DDE" w:rsidRPr="00640911" w:rsidRDefault="00315DDE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42B7D37C" w:rsidR="001679E0" w:rsidRDefault="001679E0">
      <w:pPr>
        <w:rPr>
          <w:rFonts w:ascii="Arial" w:hAnsi="Arial" w:cs="Arial"/>
          <w:b/>
          <w:bCs/>
          <w:color w:val="000000"/>
        </w:rPr>
      </w:pPr>
    </w:p>
    <w:p w14:paraId="2728B55F" w14:textId="2385941C" w:rsidR="001679E0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60E10F5E" w:rsidR="001679E0" w:rsidRDefault="001679E0" w:rsidP="00163F95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5CF578D0" w:rsidR="001679E0" w:rsidRPr="001679E0" w:rsidRDefault="001679E0" w:rsidP="00163F95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23ADDC91" w:rsidR="001679E0" w:rsidRPr="00027318" w:rsidRDefault="001679E0" w:rsidP="00163F95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1B5F7C16" w:rsidR="001679E0" w:rsidRPr="00027318" w:rsidRDefault="001679E0" w:rsidP="00163F95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23655A74" w:rsidR="001679E0" w:rsidRPr="00E92920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E92920">
        <w:rPr>
          <w:rFonts w:ascii="Arial" w:hAnsi="Arial" w:cs="Arial"/>
          <w:sz w:val="22"/>
        </w:rPr>
        <w:t>organizácia kybernetickej bezpečnosti a informačnej bezpečnosti,</w:t>
      </w:r>
    </w:p>
    <w:p w14:paraId="41576C1F" w14:textId="350F9234" w:rsidR="001679E0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320C065" w:rsidR="001679E0" w:rsidRDefault="00027318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C0857A7" w:rsidR="001679E0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4774A3BB" w:rsidR="004E65B6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64EE542E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121E60C2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38ED0B9" w:rsidR="00E47E38" w:rsidRDefault="00E47E38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0DC6AA28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50687040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312298F6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632B5BDF" w:rsidR="000B3A1E" w:rsidRDefault="000B3A1E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518138FE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63E154A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5A2CDBC2" w:rsidR="00E47E38" w:rsidRDefault="00E47E38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29836C61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348177E4" w:rsidR="00E47E38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3A5E5972" w:rsidR="000B3A1E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48F72642" w:rsidR="000B3A1E" w:rsidRPr="000B3A1E" w:rsidRDefault="001679E0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03B2434" w:rsidR="000B3A1E" w:rsidRPr="000B3A1E" w:rsidRDefault="001679E0" w:rsidP="00163F9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15403F0B" w:rsidR="000B3A1E" w:rsidRPr="000B3A1E" w:rsidRDefault="001679E0" w:rsidP="00163F9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31E6E3F4" w:rsidR="000B3A1E" w:rsidRPr="000B3A1E" w:rsidRDefault="000B3A1E" w:rsidP="00163F9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0389D202" w:rsidR="00482754" w:rsidRPr="00482754" w:rsidRDefault="001679E0" w:rsidP="00163F9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51EBA6FB" w:rsidR="00482754" w:rsidRPr="00482754" w:rsidRDefault="001679E0" w:rsidP="00163F9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279A7B67" w:rsidR="00144185" w:rsidRPr="00144185" w:rsidRDefault="001679E0" w:rsidP="00163F9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10B194A3" w:rsidR="00144185" w:rsidRPr="00144185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1ADEB9F1" w:rsidR="00144185" w:rsidRPr="00144185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4CA82528" w:rsidR="00144185" w:rsidRPr="00144185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2E7E6EF9" w:rsidR="00144185" w:rsidRPr="00144185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09BA8DC6" w:rsidR="00144185" w:rsidRPr="00144185" w:rsidRDefault="001679E0" w:rsidP="00163F9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BE39F11" w:rsidR="00144185" w:rsidRPr="00144185" w:rsidRDefault="001679E0" w:rsidP="00163F9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2E655370" w:rsidR="00144185" w:rsidRDefault="001679E0" w:rsidP="00163F9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003EB261" w:rsidR="005E3EC8" w:rsidRPr="00144185" w:rsidRDefault="005E3EC8" w:rsidP="00163F95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45A4A2A8" w:rsidR="00144185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26E5E962" w:rsidR="00623381" w:rsidRPr="00623381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2867745A" w:rsidR="00623381" w:rsidRPr="00777C96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43811810" w:rsidR="00623381" w:rsidRPr="00777C96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04CC72B6" w:rsidR="00623381" w:rsidRPr="00777C96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694CAB62" w:rsidR="00777C96" w:rsidRPr="00777C96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45CE7F43" w:rsidR="00777C96" w:rsidRPr="00777C96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5EED012E" w:rsidR="00777C96" w:rsidRPr="00777C96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8AB0233" w:rsidR="00777C96" w:rsidRPr="00777C96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2B44326E" w:rsidR="00777C96" w:rsidRPr="00DD5620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DD5620">
        <w:rPr>
          <w:rFonts w:ascii="Arial" w:hAnsi="Arial" w:cs="Arial"/>
          <w:color w:val="auto"/>
          <w:sz w:val="22"/>
          <w:szCs w:val="22"/>
        </w:rPr>
        <w:t xml:space="preserve"> administrátorov alebo osôb</w:t>
      </w:r>
      <w:r w:rsidR="00777C96" w:rsidRPr="00DD5620">
        <w:rPr>
          <w:rFonts w:ascii="Arial" w:hAnsi="Arial" w:cs="Arial"/>
          <w:color w:val="auto"/>
          <w:sz w:val="22"/>
          <w:szCs w:val="22"/>
        </w:rPr>
        <w:t xml:space="preserve"> </w:t>
      </w:r>
      <w:r w:rsidRPr="00DD5620">
        <w:rPr>
          <w:rFonts w:ascii="Arial" w:hAnsi="Arial" w:cs="Arial"/>
          <w:color w:val="auto"/>
          <w:sz w:val="22"/>
          <w:szCs w:val="22"/>
        </w:rPr>
        <w:t>zastávajúcich bezpečnostné roly.</w:t>
      </w:r>
    </w:p>
    <w:p w14:paraId="31B0C358" w14:textId="7116990D" w:rsidR="00777C96" w:rsidRPr="005D2F73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7B9521E9" w:rsidR="005D2F73" w:rsidRPr="005D2F73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59327CAA" w:rsidR="005D2F73" w:rsidRPr="005D2F73" w:rsidRDefault="005D2F73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14082E16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54F0B45D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06526391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5C1D1AC3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1A1AC6C6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618D24C9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60EA5AE6" w:rsidR="005D2F73" w:rsidRPr="005D2F73" w:rsidRDefault="005D2F73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CC238FA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1BA356C1" w:rsidR="005D2F73" w:rsidRPr="005D2F73" w:rsidRDefault="005D2F73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54684A5D" w:rsidR="005D2F73" w:rsidRPr="005D2F73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5D4E7A91" w:rsidR="00F12FBA" w:rsidRPr="00F12FBA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3E34AF1B" w:rsidR="00F12FBA" w:rsidRPr="00F12FBA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1CCD2780" w:rsidR="00F12FBA" w:rsidRPr="00F12FBA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5C81AAB3" w:rsidR="00F12FBA" w:rsidRPr="00F12FBA" w:rsidRDefault="001679E0" w:rsidP="00163F95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7495C75A" w:rsidR="0020416D" w:rsidRPr="00470B38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47F00C47" w:rsidR="00470B38" w:rsidRPr="00470B38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6ACF1FA4" w:rsidR="00470B38" w:rsidRPr="00470B38" w:rsidRDefault="001679E0" w:rsidP="00163F95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25691B6" w:rsidR="009024BE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3A109D6E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4E76C3DC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0CCC00DF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43820423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1A95884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3DD084C4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497F397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46AFA3CD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447F1FE4" w:rsidR="009024BE" w:rsidRPr="009024BE" w:rsidRDefault="001679E0" w:rsidP="00163F95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4B73418" w:rsidR="009024BE" w:rsidRPr="009024BE" w:rsidRDefault="001679E0" w:rsidP="00163F95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6922B4A" w:rsidR="009024BE" w:rsidRPr="009024BE" w:rsidRDefault="001679E0" w:rsidP="00163F95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19874C2A" w:rsidR="009024BE" w:rsidRPr="009024BE" w:rsidRDefault="001679E0" w:rsidP="00163F95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B94E93F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15001A96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325799D3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5CC17102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4585BA2C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4D44BFA8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0B74AF74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4EB3EBDB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009024BE">
        <w:rPr>
          <w:rFonts w:ascii="Arial" w:hAnsi="Arial" w:cs="Arial"/>
          <w:sz w:val="22"/>
          <w:szCs w:val="22"/>
        </w:rPr>
        <w:t xml:space="preserve"> mesiacov.</w:t>
      </w:r>
    </w:p>
    <w:p w14:paraId="10BC1307" w14:textId="1F5BC751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47FD1BB4" w:rsidR="009024BE" w:rsidRPr="009024BE" w:rsidRDefault="001679E0" w:rsidP="00163F95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 xml:space="preserve">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9024BE">
        <w:rPr>
          <w:rFonts w:ascii="Arial" w:hAnsi="Arial" w:cs="Arial"/>
          <w:sz w:val="22"/>
          <w:szCs w:val="22"/>
        </w:rPr>
        <w:t>mesiacov.</w:t>
      </w:r>
    </w:p>
    <w:p w14:paraId="243F4FCB" w14:textId="69F89E0F" w:rsidR="006C473D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09AFC1FC" w:rsidR="006C473D" w:rsidRPr="006C473D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206C03D8" w:rsidR="006C473D" w:rsidRPr="006C473D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1BF8F3A1" w:rsidR="006C473D" w:rsidRPr="006C473D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26306225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CA58FA3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6DC37943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74B1180C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654C9420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03BAA114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08A9109E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1C6EB88D" w:rsidR="00BB40BE" w:rsidRPr="00BB40BE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1DE3CC78" w:rsidR="00A068FB" w:rsidRPr="00A068FB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60E1F274" w:rsidR="00386BBA" w:rsidRPr="00386BB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2D28B466" w:rsidR="00386BBA" w:rsidRPr="00386BB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65154BB1" w:rsidR="00386BBA" w:rsidRPr="00386BB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6C339C21" w:rsidR="00386BBA" w:rsidRPr="00386BB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3F35FFB2" w:rsidR="00CF6E0C" w:rsidRPr="00CF6E0C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6EA90B4E" w:rsidR="00CF6E0C" w:rsidRPr="00CF6E0C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231E9328" w:rsidR="00CF6E0C" w:rsidRPr="00CF6E0C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1D57A40C" w:rsidR="00CF6E0C" w:rsidRPr="00CF6E0C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4836A2E1" w:rsidR="00CF6E0C" w:rsidRPr="00CF6E0C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4D3AC59B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55D7DC2A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2F3A0B77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3E5025FF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41D47351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BA27693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36102E71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146C8442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6F8A1121" w:rsidR="009B3E2A" w:rsidRPr="009B3E2A" w:rsidRDefault="001679E0" w:rsidP="00163F95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3BA348FD" w:rsidR="009B3E2A" w:rsidRPr="009B3E2A" w:rsidRDefault="001679E0" w:rsidP="00163F95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58808F58" w:rsidR="007F79C8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3BC511D2" w:rsidR="007F79C8" w:rsidRPr="007F79C8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5F8EB714" w:rsidR="007F79C8" w:rsidRPr="007F79C8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56FC57AF" w:rsidR="007F79C8" w:rsidRPr="007F79C8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411962B2" w:rsidR="007F79C8" w:rsidRPr="007F79C8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 xml:space="preserve">Vyhotovenie archivačnej zálohy najmenej v dvoch </w:t>
      </w:r>
      <w:r w:rsidR="00886365">
        <w:rPr>
          <w:rFonts w:ascii="Arial" w:hAnsi="Arial" w:cs="Arial"/>
          <w:sz w:val="22"/>
          <w:szCs w:val="22"/>
        </w:rPr>
        <w:t xml:space="preserve">(2) </w:t>
      </w:r>
      <w:r w:rsidRPr="007F79C8">
        <w:rPr>
          <w:rFonts w:ascii="Arial" w:hAnsi="Arial" w:cs="Arial"/>
          <w:sz w:val="22"/>
          <w:szCs w:val="22"/>
        </w:rPr>
        <w:t>kópiách.</w:t>
      </w:r>
    </w:p>
    <w:p w14:paraId="4F0902B9" w14:textId="601BE974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6E3FD749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51BD80C0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3478C520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3F6E83FF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0BCB857F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6B5838CE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1EBF93EF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58B4D3D9" w:rsidR="00A36D3D" w:rsidRPr="00A36D3D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4961E8A3" w:rsidR="00900672" w:rsidRPr="00900672" w:rsidRDefault="001679E0" w:rsidP="00163F95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4BD48198" w:rsidR="00900672" w:rsidRPr="00900672" w:rsidRDefault="001679E0" w:rsidP="00163F95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proofErr w:type="spellStart"/>
      <w:r w:rsidRPr="00900672">
        <w:rPr>
          <w:rFonts w:ascii="Arial" w:hAnsi="Arial" w:cs="Arial"/>
          <w:sz w:val="22"/>
          <w:szCs w:val="22"/>
        </w:rPr>
        <w:t>virtualizačné</w:t>
      </w:r>
      <w:proofErr w:type="spellEnd"/>
      <w:r w:rsidRPr="00900672">
        <w:rPr>
          <w:rFonts w:ascii="Arial" w:hAnsi="Arial" w:cs="Arial"/>
          <w:sz w:val="22"/>
          <w:szCs w:val="22"/>
        </w:rPr>
        <w:t xml:space="preserve"> prostredia,</w:t>
      </w:r>
    </w:p>
    <w:p w14:paraId="55012E84" w14:textId="6FCE621F" w:rsidR="00900672" w:rsidRPr="00900672" w:rsidRDefault="001679E0" w:rsidP="00163F95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535C5622" w:rsidR="00900672" w:rsidRPr="00900672" w:rsidRDefault="001679E0" w:rsidP="00163F95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650C67C1" w:rsidR="00900672" w:rsidRPr="00900672" w:rsidRDefault="001679E0" w:rsidP="00163F95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05F36057" w:rsidR="00900672" w:rsidRPr="00900672" w:rsidRDefault="001679E0" w:rsidP="00163F95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D93659D" w:rsidR="00900672" w:rsidRPr="00900672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04D5EC93" w:rsidR="00900672" w:rsidRPr="00900672" w:rsidRDefault="001679E0" w:rsidP="00163F95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Vzájomné oddelenie </w:t>
      </w:r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vývojového, integračného, </w:t>
      </w:r>
      <w:proofErr w:type="spellStart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>predprodukčného</w:t>
      </w:r>
      <w:proofErr w:type="spellEnd"/>
      <w:r w:rsidR="1FAF41AA" w:rsidRPr="00F50A0B">
        <w:rPr>
          <w:rFonts w:ascii="Arial" w:eastAsia="Arial" w:hAnsi="Arial" w:cs="Arial"/>
          <w:color w:val="auto"/>
          <w:sz w:val="22"/>
          <w:szCs w:val="22"/>
        </w:rPr>
        <w:t xml:space="preserve"> a produkčného prostredia</w:t>
      </w:r>
      <w:r w:rsidRPr="00F50A0B">
        <w:rPr>
          <w:rFonts w:ascii="Arial" w:hAnsi="Arial" w:cs="Arial"/>
          <w:color w:val="auto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na prevenciu neautorizovaného prístupu</w:t>
      </w:r>
      <w:r w:rsidR="00900672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127E8C2A" w:rsidR="00900672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29FF6A05" w:rsidR="00093956" w:rsidRPr="00093956" w:rsidRDefault="001679E0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5EE33F5B" w:rsidR="00093956" w:rsidRPr="00093956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373A5E4F" w:rsidR="00093956" w:rsidRPr="00093956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 xml:space="preserve">softvérových balíkov a aktualizácií riadne vydaných </w:t>
      </w:r>
      <w:r w:rsidR="00886365">
        <w:rPr>
          <w:rFonts w:ascii="Arial" w:hAnsi="Arial" w:cs="Arial"/>
          <w:sz w:val="22"/>
          <w:szCs w:val="22"/>
        </w:rPr>
        <w:t>D</w:t>
      </w:r>
      <w:r w:rsidR="00886365" w:rsidRPr="44FF74BD">
        <w:rPr>
          <w:rFonts w:ascii="Arial" w:hAnsi="Arial" w:cs="Arial"/>
          <w:sz w:val="22"/>
          <w:szCs w:val="22"/>
        </w:rPr>
        <w:t xml:space="preserve">odávateľom </w:t>
      </w:r>
      <w:r w:rsidRPr="44FF74BD">
        <w:rPr>
          <w:rFonts w:ascii="Arial" w:hAnsi="Arial" w:cs="Arial"/>
          <w:sz w:val="22"/>
          <w:szCs w:val="22"/>
        </w:rPr>
        <w:t>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337EBD4A" w:rsidR="00093956" w:rsidRPr="00093956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077D27E2" w:rsidR="00093956" w:rsidRPr="00093956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015F3A4B" w:rsidR="00231966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6C457DFD" w:rsid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7C7B54EA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r w:rsidR="44FF74BD" w:rsidRPr="44FF74BD">
        <w:rPr>
          <w:rFonts w:ascii="Arial" w:hAnsi="Arial" w:cs="Arial"/>
          <w:sz w:val="22"/>
          <w:szCs w:val="22"/>
        </w:rPr>
        <w:t>:</w:t>
      </w:r>
    </w:p>
    <w:p w14:paraId="36962C65" w14:textId="12D8F694" w:rsidR="00FA25BD" w:rsidRPr="00FA25BD" w:rsidRDefault="001679E0" w:rsidP="00163F95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293B9265" w:rsidR="00FA25BD" w:rsidRPr="00FA25BD" w:rsidRDefault="001679E0" w:rsidP="00163F95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608BEBE2" w:rsidR="00FA25BD" w:rsidRPr="00FA25BD" w:rsidRDefault="001679E0" w:rsidP="00163F95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5CD2C903" w:rsidR="00FA25BD" w:rsidRPr="00FA25BD" w:rsidRDefault="001679E0" w:rsidP="00163F95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24AF638E" w:rsidR="00FA25BD" w:rsidRPr="00FA25BD" w:rsidRDefault="001679E0" w:rsidP="00163F95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29FEEFC5" w:rsidR="00FA25BD" w:rsidRDefault="001679E0" w:rsidP="00163F95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14D2C62B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6C695762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4DE5FFC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582EF0CC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028EB6DA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Preskúmavanie a odstraňovanie zraniteľností sa vykoná najmenej každých šesť</w:t>
      </w:r>
      <w:r w:rsidR="00886365">
        <w:rPr>
          <w:rFonts w:ascii="Arial" w:hAnsi="Arial" w:cs="Arial"/>
          <w:sz w:val="22"/>
          <w:szCs w:val="22"/>
        </w:rPr>
        <w:t xml:space="preserve"> (6)</w:t>
      </w:r>
      <w:r w:rsidRPr="44FF74BD">
        <w:rPr>
          <w:rFonts w:ascii="Arial" w:hAnsi="Arial" w:cs="Arial"/>
          <w:sz w:val="22"/>
          <w:szCs w:val="22"/>
        </w:rPr>
        <w:t xml:space="preserve"> mesiacov.</w:t>
      </w:r>
    </w:p>
    <w:p w14:paraId="45EBB776" w14:textId="55EE8FB1" w:rsidR="00FA25BD" w:rsidRPr="00FA25BD" w:rsidRDefault="001679E0" w:rsidP="00163F95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1D331334" w:rsidR="00FA25BD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6CA598C" w:rsidR="007F7E9D" w:rsidRPr="007F7E9D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523D814B" w:rsidR="007F7E9D" w:rsidRPr="007F7E9D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E299407" w:rsidR="007F7E9D" w:rsidRPr="007F7E9D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na:</w:t>
      </w:r>
    </w:p>
    <w:p w14:paraId="03EA8577" w14:textId="6D99B33C" w:rsidR="007F7E9D" w:rsidRPr="007F7E9D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 xml:space="preserve">používanie prenosných médií, napríklad USB kľúče, </w:t>
      </w:r>
      <w:proofErr w:type="spellStart"/>
      <w:r w:rsidRPr="007F7E9D">
        <w:rPr>
          <w:rFonts w:ascii="Arial" w:hAnsi="Arial" w:cs="Arial"/>
          <w:sz w:val="22"/>
          <w:szCs w:val="22"/>
        </w:rPr>
        <w:t>flash</w:t>
      </w:r>
      <w:proofErr w:type="spellEnd"/>
      <w:r w:rsidRPr="007F7E9D">
        <w:rPr>
          <w:rFonts w:ascii="Arial" w:hAnsi="Arial" w:cs="Arial"/>
          <w:sz w:val="22"/>
          <w:szCs w:val="22"/>
        </w:rPr>
        <w:t xml:space="preserve"> disky, CD, DVD,</w:t>
      </w:r>
    </w:p>
    <w:p w14:paraId="7296F38C" w14:textId="73B6AF2B" w:rsidR="007F7E9D" w:rsidRPr="007F7E9D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</w:t>
      </w:r>
      <w:r w:rsidR="00886365">
        <w:rPr>
          <w:rFonts w:ascii="Arial" w:hAnsi="Arial" w:cs="Arial"/>
          <w:sz w:val="22"/>
          <w:szCs w:val="22"/>
        </w:rPr>
        <w:t>-</w:t>
      </w:r>
      <w:r w:rsidRPr="007F7E9D">
        <w:rPr>
          <w:rFonts w:ascii="Arial" w:hAnsi="Arial" w:cs="Arial"/>
          <w:sz w:val="22"/>
          <w:szCs w:val="22"/>
        </w:rPr>
        <w:t>mailové prílohy a odkazy,</w:t>
      </w:r>
    </w:p>
    <w:p w14:paraId="25B5421E" w14:textId="1DD02DF9" w:rsidR="007F7E9D" w:rsidRPr="007F7E9D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1629669C" w:rsidR="007F7E9D" w:rsidRPr="007F7E9D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6575E0A3" w:rsidR="007F7E9D" w:rsidRPr="007F7E9D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1FAF0A71" w:rsidR="00E37F7A" w:rsidRPr="00E37F7A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285E55B0" w:rsidR="00E37F7A" w:rsidRPr="00E37F7A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rozsahu:</w:t>
      </w:r>
    </w:p>
    <w:p w14:paraId="497ABF4B" w14:textId="5CE8EF16" w:rsidR="00373A12" w:rsidRPr="00373A12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16CF9C26" w:rsidR="00373A12" w:rsidRPr="00373A12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09285D70" w:rsidR="00373A12" w:rsidRPr="00373A12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0BA471E3" w:rsidR="00373A12" w:rsidRPr="00373A12" w:rsidRDefault="001679E0" w:rsidP="00163F95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47A32347" w:rsidR="00256995" w:rsidRPr="00256995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596D79EE" w:rsidR="00256995" w:rsidRPr="00256995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5A20B534" w:rsidR="00256995" w:rsidRPr="00256995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5494812F" w:rsidR="00256995" w:rsidRPr="00256995" w:rsidRDefault="001679E0" w:rsidP="00163F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31822F63" w:rsidR="00256995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19F94EB9" w:rsidR="00DC5393" w:rsidRPr="00DC5393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1E9440DA" w:rsidR="00DC5393" w:rsidRPr="00DC5393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6E2A67E9" w:rsidR="00DC5393" w:rsidRPr="0018464F" w:rsidRDefault="001679E0" w:rsidP="00163F95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 xml:space="preserve">pravidelná aktualizácia </w:t>
      </w:r>
      <w:proofErr w:type="spellStart"/>
      <w:r w:rsidRPr="1FAF41AA">
        <w:rPr>
          <w:rFonts w:ascii="Arial" w:hAnsi="Arial" w:cs="Arial"/>
          <w:sz w:val="22"/>
          <w:szCs w:val="22"/>
        </w:rPr>
        <w:t>firmvéru</w:t>
      </w:r>
      <w:proofErr w:type="spellEnd"/>
      <w:r w:rsidRPr="1FAF41AA">
        <w:rPr>
          <w:rFonts w:ascii="Arial" w:hAnsi="Arial" w:cs="Arial"/>
          <w:sz w:val="22"/>
          <w:szCs w:val="22"/>
        </w:rPr>
        <w:t>,</w:t>
      </w:r>
    </w:p>
    <w:p w14:paraId="571A88BB" w14:textId="7F48A087" w:rsidR="00DC5393" w:rsidRPr="0018464F" w:rsidRDefault="001679E0" w:rsidP="00163F95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54F61BB4" w:rsidR="00DC5393" w:rsidRPr="0018464F" w:rsidRDefault="001679E0" w:rsidP="00163F95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6AB2A795" w:rsidR="00DC5393" w:rsidRPr="0018464F" w:rsidRDefault="001679E0" w:rsidP="00163F95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887591B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6BAB74E6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29B8BE52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1267E9BB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1504CFCE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6AF543D3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1B1862AE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346B47F6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2FE8D477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0A073350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26CF444" w:rsidR="00A41284" w:rsidRPr="00A41284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1D9DF6AF" w:rsidR="004937EE" w:rsidRPr="004937EE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0E7A8FE8" w:rsidR="004937EE" w:rsidRPr="004937EE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10165AB7" w:rsidR="004937EE" w:rsidRPr="004937EE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44D8BCB5" w:rsidR="004937EE" w:rsidRPr="004937EE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 xml:space="preserve">Dodávateľ implementuje technológiu detekcie a prevencie prieniku IPS najmenej na </w:t>
      </w:r>
      <w:proofErr w:type="spellStart"/>
      <w:r w:rsidRPr="004937EE">
        <w:rPr>
          <w:rFonts w:ascii="Arial" w:hAnsi="Arial" w:cs="Arial"/>
          <w:sz w:val="22"/>
          <w:szCs w:val="22"/>
        </w:rPr>
        <w:t>perimetri</w:t>
      </w:r>
      <w:proofErr w:type="spellEnd"/>
      <w:r w:rsidRPr="004937EE">
        <w:rPr>
          <w:rFonts w:ascii="Arial" w:hAnsi="Arial" w:cs="Arial"/>
          <w:sz w:val="22"/>
          <w:szCs w:val="22"/>
        </w:rPr>
        <w:t xml:space="preserve">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E18C9CC" w:rsidR="004937EE" w:rsidRPr="004937EE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6B335587" w:rsidR="004937EE" w:rsidRPr="004937EE" w:rsidRDefault="001679E0" w:rsidP="00163F95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5EA94946" w:rsidR="004937EE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J. Akvizícia, vývoj a údržba informačných technológií verejnej správy</w:t>
      </w:r>
    </w:p>
    <w:p w14:paraId="24DD6B46" w14:textId="19F2DC82" w:rsidR="00996A46" w:rsidRPr="00996A4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621256F2" w:rsidR="00996A46" w:rsidRPr="00996A4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32232012" w:rsidR="00996A46" w:rsidRPr="00996A4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0577B76" w:rsidR="00996A46" w:rsidRPr="00996A4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1E8A9444" w:rsidR="00996A46" w:rsidRPr="00996A4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30E9DC3E" w:rsidR="00996A46" w:rsidRPr="00996A4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094E651D" w:rsidR="000004D6" w:rsidRPr="000004D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12CC839E" w:rsidR="000004D6" w:rsidRPr="000004D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3CF23E13" w:rsidR="000004D6" w:rsidRPr="000004D6" w:rsidRDefault="001679E0" w:rsidP="00163F95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57202A0" w:rsidR="003E0A99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2EED8DE3" w:rsidR="000004D6" w:rsidRPr="003E0A99" w:rsidRDefault="001679E0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85AD24C" w:rsidR="003E0A99" w:rsidRPr="003E0A99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083E935A" w:rsidR="003E0A99" w:rsidRPr="003E0A99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2A2599DB" w:rsidR="003E0A99" w:rsidRPr="003E0A99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42C03887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A6060E8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6EE93D1E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5597A77E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56905B0B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09F069F4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1981010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 xml:space="preserve">aktivácia a </w:t>
      </w:r>
      <w:proofErr w:type="spellStart"/>
      <w:r w:rsidRPr="00CA0D66">
        <w:rPr>
          <w:rFonts w:ascii="Arial" w:hAnsi="Arial" w:cs="Arial"/>
          <w:sz w:val="22"/>
          <w:szCs w:val="22"/>
        </w:rPr>
        <w:t>deaktivácia</w:t>
      </w:r>
      <w:proofErr w:type="spellEnd"/>
      <w:r w:rsidRPr="00CA0D66">
        <w:rPr>
          <w:rFonts w:ascii="Arial" w:hAnsi="Arial" w:cs="Arial"/>
          <w:sz w:val="22"/>
          <w:szCs w:val="22"/>
        </w:rPr>
        <w:t xml:space="preserve"> bezpečnostných mechanizmov,</w:t>
      </w:r>
    </w:p>
    <w:p w14:paraId="60920F8A" w14:textId="29990B25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06C51311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2DEF7BCF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lastRenderedPageBreak/>
        <w:t>spustenie, vypnutie, reštartovanie systému alebo aplikácie, chyby a výnimky,</w:t>
      </w:r>
    </w:p>
    <w:p w14:paraId="331DE1B4" w14:textId="1FE67334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695DE4E9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40ADD8E2" w:rsidR="00CA0D66" w:rsidRPr="00CA0D66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64485147" w:rsidR="00A644FF" w:rsidRPr="00A644FF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01FAB60F" w:rsidR="00A644FF" w:rsidRPr="00A644FF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1600B9F3" w:rsidR="00A644FF" w:rsidRPr="00A644FF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14CDC8CF" w:rsidR="00A644FF" w:rsidRPr="00A644FF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057DCAE" w:rsidR="00A644FF" w:rsidRPr="00A644FF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3B68B5" w:rsidR="00A644FF" w:rsidRPr="00A644FF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F8EEAF4" w:rsidR="00A644FF" w:rsidRPr="00A644FF" w:rsidRDefault="001679E0" w:rsidP="00163F95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6EB59A7E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 xml:space="preserve">Záznamy udalostí sa uchovávajú najmenej šesť </w:t>
      </w:r>
      <w:r w:rsidR="00886365">
        <w:rPr>
          <w:rFonts w:ascii="Arial" w:hAnsi="Arial" w:cs="Arial"/>
          <w:sz w:val="22"/>
          <w:szCs w:val="22"/>
        </w:rPr>
        <w:t xml:space="preserve">(6) </w:t>
      </w:r>
      <w:r w:rsidRPr="00F72D1A">
        <w:rPr>
          <w:rFonts w:ascii="Arial" w:hAnsi="Arial" w:cs="Arial"/>
          <w:sz w:val="22"/>
          <w:szCs w:val="22"/>
        </w:rPr>
        <w:t>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66DE40F5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440CD92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064AE73D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2A105B98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BF5C92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63378AF9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5C4177C1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3C614558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02C182AD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3A01F61E" w:rsidR="00F72D1A" w:rsidRPr="00F72D1A" w:rsidRDefault="001679E0" w:rsidP="00163F95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0CE1D47F" w:rsidR="00F72D1A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4D27352B" w:rsidR="00E516CB" w:rsidRPr="00E516CB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56066A49" w:rsidR="00E516CB" w:rsidRPr="00E516CB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5B3C521B" w:rsidR="00E516CB" w:rsidRPr="00E516CB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1E952477" w:rsidR="00E516CB" w:rsidRPr="00E516CB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18481B3C" w:rsidR="00E516CB" w:rsidRPr="00E516CB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pravidlá:</w:t>
      </w:r>
    </w:p>
    <w:p w14:paraId="0995667A" w14:textId="34298895" w:rsidR="00B7070D" w:rsidRPr="00B7070D" w:rsidRDefault="001679E0" w:rsidP="00163F95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46F8F046" w:rsidR="00B7070D" w:rsidRPr="00B7070D" w:rsidRDefault="001679E0" w:rsidP="00163F95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BC717BE" w:rsidR="00B7070D" w:rsidRPr="00B7070D" w:rsidRDefault="001679E0" w:rsidP="00163F95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mimo určených priestorov,</w:t>
      </w:r>
    </w:p>
    <w:p w14:paraId="34A36763" w14:textId="656E95B7" w:rsidR="00B7070D" w:rsidRPr="00B7070D" w:rsidRDefault="001679E0" w:rsidP="00163F95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402434FA" w:rsidR="00B7070D" w:rsidRPr="00B7070D" w:rsidRDefault="001679E0" w:rsidP="00163F95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238E5D3E" w:rsidR="00B7070D" w:rsidRPr="00B7070D" w:rsidRDefault="001679E0" w:rsidP="00163F95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10879E0F" w:rsidR="00143B79" w:rsidRPr="00143B79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09BA0647" w:rsidR="00143B79" w:rsidRPr="00143B79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1756CBFF" w:rsidR="00143B79" w:rsidRPr="00143B79" w:rsidRDefault="001679E0" w:rsidP="00163F95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6A52EC8C" w:rsidR="00143B79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4400B54B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2A832A0A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3ACD5242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1FAF41AA">
        <w:rPr>
          <w:rFonts w:ascii="Arial" w:hAnsi="Arial" w:cs="Arial"/>
          <w:sz w:val="22"/>
          <w:szCs w:val="22"/>
        </w:rPr>
        <w:t>Interný riadiaci akt obsahuje aktuálne kontaktné údaje správcov jednotlivých komponentov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1FAF41AA">
        <w:rPr>
          <w:rFonts w:ascii="Arial" w:hAnsi="Arial" w:cs="Arial"/>
          <w:sz w:val="22"/>
          <w:szCs w:val="22"/>
        </w:rPr>
        <w:t xml:space="preserve"> </w:t>
      </w:r>
      <w:r w:rsidRPr="1FAF41AA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6750D848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4B690B90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210BDDA8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58EBCFD5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67A30052" w:rsidR="00FF57C7" w:rsidRPr="00FF57C7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B8CEBF8" w:rsidR="00984079" w:rsidRPr="00984079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3F67C6C1" w:rsidR="00984079" w:rsidRPr="00984079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258E90F" w:rsidR="00984079" w:rsidRPr="00984079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623729F4" w:rsidR="00984079" w:rsidRPr="00984079" w:rsidRDefault="001679E0" w:rsidP="00163F95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40C76352" w:rsidR="00984079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0F8D7D27" w:rsidR="00B5390A" w:rsidRPr="00B5390A" w:rsidRDefault="001679E0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  <w:r w:rsidR="00886365">
        <w:rPr>
          <w:rFonts w:ascii="Arial" w:hAnsi="Arial" w:cs="Arial"/>
          <w:sz w:val="22"/>
        </w:rPr>
        <w:t>.</w:t>
      </w:r>
    </w:p>
    <w:p w14:paraId="7120E243" w14:textId="04B9BD6D" w:rsidR="00D217F5" w:rsidRPr="00D217F5" w:rsidRDefault="001679E0" w:rsidP="00163F9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4CA4A81D" w:rsidR="00D217F5" w:rsidRPr="00D217F5" w:rsidRDefault="001679E0" w:rsidP="00163F9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12D149A7" w:rsidR="00D217F5" w:rsidRPr="00D217F5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54DBDA9C" w:rsidR="00D217F5" w:rsidRPr="00D217F5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2F2B5D90" w:rsidR="00D217F5" w:rsidRPr="00D217F5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</w:t>
      </w:r>
      <w:r w:rsidR="00886365">
        <w:rPr>
          <w:rFonts w:ascii="Arial" w:hAnsi="Arial" w:cs="Arial"/>
          <w:sz w:val="22"/>
          <w:szCs w:val="22"/>
        </w:rPr>
        <w:t>-</w:t>
      </w:r>
      <w:r w:rsidRPr="00D217F5">
        <w:rPr>
          <w:rFonts w:ascii="Arial" w:hAnsi="Arial" w:cs="Arial"/>
          <w:sz w:val="22"/>
          <w:szCs w:val="22"/>
        </w:rPr>
        <w:t>mailovej komunikácie prostredníctvom PGP alebo S/MIME,</w:t>
      </w:r>
    </w:p>
    <w:p w14:paraId="1722375F" w14:textId="4A184057" w:rsidR="00D217F5" w:rsidRPr="00D217F5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21D78330" w:rsidR="00D217F5" w:rsidRPr="00D217F5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53E32700" w:rsidR="00D217F5" w:rsidRPr="00D217F5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573CC3C3" w:rsidR="001235BD" w:rsidRPr="001235BD" w:rsidRDefault="001679E0" w:rsidP="00163F9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najmä:</w:t>
      </w:r>
    </w:p>
    <w:p w14:paraId="52DF8DFF" w14:textId="6ED05BDF" w:rsidR="001235BD" w:rsidRPr="001235BD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13E5F7D8" w:rsidR="001235BD" w:rsidRPr="001235BD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5AFD51B7" w:rsidR="001235BD" w:rsidRPr="001235BD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585FDBFE" w:rsidR="001235BD" w:rsidRPr="001235BD" w:rsidRDefault="001679E0" w:rsidP="00163F9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5DF86C1" w:rsidR="0062410A" w:rsidRPr="0062410A" w:rsidRDefault="001679E0" w:rsidP="00163F9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06DBA4C1" w:rsidR="0062410A" w:rsidRPr="0062410A" w:rsidRDefault="001679E0" w:rsidP="00163F9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0CF6BE72" w:rsidR="0062410A" w:rsidRPr="00DD5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DD5620">
        <w:rPr>
          <w:rFonts w:ascii="Arial" w:hAnsi="Arial" w:cs="Arial"/>
          <w:b/>
          <w:bCs/>
          <w:color w:val="000000"/>
          <w:u w:val="single"/>
        </w:rPr>
        <w:t>O. Kontinuita prevádzky informačných technológií verejnej správy</w:t>
      </w:r>
    </w:p>
    <w:p w14:paraId="08E05E22" w14:textId="511CEFC6" w:rsidR="006350B7" w:rsidRPr="006350B7" w:rsidRDefault="001679E0" w:rsidP="00163F95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05C4F388" w:rsidR="006350B7" w:rsidRPr="006350B7" w:rsidRDefault="001679E0" w:rsidP="00163F95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1C14F4B0" w:rsidR="006350B7" w:rsidRPr="006350B7" w:rsidRDefault="001679E0" w:rsidP="00163F95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BC7DF22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4174014C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5098C44E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6797CE0E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4762E922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44766356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4AD5B78D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4A7D72C6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3F3B2BB4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20D02D37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lastRenderedPageBreak/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181D5A4C" w:rsidR="008476BF" w:rsidRPr="008476BF" w:rsidRDefault="001679E0" w:rsidP="00163F95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45D22D03" w:rsidR="008476BF" w:rsidRDefault="001679E0" w:rsidP="00163F95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62448CE" w:rsidR="008476BF" w:rsidRPr="005C7620" w:rsidRDefault="001679E0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P. Audit a kontrolné činnosti</w:t>
      </w:r>
    </w:p>
    <w:p w14:paraId="03378F43" w14:textId="256B832B" w:rsidR="00306E37" w:rsidRPr="00A300B4" w:rsidRDefault="001679E0" w:rsidP="00163F95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="00886365">
        <w:rPr>
          <w:rFonts w:ascii="Arial" w:hAnsi="Arial" w:cs="Arial"/>
          <w:sz w:val="22"/>
          <w:szCs w:val="22"/>
        </w:rPr>
        <w:t>z</w:t>
      </w:r>
      <w:r w:rsidR="00886365" w:rsidRPr="00A300B4">
        <w:rPr>
          <w:rFonts w:ascii="Arial" w:hAnsi="Arial" w:cs="Arial"/>
          <w:sz w:val="22"/>
          <w:szCs w:val="22"/>
        </w:rPr>
        <w:t>mluvy</w:t>
      </w:r>
      <w:r w:rsidRPr="00A300B4">
        <w:rPr>
          <w:rFonts w:ascii="Arial" w:hAnsi="Arial" w:cs="Arial"/>
          <w:sz w:val="22"/>
          <w:szCs w:val="22"/>
        </w:rPr>
        <w:t>.</w:t>
      </w:r>
    </w:p>
    <w:p w14:paraId="7BB0753F" w14:textId="16335CB3" w:rsidR="00306E37" w:rsidRPr="00A300B4" w:rsidRDefault="001679E0" w:rsidP="00163F95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ABFA997" w:rsidR="00306E37" w:rsidRPr="00A300B4" w:rsidRDefault="001679E0" w:rsidP="00163F95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2C9EB049" w:rsidR="00306E37" w:rsidRPr="00A300B4" w:rsidRDefault="001679E0" w:rsidP="00163F95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23D514C6" w:rsidR="001679E0" w:rsidRPr="00FA25BD" w:rsidRDefault="001679E0" w:rsidP="00163F95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Odsekzoznamu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Odsekzoznamu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5EE57D36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5EE57D36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5EE57D36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5EE57D36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5EE57D36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6A8AD742" w14:textId="77777777" w:rsidTr="5EE57D36">
        <w:tc>
          <w:tcPr>
            <w:tcW w:w="1925" w:type="dxa"/>
          </w:tcPr>
          <w:p w14:paraId="0E0C0DCA" w14:textId="36D519A5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Default="5EE57D36" w:rsidP="009929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5EE57D36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5EE57D36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5EE57D36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5EE57D36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5EE57D36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14:paraId="71A8C07D" w14:textId="77777777" w:rsidTr="5EE57D36">
        <w:tc>
          <w:tcPr>
            <w:tcW w:w="1925" w:type="dxa"/>
          </w:tcPr>
          <w:p w14:paraId="60ED09C6" w14:textId="505D3682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Default="5EE57D36" w:rsidP="009929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E57D3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headerReference w:type="default" r:id="rId15"/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1BBDF" w14:textId="77777777" w:rsidR="00683282" w:rsidRDefault="00683282" w:rsidP="000C038A">
      <w:pPr>
        <w:spacing w:after="0" w:line="240" w:lineRule="auto"/>
      </w:pPr>
      <w:r>
        <w:separator/>
      </w:r>
    </w:p>
  </w:endnote>
  <w:endnote w:type="continuationSeparator" w:id="0">
    <w:p w14:paraId="5A8EB926" w14:textId="77777777" w:rsidR="00683282" w:rsidRDefault="00683282" w:rsidP="000C038A">
      <w:pPr>
        <w:spacing w:after="0" w:line="240" w:lineRule="auto"/>
      </w:pPr>
      <w:r>
        <w:continuationSeparator/>
      </w:r>
    </w:p>
  </w:endnote>
  <w:endnote w:type="continuationNotice" w:id="1">
    <w:p w14:paraId="32927B52" w14:textId="77777777" w:rsidR="00683282" w:rsidRDefault="00683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747F9266" w:rsidR="0023080B" w:rsidRDefault="0023080B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F9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23080B" w:rsidRDefault="0023080B">
    <w:pPr>
      <w:pStyle w:val="Pta"/>
      <w:jc w:val="right"/>
    </w:pPr>
  </w:p>
  <w:p w14:paraId="29590301" w14:textId="77777777" w:rsidR="0023080B" w:rsidRDefault="002308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F28" w14:textId="77777777" w:rsidR="00683282" w:rsidRDefault="00683282" w:rsidP="000C038A">
      <w:pPr>
        <w:spacing w:after="0" w:line="240" w:lineRule="auto"/>
      </w:pPr>
      <w:r>
        <w:separator/>
      </w:r>
    </w:p>
  </w:footnote>
  <w:footnote w:type="continuationSeparator" w:id="0">
    <w:p w14:paraId="021B3423" w14:textId="77777777" w:rsidR="00683282" w:rsidRDefault="00683282" w:rsidP="000C038A">
      <w:pPr>
        <w:spacing w:after="0" w:line="240" w:lineRule="auto"/>
      </w:pPr>
      <w:r>
        <w:continuationSeparator/>
      </w:r>
    </w:p>
  </w:footnote>
  <w:footnote w:type="continuationNotice" w:id="1">
    <w:p w14:paraId="235346D5" w14:textId="77777777" w:rsidR="00683282" w:rsidRDefault="006832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7BDA" w14:textId="77777777" w:rsidR="0023080B" w:rsidRDefault="002308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83324D"/>
    <w:multiLevelType w:val="hybridMultilevel"/>
    <w:tmpl w:val="D38067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9">
      <w:start w:val="1"/>
      <w:numFmt w:val="lowerLetter"/>
      <w:lvlText w:val="%4.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4F4A2B"/>
    <w:multiLevelType w:val="hybridMultilevel"/>
    <w:tmpl w:val="22B83B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6"/>
  </w:num>
  <w:num w:numId="4">
    <w:abstractNumId w:val="5"/>
  </w:num>
  <w:num w:numId="5">
    <w:abstractNumId w:val="1"/>
  </w:num>
  <w:num w:numId="6">
    <w:abstractNumId w:val="0"/>
  </w:num>
  <w:num w:numId="7">
    <w:abstractNumId w:val="23"/>
  </w:num>
  <w:num w:numId="8">
    <w:abstractNumId w:val="45"/>
  </w:num>
  <w:num w:numId="9">
    <w:abstractNumId w:val="69"/>
  </w:num>
  <w:num w:numId="10">
    <w:abstractNumId w:val="38"/>
  </w:num>
  <w:num w:numId="11">
    <w:abstractNumId w:val="18"/>
  </w:num>
  <w:num w:numId="12">
    <w:abstractNumId w:val="7"/>
  </w:num>
  <w:num w:numId="13">
    <w:abstractNumId w:val="3"/>
  </w:num>
  <w:num w:numId="14">
    <w:abstractNumId w:val="6"/>
  </w:num>
  <w:num w:numId="15">
    <w:abstractNumId w:val="54"/>
  </w:num>
  <w:num w:numId="16">
    <w:abstractNumId w:val="65"/>
  </w:num>
  <w:num w:numId="17">
    <w:abstractNumId w:val="4"/>
  </w:num>
  <w:num w:numId="18">
    <w:abstractNumId w:val="27"/>
  </w:num>
  <w:num w:numId="19">
    <w:abstractNumId w:val="53"/>
  </w:num>
  <w:num w:numId="20">
    <w:abstractNumId w:val="17"/>
  </w:num>
  <w:num w:numId="21">
    <w:abstractNumId w:val="33"/>
  </w:num>
  <w:num w:numId="22">
    <w:abstractNumId w:val="68"/>
  </w:num>
  <w:num w:numId="23">
    <w:abstractNumId w:val="43"/>
  </w:num>
  <w:num w:numId="24">
    <w:abstractNumId w:val="20"/>
  </w:num>
  <w:num w:numId="25">
    <w:abstractNumId w:val="16"/>
  </w:num>
  <w:num w:numId="26">
    <w:abstractNumId w:val="21"/>
  </w:num>
  <w:num w:numId="27">
    <w:abstractNumId w:val="55"/>
  </w:num>
  <w:num w:numId="28">
    <w:abstractNumId w:val="51"/>
  </w:num>
  <w:num w:numId="29">
    <w:abstractNumId w:val="14"/>
  </w:num>
  <w:num w:numId="30">
    <w:abstractNumId w:val="30"/>
  </w:num>
  <w:num w:numId="31">
    <w:abstractNumId w:val="13"/>
  </w:num>
  <w:num w:numId="32">
    <w:abstractNumId w:val="58"/>
  </w:num>
  <w:num w:numId="33">
    <w:abstractNumId w:val="71"/>
  </w:num>
  <w:num w:numId="34">
    <w:abstractNumId w:val="47"/>
  </w:num>
  <w:num w:numId="35">
    <w:abstractNumId w:val="15"/>
  </w:num>
  <w:num w:numId="36">
    <w:abstractNumId w:val="31"/>
  </w:num>
  <w:num w:numId="37">
    <w:abstractNumId w:val="44"/>
  </w:num>
  <w:num w:numId="38">
    <w:abstractNumId w:val="41"/>
  </w:num>
  <w:num w:numId="39">
    <w:abstractNumId w:val="49"/>
  </w:num>
  <w:num w:numId="40">
    <w:abstractNumId w:val="24"/>
  </w:num>
  <w:num w:numId="41">
    <w:abstractNumId w:val="64"/>
  </w:num>
  <w:num w:numId="42">
    <w:abstractNumId w:val="60"/>
  </w:num>
  <w:num w:numId="43">
    <w:abstractNumId w:val="48"/>
  </w:num>
  <w:num w:numId="44">
    <w:abstractNumId w:val="66"/>
  </w:num>
  <w:num w:numId="45">
    <w:abstractNumId w:val="61"/>
  </w:num>
  <w:num w:numId="46">
    <w:abstractNumId w:val="25"/>
  </w:num>
  <w:num w:numId="47">
    <w:abstractNumId w:val="36"/>
  </w:num>
  <w:num w:numId="48">
    <w:abstractNumId w:val="26"/>
  </w:num>
  <w:num w:numId="49">
    <w:abstractNumId w:val="62"/>
  </w:num>
  <w:num w:numId="50">
    <w:abstractNumId w:val="34"/>
  </w:num>
  <w:num w:numId="51">
    <w:abstractNumId w:val="59"/>
  </w:num>
  <w:num w:numId="52">
    <w:abstractNumId w:val="46"/>
  </w:num>
  <w:num w:numId="53">
    <w:abstractNumId w:val="57"/>
  </w:num>
  <w:num w:numId="54">
    <w:abstractNumId w:val="9"/>
  </w:num>
  <w:num w:numId="55">
    <w:abstractNumId w:val="72"/>
  </w:num>
  <w:num w:numId="56">
    <w:abstractNumId w:val="12"/>
  </w:num>
  <w:num w:numId="57">
    <w:abstractNumId w:val="39"/>
  </w:num>
  <w:num w:numId="58">
    <w:abstractNumId w:val="10"/>
  </w:num>
  <w:num w:numId="59">
    <w:abstractNumId w:val="70"/>
  </w:num>
  <w:num w:numId="60">
    <w:abstractNumId w:val="67"/>
  </w:num>
  <w:num w:numId="61">
    <w:abstractNumId w:val="63"/>
  </w:num>
  <w:num w:numId="62">
    <w:abstractNumId w:val="40"/>
  </w:num>
  <w:num w:numId="63">
    <w:abstractNumId w:val="19"/>
  </w:num>
  <w:num w:numId="64">
    <w:abstractNumId w:val="52"/>
  </w:num>
  <w:num w:numId="65">
    <w:abstractNumId w:val="29"/>
  </w:num>
  <w:num w:numId="66">
    <w:abstractNumId w:val="22"/>
  </w:num>
  <w:num w:numId="67">
    <w:abstractNumId w:val="50"/>
  </w:num>
  <w:num w:numId="68">
    <w:abstractNumId w:val="32"/>
  </w:num>
  <w:num w:numId="69">
    <w:abstractNumId w:val="28"/>
  </w:num>
  <w:num w:numId="70">
    <w:abstractNumId w:val="42"/>
  </w:num>
  <w:num w:numId="71">
    <w:abstractNumId w:val="37"/>
  </w:num>
  <w:num w:numId="72">
    <w:abstractNumId w:val="35"/>
  </w:num>
  <w:num w:numId="73">
    <w:abstractNumId w:val="1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146B8"/>
    <w:rsid w:val="0002259D"/>
    <w:rsid w:val="00027318"/>
    <w:rsid w:val="0003217F"/>
    <w:rsid w:val="00035F30"/>
    <w:rsid w:val="00041E62"/>
    <w:rsid w:val="00045DD1"/>
    <w:rsid w:val="000578AF"/>
    <w:rsid w:val="000579F3"/>
    <w:rsid w:val="00057EE1"/>
    <w:rsid w:val="000624BA"/>
    <w:rsid w:val="00064380"/>
    <w:rsid w:val="00066674"/>
    <w:rsid w:val="000708CF"/>
    <w:rsid w:val="00085898"/>
    <w:rsid w:val="0008795C"/>
    <w:rsid w:val="000908C7"/>
    <w:rsid w:val="000921D0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2639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9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F490B"/>
    <w:rsid w:val="001F7972"/>
    <w:rsid w:val="002028B8"/>
    <w:rsid w:val="00202FB5"/>
    <w:rsid w:val="0020416D"/>
    <w:rsid w:val="00212EA0"/>
    <w:rsid w:val="002155AD"/>
    <w:rsid w:val="00215FE2"/>
    <w:rsid w:val="00217A4C"/>
    <w:rsid w:val="00217CED"/>
    <w:rsid w:val="002301C2"/>
    <w:rsid w:val="0023080B"/>
    <w:rsid w:val="00231966"/>
    <w:rsid w:val="00236114"/>
    <w:rsid w:val="00252D23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08CA"/>
    <w:rsid w:val="002C3F9E"/>
    <w:rsid w:val="002E2D24"/>
    <w:rsid w:val="002E3D46"/>
    <w:rsid w:val="002F2271"/>
    <w:rsid w:val="002F7AEB"/>
    <w:rsid w:val="00302E3D"/>
    <w:rsid w:val="00306E37"/>
    <w:rsid w:val="00307F73"/>
    <w:rsid w:val="00312609"/>
    <w:rsid w:val="00315DDE"/>
    <w:rsid w:val="0032249B"/>
    <w:rsid w:val="00323E4A"/>
    <w:rsid w:val="00336579"/>
    <w:rsid w:val="0033B76E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07D3"/>
    <w:rsid w:val="003859E4"/>
    <w:rsid w:val="00386BBA"/>
    <w:rsid w:val="00392AD8"/>
    <w:rsid w:val="003A1E90"/>
    <w:rsid w:val="003B3203"/>
    <w:rsid w:val="003D3F95"/>
    <w:rsid w:val="003D7A8D"/>
    <w:rsid w:val="003E0A99"/>
    <w:rsid w:val="003E47B1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87F88"/>
    <w:rsid w:val="004937EE"/>
    <w:rsid w:val="004A302A"/>
    <w:rsid w:val="004B66EC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38"/>
    <w:rsid w:val="00597FEA"/>
    <w:rsid w:val="005B1A51"/>
    <w:rsid w:val="005B54BA"/>
    <w:rsid w:val="005B5CBC"/>
    <w:rsid w:val="005B5FC5"/>
    <w:rsid w:val="005C4563"/>
    <w:rsid w:val="005C7620"/>
    <w:rsid w:val="005D1A80"/>
    <w:rsid w:val="005D2F73"/>
    <w:rsid w:val="005D37DC"/>
    <w:rsid w:val="005D488D"/>
    <w:rsid w:val="005E0EF4"/>
    <w:rsid w:val="005E3EC8"/>
    <w:rsid w:val="005F157C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83282"/>
    <w:rsid w:val="00691168"/>
    <w:rsid w:val="0069609E"/>
    <w:rsid w:val="006A39BC"/>
    <w:rsid w:val="006C473D"/>
    <w:rsid w:val="006C56D3"/>
    <w:rsid w:val="006D4589"/>
    <w:rsid w:val="006D7B8D"/>
    <w:rsid w:val="006E031C"/>
    <w:rsid w:val="006E3FE7"/>
    <w:rsid w:val="006E4160"/>
    <w:rsid w:val="006E64A0"/>
    <w:rsid w:val="006F671E"/>
    <w:rsid w:val="00700041"/>
    <w:rsid w:val="00722670"/>
    <w:rsid w:val="007340A4"/>
    <w:rsid w:val="00735BD3"/>
    <w:rsid w:val="0076471E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B42A0"/>
    <w:rsid w:val="007C27BA"/>
    <w:rsid w:val="007C5E2C"/>
    <w:rsid w:val="007C6958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11C8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48E8"/>
    <w:rsid w:val="00907438"/>
    <w:rsid w:val="00911C76"/>
    <w:rsid w:val="00914576"/>
    <w:rsid w:val="009215C2"/>
    <w:rsid w:val="0092477E"/>
    <w:rsid w:val="0093664F"/>
    <w:rsid w:val="009429A5"/>
    <w:rsid w:val="009445B4"/>
    <w:rsid w:val="00950985"/>
    <w:rsid w:val="009521E2"/>
    <w:rsid w:val="00963026"/>
    <w:rsid w:val="009731EE"/>
    <w:rsid w:val="00973556"/>
    <w:rsid w:val="00984079"/>
    <w:rsid w:val="0098634D"/>
    <w:rsid w:val="009924AF"/>
    <w:rsid w:val="009929F3"/>
    <w:rsid w:val="00996A46"/>
    <w:rsid w:val="009A4C9D"/>
    <w:rsid w:val="009B047E"/>
    <w:rsid w:val="009B091B"/>
    <w:rsid w:val="009B3E2A"/>
    <w:rsid w:val="009B5213"/>
    <w:rsid w:val="009D4F90"/>
    <w:rsid w:val="009EF60B"/>
    <w:rsid w:val="009F257A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1F44"/>
    <w:rsid w:val="00A53026"/>
    <w:rsid w:val="00A644FF"/>
    <w:rsid w:val="00A71209"/>
    <w:rsid w:val="00A77068"/>
    <w:rsid w:val="00A7753F"/>
    <w:rsid w:val="00A85FA1"/>
    <w:rsid w:val="00A870B2"/>
    <w:rsid w:val="00A97782"/>
    <w:rsid w:val="00AA0FB2"/>
    <w:rsid w:val="00AA4722"/>
    <w:rsid w:val="00AB2121"/>
    <w:rsid w:val="00AB24FB"/>
    <w:rsid w:val="00AB6EFC"/>
    <w:rsid w:val="00AB6F35"/>
    <w:rsid w:val="00AC14BC"/>
    <w:rsid w:val="00AC2EE1"/>
    <w:rsid w:val="00AC6735"/>
    <w:rsid w:val="00AD115A"/>
    <w:rsid w:val="00AD4632"/>
    <w:rsid w:val="00AD5812"/>
    <w:rsid w:val="00AE568A"/>
    <w:rsid w:val="00AE5841"/>
    <w:rsid w:val="00AE58B8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87352"/>
    <w:rsid w:val="00BB09F4"/>
    <w:rsid w:val="00BB0E79"/>
    <w:rsid w:val="00BB20ED"/>
    <w:rsid w:val="00BB37F5"/>
    <w:rsid w:val="00BB40BE"/>
    <w:rsid w:val="00BB5DE5"/>
    <w:rsid w:val="00BB6A73"/>
    <w:rsid w:val="00BC1142"/>
    <w:rsid w:val="00BD000D"/>
    <w:rsid w:val="00BD0E12"/>
    <w:rsid w:val="00BD715C"/>
    <w:rsid w:val="00BE008A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534C4"/>
    <w:rsid w:val="00C60B03"/>
    <w:rsid w:val="00C6250B"/>
    <w:rsid w:val="00C6524C"/>
    <w:rsid w:val="00C67D8F"/>
    <w:rsid w:val="00C81077"/>
    <w:rsid w:val="00C81D07"/>
    <w:rsid w:val="00C907D8"/>
    <w:rsid w:val="00C92932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E3E73"/>
    <w:rsid w:val="00CF0531"/>
    <w:rsid w:val="00CF6E0C"/>
    <w:rsid w:val="00D010EE"/>
    <w:rsid w:val="00D02DF0"/>
    <w:rsid w:val="00D062F7"/>
    <w:rsid w:val="00D067B8"/>
    <w:rsid w:val="00D10FEE"/>
    <w:rsid w:val="00D131AF"/>
    <w:rsid w:val="00D15B02"/>
    <w:rsid w:val="00D217F5"/>
    <w:rsid w:val="00D2665B"/>
    <w:rsid w:val="00D345AF"/>
    <w:rsid w:val="00D34717"/>
    <w:rsid w:val="00D378E3"/>
    <w:rsid w:val="00D44374"/>
    <w:rsid w:val="00D554A7"/>
    <w:rsid w:val="00D61397"/>
    <w:rsid w:val="00D651B6"/>
    <w:rsid w:val="00D81A90"/>
    <w:rsid w:val="00D85C7D"/>
    <w:rsid w:val="00D86882"/>
    <w:rsid w:val="00D97782"/>
    <w:rsid w:val="00D97BF4"/>
    <w:rsid w:val="00DA4D6A"/>
    <w:rsid w:val="00DB1AA7"/>
    <w:rsid w:val="00DC16A5"/>
    <w:rsid w:val="00DC3461"/>
    <w:rsid w:val="00DC5393"/>
    <w:rsid w:val="00DD017B"/>
    <w:rsid w:val="00DD20E0"/>
    <w:rsid w:val="00DD5620"/>
    <w:rsid w:val="00DE1D22"/>
    <w:rsid w:val="00DF250D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7612E"/>
    <w:rsid w:val="00E92920"/>
    <w:rsid w:val="00E934AB"/>
    <w:rsid w:val="00E944C8"/>
    <w:rsid w:val="00E954E8"/>
    <w:rsid w:val="00E9599A"/>
    <w:rsid w:val="00EA7B49"/>
    <w:rsid w:val="00EA7F72"/>
    <w:rsid w:val="00EC040A"/>
    <w:rsid w:val="00EC4AD5"/>
    <w:rsid w:val="00ED03EF"/>
    <w:rsid w:val="00EE05C7"/>
    <w:rsid w:val="00EE4E11"/>
    <w:rsid w:val="00EF2F1E"/>
    <w:rsid w:val="00EF42DE"/>
    <w:rsid w:val="00EF4B5E"/>
    <w:rsid w:val="00F00554"/>
    <w:rsid w:val="00F02653"/>
    <w:rsid w:val="00F0348D"/>
    <w:rsid w:val="00F104C0"/>
    <w:rsid w:val="00F105FF"/>
    <w:rsid w:val="00F11995"/>
    <w:rsid w:val="00F12440"/>
    <w:rsid w:val="00F12FBA"/>
    <w:rsid w:val="00F1995C"/>
    <w:rsid w:val="00F20412"/>
    <w:rsid w:val="00F22953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6791E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56C05F"/>
    <w:rsid w:val="03BB0F2D"/>
    <w:rsid w:val="0401D5CD"/>
    <w:rsid w:val="04EB6668"/>
    <w:rsid w:val="05187464"/>
    <w:rsid w:val="057CA07D"/>
    <w:rsid w:val="05F112B0"/>
    <w:rsid w:val="063D074F"/>
    <w:rsid w:val="087420C9"/>
    <w:rsid w:val="0914D924"/>
    <w:rsid w:val="09754BF9"/>
    <w:rsid w:val="09DACBB9"/>
    <w:rsid w:val="0A44E958"/>
    <w:rsid w:val="0A5C2308"/>
    <w:rsid w:val="0A9CA4B9"/>
    <w:rsid w:val="0AEC273D"/>
    <w:rsid w:val="0B01A6F0"/>
    <w:rsid w:val="0B111C5A"/>
    <w:rsid w:val="0B61D244"/>
    <w:rsid w:val="0B8E9E1A"/>
    <w:rsid w:val="0C0CE7B2"/>
    <w:rsid w:val="0C576403"/>
    <w:rsid w:val="0D5D88F3"/>
    <w:rsid w:val="0DB180DC"/>
    <w:rsid w:val="0E144BAA"/>
    <w:rsid w:val="0E180A50"/>
    <w:rsid w:val="0ED3C2F3"/>
    <w:rsid w:val="0ED6B0D5"/>
    <w:rsid w:val="0EEC6FDE"/>
    <w:rsid w:val="105DC023"/>
    <w:rsid w:val="110C5268"/>
    <w:rsid w:val="113BB1A0"/>
    <w:rsid w:val="11698ACB"/>
    <w:rsid w:val="118CFE23"/>
    <w:rsid w:val="11AFEAB0"/>
    <w:rsid w:val="11EF6457"/>
    <w:rsid w:val="12CC9170"/>
    <w:rsid w:val="12D6448D"/>
    <w:rsid w:val="12E3BA9F"/>
    <w:rsid w:val="136FEC29"/>
    <w:rsid w:val="139B7667"/>
    <w:rsid w:val="13E894EC"/>
    <w:rsid w:val="14868AC0"/>
    <w:rsid w:val="14B7FEA0"/>
    <w:rsid w:val="151ABA7F"/>
    <w:rsid w:val="153B0EE1"/>
    <w:rsid w:val="15ED1BB0"/>
    <w:rsid w:val="16015D57"/>
    <w:rsid w:val="1653CF01"/>
    <w:rsid w:val="18156A0D"/>
    <w:rsid w:val="18AF6FF1"/>
    <w:rsid w:val="194116FD"/>
    <w:rsid w:val="19DCABE0"/>
    <w:rsid w:val="1A4CECC3"/>
    <w:rsid w:val="1A9758F7"/>
    <w:rsid w:val="1B01AACC"/>
    <w:rsid w:val="1B7BE257"/>
    <w:rsid w:val="1CED60B8"/>
    <w:rsid w:val="1D2CDD1A"/>
    <w:rsid w:val="1D8002C3"/>
    <w:rsid w:val="1DEE6105"/>
    <w:rsid w:val="1DFED5DA"/>
    <w:rsid w:val="1ED50D93"/>
    <w:rsid w:val="1FAF41AA"/>
    <w:rsid w:val="203AE1E3"/>
    <w:rsid w:val="2071451C"/>
    <w:rsid w:val="20FFD8C3"/>
    <w:rsid w:val="2342D06C"/>
    <w:rsid w:val="2348979F"/>
    <w:rsid w:val="23DC39D3"/>
    <w:rsid w:val="2471B2A8"/>
    <w:rsid w:val="2479D2E6"/>
    <w:rsid w:val="24D21D59"/>
    <w:rsid w:val="2531FE30"/>
    <w:rsid w:val="25F618E4"/>
    <w:rsid w:val="262C1481"/>
    <w:rsid w:val="267A712E"/>
    <w:rsid w:val="272C41DE"/>
    <w:rsid w:val="29565C89"/>
    <w:rsid w:val="29F20B39"/>
    <w:rsid w:val="2ABA28F9"/>
    <w:rsid w:val="2AF94BAC"/>
    <w:rsid w:val="2B3A8127"/>
    <w:rsid w:val="2CF09C76"/>
    <w:rsid w:val="2D2293CD"/>
    <w:rsid w:val="2D6DE533"/>
    <w:rsid w:val="2E5C0D22"/>
    <w:rsid w:val="2E5FD742"/>
    <w:rsid w:val="2FCE6804"/>
    <w:rsid w:val="314210EC"/>
    <w:rsid w:val="3273288A"/>
    <w:rsid w:val="33068830"/>
    <w:rsid w:val="3456C695"/>
    <w:rsid w:val="34A976A5"/>
    <w:rsid w:val="362F17C2"/>
    <w:rsid w:val="363B6232"/>
    <w:rsid w:val="366306EE"/>
    <w:rsid w:val="36EBDFE1"/>
    <w:rsid w:val="37532947"/>
    <w:rsid w:val="377D3B5E"/>
    <w:rsid w:val="37991336"/>
    <w:rsid w:val="3887B042"/>
    <w:rsid w:val="39017A8D"/>
    <w:rsid w:val="3A4B1C72"/>
    <w:rsid w:val="3B7C0410"/>
    <w:rsid w:val="3B7CE26E"/>
    <w:rsid w:val="3C7BE405"/>
    <w:rsid w:val="3D26A576"/>
    <w:rsid w:val="3DE5C566"/>
    <w:rsid w:val="3F27C6E4"/>
    <w:rsid w:val="3F569142"/>
    <w:rsid w:val="40098CF1"/>
    <w:rsid w:val="40161955"/>
    <w:rsid w:val="407F50AE"/>
    <w:rsid w:val="408EACD9"/>
    <w:rsid w:val="40B60CB6"/>
    <w:rsid w:val="41410E84"/>
    <w:rsid w:val="41C7D3FB"/>
    <w:rsid w:val="426733DE"/>
    <w:rsid w:val="4311BC55"/>
    <w:rsid w:val="43412DB3"/>
    <w:rsid w:val="435E17D1"/>
    <w:rsid w:val="440FADD9"/>
    <w:rsid w:val="44A9D2EE"/>
    <w:rsid w:val="44FF74BD"/>
    <w:rsid w:val="47072992"/>
    <w:rsid w:val="47DEE246"/>
    <w:rsid w:val="480F9512"/>
    <w:rsid w:val="48E31EFC"/>
    <w:rsid w:val="48FBD9ED"/>
    <w:rsid w:val="4A804215"/>
    <w:rsid w:val="4A973AE0"/>
    <w:rsid w:val="4BC724C1"/>
    <w:rsid w:val="4C330B41"/>
    <w:rsid w:val="4C8F1AB6"/>
    <w:rsid w:val="4C97F3BA"/>
    <w:rsid w:val="4D51455C"/>
    <w:rsid w:val="4DD7CCE2"/>
    <w:rsid w:val="4FF9AD07"/>
    <w:rsid w:val="5038D37A"/>
    <w:rsid w:val="5041BD91"/>
    <w:rsid w:val="5122789A"/>
    <w:rsid w:val="5320B5F1"/>
    <w:rsid w:val="53CD9D45"/>
    <w:rsid w:val="543E6346"/>
    <w:rsid w:val="54523270"/>
    <w:rsid w:val="5496C096"/>
    <w:rsid w:val="55D7CBD4"/>
    <w:rsid w:val="5634CDCC"/>
    <w:rsid w:val="57890EFE"/>
    <w:rsid w:val="57CE6158"/>
    <w:rsid w:val="57F4FE8E"/>
    <w:rsid w:val="587930B0"/>
    <w:rsid w:val="59102213"/>
    <w:rsid w:val="594C23D6"/>
    <w:rsid w:val="59756A0F"/>
    <w:rsid w:val="599187E2"/>
    <w:rsid w:val="59DA4CD2"/>
    <w:rsid w:val="5CB69DCA"/>
    <w:rsid w:val="5CD874BC"/>
    <w:rsid w:val="5DFFB803"/>
    <w:rsid w:val="5E4650FF"/>
    <w:rsid w:val="5E5E003C"/>
    <w:rsid w:val="5EBF9A02"/>
    <w:rsid w:val="5EE57D36"/>
    <w:rsid w:val="5F104FEC"/>
    <w:rsid w:val="5F89932E"/>
    <w:rsid w:val="5FF52850"/>
    <w:rsid w:val="605B6A63"/>
    <w:rsid w:val="60E81C3E"/>
    <w:rsid w:val="61C687F8"/>
    <w:rsid w:val="61F73AC4"/>
    <w:rsid w:val="642E3703"/>
    <w:rsid w:val="64CF1315"/>
    <w:rsid w:val="64F29540"/>
    <w:rsid w:val="65B83ADB"/>
    <w:rsid w:val="65F02992"/>
    <w:rsid w:val="66156B87"/>
    <w:rsid w:val="667CA98D"/>
    <w:rsid w:val="6699F91B"/>
    <w:rsid w:val="66FE3849"/>
    <w:rsid w:val="676F2A41"/>
    <w:rsid w:val="68BA4741"/>
    <w:rsid w:val="68BE06B0"/>
    <w:rsid w:val="69D0D8C9"/>
    <w:rsid w:val="6A41821C"/>
    <w:rsid w:val="6A59D711"/>
    <w:rsid w:val="6B12E5C7"/>
    <w:rsid w:val="6B927EB1"/>
    <w:rsid w:val="6BA19323"/>
    <w:rsid w:val="6C5B0F48"/>
    <w:rsid w:val="6D112825"/>
    <w:rsid w:val="6D25AE0B"/>
    <w:rsid w:val="6D67ACF4"/>
    <w:rsid w:val="6E707F7B"/>
    <w:rsid w:val="6EF1BBDD"/>
    <w:rsid w:val="6F1C73CA"/>
    <w:rsid w:val="6F32447F"/>
    <w:rsid w:val="6F950F4D"/>
    <w:rsid w:val="70EB8B1C"/>
    <w:rsid w:val="70EE25DF"/>
    <w:rsid w:val="7130DFAE"/>
    <w:rsid w:val="7175470B"/>
    <w:rsid w:val="71F5E69A"/>
    <w:rsid w:val="72351305"/>
    <w:rsid w:val="725CA802"/>
    <w:rsid w:val="72CB150E"/>
    <w:rsid w:val="73CE4358"/>
    <w:rsid w:val="743C224C"/>
    <w:rsid w:val="74ACE7CD"/>
    <w:rsid w:val="74D62E06"/>
    <w:rsid w:val="74F59552"/>
    <w:rsid w:val="75AD2301"/>
    <w:rsid w:val="75F4ACFE"/>
    <w:rsid w:val="75FD890E"/>
    <w:rsid w:val="7648B82E"/>
    <w:rsid w:val="76644373"/>
    <w:rsid w:val="778EA8F2"/>
    <w:rsid w:val="77A794D6"/>
    <w:rsid w:val="7853DACC"/>
    <w:rsid w:val="79299731"/>
    <w:rsid w:val="7950F445"/>
    <w:rsid w:val="79A2C7B3"/>
    <w:rsid w:val="79D1137D"/>
    <w:rsid w:val="7A81E100"/>
    <w:rsid w:val="7BCEACA3"/>
    <w:rsid w:val="7DC9DC35"/>
    <w:rsid w:val="7E8C209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EDD3579E-DA46-4201-A1C9-A13C47CE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link w:val="MLOdsekChar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  <w:style w:type="character" w:customStyle="1" w:styleId="normaltextrun">
    <w:name w:val="normaltextrun"/>
    <w:basedOn w:val="Predvolenpsmoodseku"/>
    <w:uiPriority w:val="1"/>
    <w:rsid w:val="778EA8F2"/>
  </w:style>
  <w:style w:type="character" w:customStyle="1" w:styleId="MLOdsekChar">
    <w:name w:val="ML Odsek Char"/>
    <w:basedOn w:val="Predvolenpsmoodseku"/>
    <w:link w:val="MLOdsek"/>
    <w:uiPriority w:val="1"/>
    <w:rsid w:val="778EA8F2"/>
    <w:rPr>
      <w:rFonts w:asciiTheme="minorHAnsi" w:eastAsia="Times New Roman" w:hAnsiTheme="minorHAnsi" w:cstheme="minorBidi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t@nczisk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t@nzcisk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rt@nczi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3" ma:contentTypeDescription="Umožňuje vytvoriť nový dokument." ma:contentTypeScope="" ma:versionID="a013ea409feb60622a2d86deb4d0be0a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7222fbb7f47b63fb1f12150a698fbc54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96C863-8864-406C-960E-33230E26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C37AE-46D8-4C71-8470-3EBF1A20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11320</Words>
  <Characters>64526</Characters>
  <DocSecurity>0</DocSecurity>
  <Lines>537</Lines>
  <Paragraphs>151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2024-03-01T12:53:00Z</dcterms:created>
  <dcterms:modified xsi:type="dcterms:W3CDTF">2024-03-01T12:55:00Z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0x0101007771F941E5A09B4E8CCE438C3E57A26A</vt:lpwstr>
  </property>
</Properties>
</file>