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3591027F" w:rsidR="00813EB9" w:rsidRPr="006C29FE" w:rsidRDefault="006C29FE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6C29FE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3 výzvy na predkladanie ponúk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</w:t>
      </w:r>
      <w:r w:rsidR="003D149C">
        <w:rPr>
          <w:rFonts w:ascii="Arial" w:hAnsi="Arial" w:cs="Arial"/>
          <w:sz w:val="22"/>
          <w:szCs w:val="22"/>
        </w:rPr>
        <w:t>,</w:t>
      </w:r>
      <w:r w:rsidRPr="009E6A67">
        <w:rPr>
          <w:rFonts w:ascii="Arial" w:hAnsi="Arial" w:cs="Arial"/>
          <w:sz w:val="22"/>
          <w:szCs w:val="22"/>
        </w:rPr>
        <w:t xml:space="preserve">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AA4EB9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AA4EB9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6C29FE">
      <w:headerReference w:type="default" r:id="rId8"/>
      <w:footerReference w:type="default" r:id="rId9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DD08" w14:textId="77777777" w:rsidR="003B5766" w:rsidRDefault="003B5766" w:rsidP="00DB216D">
      <w:pPr>
        <w:spacing w:after="0"/>
      </w:pPr>
      <w:r>
        <w:separator/>
      </w:r>
    </w:p>
  </w:endnote>
  <w:endnote w:type="continuationSeparator" w:id="0">
    <w:p w14:paraId="718DC44C" w14:textId="77777777" w:rsidR="003B5766" w:rsidRDefault="003B576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4969820" w:rsidR="007B316A" w:rsidRPr="00A474E4" w:rsidRDefault="00BC6571" w:rsidP="00AA4EB9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F13298">
      <w:rPr>
        <w:rFonts w:ascii="Arial" w:hAnsi="Arial" w:cs="Arial"/>
        <w:b/>
        <w:bCs/>
        <w:i/>
        <w:iCs/>
        <w:sz w:val="18"/>
        <w:szCs w:val="18"/>
      </w:rPr>
      <w:t>Zákazka s nízkou hodnotou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: „</w:t>
    </w:r>
    <w:r w:rsidR="00AA4EB9" w:rsidRPr="00AA4EB9">
      <w:rPr>
        <w:rFonts w:ascii="Arial" w:hAnsi="Arial" w:cs="Arial"/>
        <w:b/>
        <w:bCs/>
        <w:i/>
        <w:iCs/>
        <w:sz w:val="18"/>
        <w:szCs w:val="18"/>
      </w:rPr>
      <w:t>Operatívny leasing osobných a úžitkových dodávkových vozidiel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A2E7" w14:textId="77777777" w:rsidR="003B5766" w:rsidRDefault="003B5766" w:rsidP="00DB216D">
      <w:pPr>
        <w:spacing w:after="0"/>
      </w:pPr>
      <w:r>
        <w:separator/>
      </w:r>
    </w:p>
  </w:footnote>
  <w:footnote w:type="continuationSeparator" w:id="0">
    <w:p w14:paraId="2CB99475" w14:textId="77777777" w:rsidR="003B5766" w:rsidRDefault="003B576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6A95"/>
    <w:rsid w:val="006B6EB4"/>
    <w:rsid w:val="006C29FE"/>
    <w:rsid w:val="006E1848"/>
    <w:rsid w:val="006F7281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A4EB9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43</cp:revision>
  <dcterms:created xsi:type="dcterms:W3CDTF">2022-03-29T08:35:00Z</dcterms:created>
  <dcterms:modified xsi:type="dcterms:W3CDTF">2022-07-11T08:17:00Z</dcterms:modified>
</cp:coreProperties>
</file>