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7777777" w:rsidR="000B1ED7" w:rsidRPr="0072000E" w:rsidRDefault="00EF4F0C" w:rsidP="0001007F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 xml:space="preserve">VYHODNOTENIA PONÚK </w:t>
      </w:r>
    </w:p>
    <w:p w14:paraId="6FDA0ADD" w14:textId="18B110C0" w:rsidR="000C472D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5BDC63C0" w14:textId="77777777" w:rsidR="003059D7" w:rsidRPr="0072000E" w:rsidRDefault="003059D7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</w:p>
    <w:p w14:paraId="1ADFB9AC" w14:textId="399CF83C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3059D7">
        <w:rPr>
          <w:rFonts w:ascii="Garamond" w:hAnsi="Garamond"/>
          <w:b/>
          <w:i/>
          <w:iCs/>
          <w:sz w:val="24"/>
          <w:szCs w:val="24"/>
          <w:u w:val="single"/>
        </w:rPr>
        <w:t>Realizácia stavebných prác odstavnej plochy na Nobelovej ul.</w:t>
      </w:r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5E73E47D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3059D7">
        <w:rPr>
          <w:rFonts w:ascii="Garamond" w:hAnsi="Garamond" w:cs="Arial"/>
          <w:sz w:val="22"/>
          <w:szCs w:val="22"/>
        </w:rPr>
        <w:t>8547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42024E4E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3059D7">
        <w:rPr>
          <w:rFonts w:ascii="Garamond" w:hAnsi="Garamond" w:cs="Arial"/>
          <w:sz w:val="22"/>
          <w:szCs w:val="22"/>
        </w:rPr>
        <w:t>29 972,53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3059D7">
        <w:rPr>
          <w:rFonts w:ascii="Garamond" w:hAnsi="Garamond" w:cs="Arial"/>
          <w:sz w:val="22"/>
          <w:szCs w:val="22"/>
        </w:rPr>
        <w:t>35 967,04</w:t>
      </w:r>
      <w:r w:rsidR="00EA05A2">
        <w:rPr>
          <w:rFonts w:ascii="Garamond" w:hAnsi="Garamond" w:cs="Arial"/>
          <w:sz w:val="22"/>
          <w:szCs w:val="22"/>
        </w:rPr>
        <w:t xml:space="preserve"> EUR s DPH</w:t>
      </w:r>
    </w:p>
    <w:p w14:paraId="4266313F" w14:textId="54533EF6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3059D7">
        <w:rPr>
          <w:rFonts w:ascii="Garamond" w:hAnsi="Garamond" w:cs="Arial"/>
          <w:sz w:val="22"/>
          <w:szCs w:val="22"/>
        </w:rPr>
        <w:t>25.08.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59F01F5F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3059D7">
        <w:rPr>
          <w:rFonts w:ascii="Garamond" w:hAnsi="Garamond" w:cs="Arial"/>
          <w:sz w:val="22"/>
          <w:szCs w:val="22"/>
        </w:rPr>
        <w:t>25.08.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260C5702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3059D7">
        <w:rPr>
          <w:rFonts w:ascii="Garamond" w:hAnsi="Garamond" w:cs="Arial"/>
          <w:sz w:val="22"/>
          <w:szCs w:val="22"/>
        </w:rPr>
        <w:t>17.08.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3059D7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32E7C3" w14:textId="289711B9" w:rsidR="003D5B22" w:rsidRPr="0072000E" w:rsidRDefault="003059D7" w:rsidP="00680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AA PLUS Slovakia 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s.r.o., </w:t>
            </w:r>
            <w:r>
              <w:rPr>
                <w:rFonts w:ascii="Garamond" w:hAnsi="Garamond"/>
                <w:sz w:val="22"/>
                <w:szCs w:val="22"/>
              </w:rPr>
              <w:t>Odborárska 23</w:t>
            </w:r>
            <w:r w:rsidR="004B5589">
              <w:rPr>
                <w:rFonts w:ascii="Garamond" w:hAnsi="Garamond"/>
                <w:sz w:val="22"/>
                <w:szCs w:val="22"/>
              </w:rPr>
              <w:t>, 8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="004B5589">
              <w:rPr>
                <w:rFonts w:ascii="Garamond" w:hAnsi="Garamond"/>
                <w:sz w:val="22"/>
                <w:szCs w:val="22"/>
              </w:rPr>
              <w:t>1 0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 Bratislava, 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74CE162C" w:rsidR="00085C0B" w:rsidRDefault="003059D7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6F0457C2" w:rsidR="003D5B22" w:rsidRPr="0072000E" w:rsidRDefault="003059D7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08:08:23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56EDF7DB" w:rsidR="003D5B22" w:rsidRPr="0072000E" w:rsidRDefault="003059D7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35 554,98</w:t>
            </w:r>
          </w:p>
        </w:tc>
      </w:tr>
    </w:tbl>
    <w:p w14:paraId="0902A595" w14:textId="72580ED0" w:rsidR="00145BB0" w:rsidRDefault="00145BB0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153ABA1D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3059D7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Výsledné poradie</w:t>
            </w:r>
          </w:p>
        </w:tc>
      </w:tr>
      <w:tr w:rsidR="00004B74" w:rsidRPr="0072000E" w14:paraId="61324BFC" w14:textId="77777777" w:rsidTr="003059D7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2A62F832" w:rsidR="00506D31" w:rsidRPr="00506D31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DC352" w14:textId="1974736C" w:rsidR="00506D31" w:rsidRPr="0072000E" w:rsidRDefault="003059D7" w:rsidP="00F53E7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AA PLUS Slovakia s.r.o., Odborárska 23, 831 02 Bratislava,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</w:t>
            </w:r>
            <w:r w:rsidR="00506D31" w:rsidRPr="0072000E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530713A2" w:rsidR="00506D31" w:rsidRPr="0072000E" w:rsidRDefault="003059D7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35 554,98</w:t>
            </w:r>
            <w:r w:rsidR="00004B74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032CE720" w14:textId="77777777" w:rsidR="003059D7" w:rsidRDefault="003059D7" w:rsidP="00BA40E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E5E5BA9" w14:textId="07989230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813D1A" w:rsidRPr="00EF5B26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61CCC27C" w:rsidR="000B1ED7" w:rsidRPr="0072000E" w:rsidRDefault="003059D7" w:rsidP="00004B74">
            <w:pPr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AA PLUS Slovakia s.r.o., Odborárska 23, 831 02 Bratislava,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5925C93F" w:rsidR="00E443A0" w:rsidRPr="0072000E" w:rsidRDefault="003059D7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AA PLUS Slovakia s.r.o., Odborárska 23, 831 02 Bratislava,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063016C4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2B134D2E" w:rsidR="00CA2553" w:rsidRPr="0072000E" w:rsidRDefault="003059D7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AA PLUS Slovakia s.r.o., Odborárska 23, 831 02 Bratislava,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</w:t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7841F2B7" w:rsidR="00694E67" w:rsidRPr="0072000E" w:rsidRDefault="003059D7" w:rsidP="007D4F62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AA PLUS Slovakia s.r.o., Odborárska 23, 831 02 Bratislava,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43848435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</w:t>
            </w:r>
            <w:r w:rsidR="00694E67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638A7C19" w:rsidR="00F15A55" w:rsidRPr="0072000E" w:rsidRDefault="008B798B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AA PLUS Slovakia </w:t>
            </w:r>
            <w:r w:rsidR="002D14F7">
              <w:rPr>
                <w:rFonts w:ascii="Garamond" w:hAnsi="Garamond" w:cs="Arial"/>
                <w:sz w:val="22"/>
                <w:szCs w:val="22"/>
              </w:rPr>
              <w:t>s.r.o.</w:t>
            </w:r>
            <w:r w:rsidR="00F15A55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323" w14:textId="3838A6DD" w:rsidR="00F15A55" w:rsidRPr="00F15A55" w:rsidRDefault="00F15A55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>Výpis z Obchodného registra Okresného súdu Bratislava I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proofErr w:type="spellStart"/>
            <w:r w:rsidRPr="00F15A55">
              <w:rPr>
                <w:rFonts w:ascii="Garamond" w:eastAsia="Calibri" w:hAnsi="Garamond"/>
                <w:lang w:eastAsia="en-US"/>
              </w:rPr>
              <w:t>Sro</w:t>
            </w:r>
            <w:proofErr w:type="spellEnd"/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</w:p>
          <w:p w14:paraId="29E05105" w14:textId="320B315F" w:rsidR="00F15A55" w:rsidRPr="0072000E" w:rsidRDefault="008B798B" w:rsidP="008B798B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</w:rPr>
              <w:t>49619</w:t>
            </w:r>
            <w:r w:rsidR="00F15A55" w:rsidRPr="00694E67">
              <w:rPr>
                <w:rFonts w:ascii="Garamond" w:eastAsia="Calibri" w:hAnsi="Garamond"/>
                <w:lang w:eastAsia="en-US"/>
              </w:rPr>
              <w:t>/</w:t>
            </w:r>
            <w:r w:rsidR="00F15A55" w:rsidRPr="00F15A55">
              <w:rPr>
                <w:rFonts w:ascii="Garamond" w:eastAsia="Calibri" w:hAnsi="Garamond"/>
                <w:lang w:eastAsia="en-US"/>
              </w:rPr>
              <w:t>B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>
              <w:rPr>
                <w:rFonts w:ascii="Garamond" w:hAnsi="Garamond" w:cs="Arial"/>
              </w:rPr>
              <w:t>30.08.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19D13E0C" w14:textId="19D56FD6" w:rsidR="00F15A55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 w:rsidR="008B798B">
        <w:rPr>
          <w:rFonts w:ascii="Garamond" w:hAnsi="Garamond" w:cs="Arial"/>
          <w:sz w:val="22"/>
          <w:szCs w:val="22"/>
        </w:rPr>
        <w:t>1023538</w:t>
      </w:r>
      <w:r w:rsidR="00030724">
        <w:rPr>
          <w:rFonts w:ascii="Garamond" w:hAnsi="Garamond" w:cs="Arial"/>
          <w:sz w:val="22"/>
          <w:szCs w:val="22"/>
        </w:rPr>
        <w:t>/2022</w:t>
      </w:r>
      <w:r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2281715B" w:rsidR="000C79F0" w:rsidRPr="0072000E" w:rsidRDefault="008B798B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AA PLUS Slovakia</w:t>
            </w:r>
            <w:r w:rsidR="005E7B1E">
              <w:rPr>
                <w:rFonts w:ascii="Garamond" w:hAnsi="Garamond" w:cs="Arial"/>
                <w:sz w:val="22"/>
                <w:szCs w:val="22"/>
              </w:rPr>
              <w:t xml:space="preserve"> s.r.o.</w:t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0D2BA7B1" w:rsidR="000C79F0" w:rsidRPr="0072000E" w:rsidRDefault="000C79F0" w:rsidP="008B798B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8B798B">
              <w:rPr>
                <w:rFonts w:ascii="Garamond" w:hAnsi="Garamond" w:cs="Arial"/>
              </w:rPr>
              <w:t>30.08.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19D68C57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Na základe ponúknutej najnižšej Celkovej ceny za predmet zákazky vo výške </w:t>
      </w:r>
      <w:r w:rsidR="008B798B">
        <w:rPr>
          <w:rFonts w:ascii="Garamond" w:hAnsi="Garamond" w:cs="Arial"/>
          <w:b/>
          <w:sz w:val="22"/>
          <w:szCs w:val="22"/>
        </w:rPr>
        <w:t>35 554,98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EUR </w:t>
      </w:r>
      <w:r w:rsidR="002D14F7">
        <w:rPr>
          <w:rFonts w:ascii="Garamond" w:hAnsi="Garamond" w:cs="Arial"/>
          <w:b/>
          <w:sz w:val="22"/>
          <w:szCs w:val="22"/>
        </w:rPr>
        <w:t>s</w:t>
      </w:r>
      <w:r w:rsidRPr="000C240A">
        <w:rPr>
          <w:rFonts w:ascii="Garamond" w:hAnsi="Garamond" w:cs="Arial"/>
          <w:b/>
          <w:sz w:val="22"/>
          <w:szCs w:val="22"/>
        </w:rPr>
        <w:t> DPH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0C79F0" w:rsidRPr="000C240A">
        <w:rPr>
          <w:rFonts w:ascii="Garamond" w:hAnsi="Garamond" w:cs="Arial"/>
          <w:sz w:val="22"/>
          <w:szCs w:val="22"/>
        </w:rPr>
        <w:t xml:space="preserve">sa uchádzač č. </w:t>
      </w:r>
      <w:r w:rsidR="00085C0B">
        <w:rPr>
          <w:rFonts w:ascii="Garamond" w:hAnsi="Garamond" w:cs="Arial"/>
          <w:sz w:val="22"/>
          <w:szCs w:val="22"/>
        </w:rPr>
        <w:t>1,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 </w:t>
      </w:r>
      <w:r w:rsidR="008B798B">
        <w:rPr>
          <w:rFonts w:ascii="Garamond" w:hAnsi="Garamond"/>
          <w:b/>
          <w:sz w:val="22"/>
          <w:szCs w:val="22"/>
        </w:rPr>
        <w:t>AA PLUS Slovakia</w:t>
      </w:r>
      <w:r w:rsidR="002D14F7">
        <w:rPr>
          <w:rFonts w:ascii="Garamond" w:hAnsi="Garamond"/>
          <w:b/>
          <w:sz w:val="22"/>
          <w:szCs w:val="22"/>
        </w:rPr>
        <w:t xml:space="preserve"> s.r.o.</w:t>
      </w:r>
      <w:r w:rsidRPr="000C240A">
        <w:rPr>
          <w:rFonts w:ascii="Garamond" w:hAnsi="Garamond" w:cs="Arial"/>
          <w:sz w:val="22"/>
          <w:szCs w:val="22"/>
        </w:rPr>
        <w:t>,</w:t>
      </w:r>
      <w:r w:rsidR="008B798B">
        <w:rPr>
          <w:rFonts w:ascii="Garamond" w:hAnsi="Garamond" w:cs="Arial"/>
          <w:sz w:val="22"/>
          <w:szCs w:val="22"/>
        </w:rPr>
        <w:t xml:space="preserve"> Odborárska 23, 831 02 Bratislava, (IČO: 43 848 435),</w:t>
      </w:r>
      <w:r w:rsidRPr="0072000E">
        <w:rPr>
          <w:rFonts w:ascii="Garamond" w:hAnsi="Garamond" w:cs="Arial"/>
          <w:sz w:val="22"/>
          <w:szCs w:val="22"/>
        </w:rPr>
        <w:t xml:space="preserve"> 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7A190E78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>
        <w:rPr>
          <w:rFonts w:ascii="Garamond" w:hAnsi="Garamond" w:cs="Arial"/>
          <w:sz w:val="22"/>
          <w:szCs w:val="22"/>
        </w:rPr>
        <w:t xml:space="preserve"> bude podpísaná Zmluva o</w:t>
      </w:r>
      <w:r w:rsidR="00BD4DB9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dielo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5F66E145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lastRenderedPageBreak/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8B798B">
        <w:rPr>
          <w:rFonts w:ascii="Garamond" w:hAnsi="Garamond" w:cs="Arial"/>
          <w:sz w:val="22"/>
          <w:szCs w:val="22"/>
        </w:rPr>
        <w:t>30.08.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58334590" w14:textId="420082F9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28AD663F" w14:textId="77777777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47A94D78" w14:textId="66A564DE" w:rsidR="000C240A" w:rsidRDefault="000C240A" w:rsidP="007255E4">
      <w:pPr>
        <w:ind w:firstLine="360"/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15FBC3E9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B067EC">
        <w:rPr>
          <w:rFonts w:ascii="Garamond" w:hAnsi="Garamond"/>
          <w:sz w:val="22"/>
          <w:szCs w:val="22"/>
        </w:rPr>
        <w:t>30.08.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0DE94414" w14:textId="2771E4CA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48E561F2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22EB60F9" w14:textId="77777777" w:rsidR="0064271B" w:rsidRPr="008B6001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  <w:u w:val="single"/>
        </w:rPr>
      </w:pPr>
      <w:r w:rsidRPr="008B6001">
        <w:rPr>
          <w:rFonts w:ascii="Garamond" w:hAnsi="Garamond"/>
          <w:b/>
          <w:sz w:val="22"/>
          <w:szCs w:val="22"/>
          <w:u w:val="single"/>
        </w:rPr>
        <w:t>Odsúhlasil:</w:t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6CC708E0" w:rsidR="0064271B" w:rsidRP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>Mgr. Tomáš Čajda</w:t>
      </w:r>
    </w:p>
    <w:p w14:paraId="796F063D" w14:textId="306D5587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64271B" w:rsidRPr="0064271B">
        <w:rPr>
          <w:rFonts w:ascii="Garamond" w:hAnsi="Garamond"/>
          <w:sz w:val="22"/>
          <w:szCs w:val="22"/>
        </w:rPr>
        <w:t xml:space="preserve">edúci </w:t>
      </w:r>
      <w:r w:rsidR="0017650A">
        <w:rPr>
          <w:rFonts w:ascii="Garamond" w:hAnsi="Garamond"/>
          <w:sz w:val="22"/>
          <w:szCs w:val="22"/>
        </w:rPr>
        <w:t>o</w:t>
      </w:r>
      <w:r w:rsidR="0064271B" w:rsidRPr="0064271B">
        <w:rPr>
          <w:rFonts w:ascii="Garamond" w:hAnsi="Garamond"/>
          <w:sz w:val="22"/>
          <w:szCs w:val="22"/>
        </w:rPr>
        <w:t>ddeleni</w:t>
      </w:r>
      <w:r w:rsidR="0017650A">
        <w:rPr>
          <w:rFonts w:ascii="Garamond" w:hAnsi="Garamond"/>
          <w:sz w:val="22"/>
          <w:szCs w:val="22"/>
        </w:rPr>
        <w:t>a</w:t>
      </w:r>
      <w:r w:rsidR="0064271B" w:rsidRPr="0064271B">
        <w:rPr>
          <w:rFonts w:ascii="Garamond" w:hAnsi="Garamond"/>
          <w:sz w:val="22"/>
          <w:szCs w:val="22"/>
        </w:rPr>
        <w:t xml:space="preserve"> dopravy, európskych fondov a verejného obstarávania</w:t>
      </w:r>
    </w:p>
    <w:p w14:paraId="4AD93106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57A0950A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510ECBDA" w:rsid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>Ing.</w:t>
      </w:r>
      <w:r w:rsidR="008B6001" w:rsidRPr="008B6001">
        <w:rPr>
          <w:rFonts w:ascii="Garamond" w:hAnsi="Garamond"/>
          <w:b/>
          <w:sz w:val="22"/>
          <w:szCs w:val="22"/>
        </w:rPr>
        <w:t xml:space="preserve"> </w:t>
      </w:r>
      <w:r w:rsidR="008B798B">
        <w:rPr>
          <w:rFonts w:ascii="Garamond" w:hAnsi="Garamond"/>
          <w:b/>
          <w:sz w:val="22"/>
          <w:szCs w:val="22"/>
        </w:rPr>
        <w:t>Ingrid Remenárová</w:t>
      </w:r>
    </w:p>
    <w:p w14:paraId="25945240" w14:textId="348641A2" w:rsidR="0064271B" w:rsidRDefault="008B798B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Referent o</w:t>
      </w:r>
      <w:r w:rsidR="0064271B" w:rsidRPr="008277BA">
        <w:rPr>
          <w:rFonts w:ascii="Garamond" w:hAnsi="Garamond"/>
          <w:bCs/>
          <w:sz w:val="22"/>
          <w:szCs w:val="22"/>
        </w:rPr>
        <w:t>ddeleni</w:t>
      </w:r>
      <w:r w:rsidR="0064271B">
        <w:rPr>
          <w:rFonts w:ascii="Garamond" w:hAnsi="Garamond"/>
          <w:bCs/>
          <w:sz w:val="22"/>
          <w:szCs w:val="22"/>
        </w:rPr>
        <w:t>e</w:t>
      </w:r>
      <w:r w:rsidR="0064271B" w:rsidRPr="008277BA">
        <w:rPr>
          <w:rFonts w:ascii="Garamond" w:hAnsi="Garamond"/>
          <w:bCs/>
          <w:sz w:val="22"/>
          <w:szCs w:val="22"/>
        </w:rPr>
        <w:t xml:space="preserve"> </w:t>
      </w:r>
      <w:r w:rsidR="0064271B">
        <w:rPr>
          <w:rFonts w:ascii="Garamond" w:hAnsi="Garamond"/>
          <w:bCs/>
          <w:sz w:val="22"/>
          <w:szCs w:val="22"/>
        </w:rPr>
        <w:t>investícií</w:t>
      </w:r>
    </w:p>
    <w:p w14:paraId="062126FB" w14:textId="77777777" w:rsidR="008B798B" w:rsidRPr="008277BA" w:rsidRDefault="008B798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</w:p>
    <w:p w14:paraId="4624255C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0B247E66" w14:textId="77777777" w:rsidR="008B798B" w:rsidRPr="008277BA" w:rsidRDefault="008B798B" w:rsidP="008B798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1211C9CD" w14:textId="77777777" w:rsidR="008B798B" w:rsidRDefault="008B798B" w:rsidP="008B798B">
      <w:pPr>
        <w:autoSpaceDE w:val="0"/>
        <w:autoSpaceDN w:val="0"/>
        <w:spacing w:line="276" w:lineRule="auto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 xml:space="preserve">Ing. Jozef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8B6001">
        <w:rPr>
          <w:rFonts w:ascii="Garamond" w:hAnsi="Garamond"/>
          <w:b/>
          <w:sz w:val="22"/>
          <w:szCs w:val="22"/>
        </w:rPr>
        <w:t>Varga</w:t>
      </w:r>
    </w:p>
    <w:p w14:paraId="4F778088" w14:textId="62EE62D7" w:rsidR="008B798B" w:rsidRPr="008277BA" w:rsidRDefault="008B798B" w:rsidP="008B798B">
      <w:pPr>
        <w:autoSpaceDE w:val="0"/>
        <w:autoSpaceDN w:val="0"/>
        <w:spacing w:line="276" w:lineRule="auto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Vedúci o</w:t>
      </w:r>
      <w:r w:rsidRPr="008277BA">
        <w:rPr>
          <w:rFonts w:ascii="Garamond" w:hAnsi="Garamond"/>
          <w:bCs/>
          <w:sz w:val="22"/>
          <w:szCs w:val="22"/>
        </w:rPr>
        <w:t>ddeleni</w:t>
      </w:r>
      <w:r>
        <w:rPr>
          <w:rFonts w:ascii="Garamond" w:hAnsi="Garamond"/>
          <w:bCs/>
          <w:sz w:val="22"/>
          <w:szCs w:val="22"/>
        </w:rPr>
        <w:t>e</w:t>
      </w:r>
      <w:r w:rsidRPr="008277B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investícií</w:t>
      </w:r>
    </w:p>
    <w:p w14:paraId="73BA1887" w14:textId="77777777" w:rsidR="0064271B" w:rsidRDefault="0064271B" w:rsidP="008B798B">
      <w:pPr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1B01B93B" w:rsidR="0064271B" w:rsidRPr="008277BA" w:rsidRDefault="008B798B" w:rsidP="008B798B">
      <w:pPr>
        <w:spacing w:line="276" w:lineRule="auto"/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</w:t>
      </w:r>
      <w:r w:rsidR="0064271B"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="0064271B"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="0064271B"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C6E4E0F" w:rsidR="0064271B" w:rsidRPr="008277BA" w:rsidRDefault="008B798B" w:rsidP="008B798B">
      <w:pPr>
        <w:spacing w:line="276" w:lineRule="auto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</w:t>
      </w:r>
      <w:r w:rsidR="0064271B"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028412F7" w14:textId="77777777" w:rsidR="0064271B" w:rsidRDefault="0064271B" w:rsidP="008B798B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1FD8476D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738F532" w14:textId="5848C1D0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5787B6D4" w14:textId="77777777" w:rsidR="008B6001" w:rsidRDefault="008B6001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8B798B">
      <w:pPr>
        <w:spacing w:line="276" w:lineRule="auto"/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8B798B">
      <w:pPr>
        <w:spacing w:line="276" w:lineRule="auto"/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8B798B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lastRenderedPageBreak/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3A5D4" w14:textId="77777777" w:rsidR="000B6496" w:rsidRDefault="000B6496" w:rsidP="0067552E">
      <w:r>
        <w:separator/>
      </w:r>
    </w:p>
  </w:endnote>
  <w:endnote w:type="continuationSeparator" w:id="0">
    <w:p w14:paraId="35E26293" w14:textId="77777777" w:rsidR="000B6496" w:rsidRDefault="000B6496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6DF988F1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7EC">
          <w:rPr>
            <w:noProof/>
          </w:rPr>
          <w:t>5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6896" w14:textId="77777777" w:rsidR="000B6496" w:rsidRDefault="000B6496" w:rsidP="0067552E">
      <w:r>
        <w:separator/>
      </w:r>
    </w:p>
  </w:footnote>
  <w:footnote w:type="continuationSeparator" w:id="0">
    <w:p w14:paraId="42BF6AA9" w14:textId="77777777" w:rsidR="000B6496" w:rsidRDefault="000B6496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B6496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3C2"/>
    <w:rsid w:val="00292D3E"/>
    <w:rsid w:val="00296E38"/>
    <w:rsid w:val="002A1E11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59D7"/>
    <w:rsid w:val="003065FB"/>
    <w:rsid w:val="00317A92"/>
    <w:rsid w:val="00320CE4"/>
    <w:rsid w:val="003245B3"/>
    <w:rsid w:val="00330C49"/>
    <w:rsid w:val="00331776"/>
    <w:rsid w:val="003341A7"/>
    <w:rsid w:val="003358D5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92A01"/>
    <w:rsid w:val="00394873"/>
    <w:rsid w:val="00395CC2"/>
    <w:rsid w:val="0039712C"/>
    <w:rsid w:val="003A0918"/>
    <w:rsid w:val="003A20E8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5769"/>
    <w:rsid w:val="00410FE3"/>
    <w:rsid w:val="00414225"/>
    <w:rsid w:val="004333AA"/>
    <w:rsid w:val="00435A80"/>
    <w:rsid w:val="00440086"/>
    <w:rsid w:val="00444256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50203B"/>
    <w:rsid w:val="005051AB"/>
    <w:rsid w:val="0050683A"/>
    <w:rsid w:val="00506D31"/>
    <w:rsid w:val="00511D52"/>
    <w:rsid w:val="00512589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575C"/>
    <w:rsid w:val="005E4CAA"/>
    <w:rsid w:val="005E5045"/>
    <w:rsid w:val="005E7B1E"/>
    <w:rsid w:val="005F61A6"/>
    <w:rsid w:val="005F7D86"/>
    <w:rsid w:val="006043D3"/>
    <w:rsid w:val="006060E8"/>
    <w:rsid w:val="00615183"/>
    <w:rsid w:val="00615FE7"/>
    <w:rsid w:val="00622021"/>
    <w:rsid w:val="00623A22"/>
    <w:rsid w:val="00626BF1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61EAE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5FFB"/>
    <w:rsid w:val="00887EC7"/>
    <w:rsid w:val="00893498"/>
    <w:rsid w:val="008A5DF8"/>
    <w:rsid w:val="008B1341"/>
    <w:rsid w:val="008B14F2"/>
    <w:rsid w:val="008B3461"/>
    <w:rsid w:val="008B6001"/>
    <w:rsid w:val="008B798B"/>
    <w:rsid w:val="008C10B9"/>
    <w:rsid w:val="008C30BB"/>
    <w:rsid w:val="008C6C6A"/>
    <w:rsid w:val="008D5C32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153C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34FC"/>
    <w:rsid w:val="00A57AB7"/>
    <w:rsid w:val="00A64602"/>
    <w:rsid w:val="00A64C4F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4B11"/>
    <w:rsid w:val="00B055B4"/>
    <w:rsid w:val="00B05BE5"/>
    <w:rsid w:val="00B06070"/>
    <w:rsid w:val="00B067EC"/>
    <w:rsid w:val="00B074EC"/>
    <w:rsid w:val="00B101D9"/>
    <w:rsid w:val="00B13382"/>
    <w:rsid w:val="00B14D44"/>
    <w:rsid w:val="00B20B60"/>
    <w:rsid w:val="00B21688"/>
    <w:rsid w:val="00B31142"/>
    <w:rsid w:val="00B34422"/>
    <w:rsid w:val="00B34B50"/>
    <w:rsid w:val="00B36A53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4BCF"/>
    <w:rsid w:val="00C61ED3"/>
    <w:rsid w:val="00C62D30"/>
    <w:rsid w:val="00C639FD"/>
    <w:rsid w:val="00C63C73"/>
    <w:rsid w:val="00C7263E"/>
    <w:rsid w:val="00C74407"/>
    <w:rsid w:val="00C82819"/>
    <w:rsid w:val="00C8366F"/>
    <w:rsid w:val="00C85D3D"/>
    <w:rsid w:val="00C92129"/>
    <w:rsid w:val="00C921C8"/>
    <w:rsid w:val="00C928E3"/>
    <w:rsid w:val="00CA2553"/>
    <w:rsid w:val="00CA4814"/>
    <w:rsid w:val="00CA6351"/>
    <w:rsid w:val="00CA6A59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BB4"/>
    <w:rsid w:val="00D03F36"/>
    <w:rsid w:val="00D057EE"/>
    <w:rsid w:val="00D07894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C3783"/>
    <w:rsid w:val="00DD2A2C"/>
    <w:rsid w:val="00DD2E73"/>
    <w:rsid w:val="00DE6ACD"/>
    <w:rsid w:val="00DF06CF"/>
    <w:rsid w:val="00DF33BB"/>
    <w:rsid w:val="00DF3C5D"/>
    <w:rsid w:val="00DF69F2"/>
    <w:rsid w:val="00E02815"/>
    <w:rsid w:val="00E053A9"/>
    <w:rsid w:val="00E067D3"/>
    <w:rsid w:val="00E111C2"/>
    <w:rsid w:val="00E13559"/>
    <w:rsid w:val="00E20AA2"/>
    <w:rsid w:val="00E23362"/>
    <w:rsid w:val="00E33817"/>
    <w:rsid w:val="00E356CA"/>
    <w:rsid w:val="00E432DD"/>
    <w:rsid w:val="00E443A0"/>
    <w:rsid w:val="00E4641A"/>
    <w:rsid w:val="00E5196D"/>
    <w:rsid w:val="00E55196"/>
    <w:rsid w:val="00E55B5D"/>
    <w:rsid w:val="00E65F39"/>
    <w:rsid w:val="00E67CE2"/>
    <w:rsid w:val="00E748EC"/>
    <w:rsid w:val="00E76E5F"/>
    <w:rsid w:val="00E814ED"/>
    <w:rsid w:val="00E84224"/>
    <w:rsid w:val="00E84F0D"/>
    <w:rsid w:val="00E851BF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5324"/>
    <w:rsid w:val="00F86DC9"/>
    <w:rsid w:val="00F87C26"/>
    <w:rsid w:val="00F919F2"/>
    <w:rsid w:val="00F97FB8"/>
    <w:rsid w:val="00FA398E"/>
    <w:rsid w:val="00FB43AE"/>
    <w:rsid w:val="00FC167C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8838-48CE-40C9-BDC5-F9973B23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31</cp:revision>
  <cp:lastPrinted>2022-05-09T13:15:00Z</cp:lastPrinted>
  <dcterms:created xsi:type="dcterms:W3CDTF">2022-05-06T06:36:00Z</dcterms:created>
  <dcterms:modified xsi:type="dcterms:W3CDTF">2022-08-30T08:31:00Z</dcterms:modified>
</cp:coreProperties>
</file>