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83F9C" w14:textId="77777777" w:rsidR="005D15C0" w:rsidRPr="005D15C0" w:rsidRDefault="005D15C0" w:rsidP="005D15C0">
      <w:pPr>
        <w:spacing w:after="0" w:line="288" w:lineRule="auto"/>
        <w:ind w:right="64"/>
        <w:jc w:val="center"/>
        <w:rPr>
          <w:rFonts w:ascii="Arial" w:eastAsia="Times New Roman" w:hAnsi="Arial" w:cs="Arial"/>
          <w:b/>
          <w:sz w:val="32"/>
          <w:szCs w:val="32"/>
          <w:u w:val="single"/>
          <w:lang w:val="sk-SK" w:eastAsia="sk-SK"/>
        </w:rPr>
      </w:pPr>
      <w:r w:rsidRPr="005D15C0">
        <w:rPr>
          <w:rFonts w:ascii="Arial" w:eastAsia="Times New Roman" w:hAnsi="Arial" w:cs="Arial"/>
          <w:b/>
          <w:sz w:val="32"/>
          <w:szCs w:val="32"/>
          <w:u w:val="single"/>
          <w:lang w:val="sk-SK" w:eastAsia="sk-SK"/>
        </w:rPr>
        <w:t>KÚPNA ZMLUVA</w:t>
      </w:r>
    </w:p>
    <w:p w14:paraId="40BD4D3E" w14:textId="77777777" w:rsidR="005D15C0" w:rsidRPr="005D15C0" w:rsidRDefault="005D15C0" w:rsidP="005D15C0">
      <w:pPr>
        <w:spacing w:before="120" w:after="0" w:line="288" w:lineRule="auto"/>
        <w:ind w:right="64"/>
        <w:jc w:val="both"/>
        <w:rPr>
          <w:rFonts w:ascii="Arial" w:eastAsia="Times New Roman" w:hAnsi="Arial" w:cs="Arial"/>
          <w:b/>
          <w:sz w:val="20"/>
          <w:szCs w:val="20"/>
          <w:u w:val="single"/>
          <w:lang w:val="sk-SK" w:eastAsia="sk-SK"/>
        </w:rPr>
      </w:pPr>
    </w:p>
    <w:p w14:paraId="394909E2" w14:textId="77777777" w:rsidR="005D15C0" w:rsidRPr="005D15C0" w:rsidRDefault="005D15C0" w:rsidP="005D15C0">
      <w:pPr>
        <w:spacing w:after="0" w:line="288" w:lineRule="auto"/>
        <w:ind w:right="64"/>
        <w:jc w:val="both"/>
        <w:rPr>
          <w:rFonts w:ascii="Arial" w:eastAsia="Times New Roman" w:hAnsi="Arial" w:cs="Arial"/>
          <w:b/>
          <w:sz w:val="20"/>
          <w:szCs w:val="20"/>
          <w:u w:val="single"/>
          <w:lang w:val="sk-SK" w:eastAsia="sk-SK"/>
        </w:rPr>
      </w:pPr>
    </w:p>
    <w:p w14:paraId="420CEC15" w14:textId="77777777" w:rsidR="005D15C0" w:rsidRPr="005D15C0" w:rsidRDefault="005D15C0" w:rsidP="005D15C0">
      <w:pPr>
        <w:numPr>
          <w:ilvl w:val="0"/>
          <w:numId w:val="1"/>
        </w:numPr>
        <w:tabs>
          <w:tab w:val="clear" w:pos="360"/>
          <w:tab w:val="num" w:pos="720"/>
        </w:tabs>
        <w:spacing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ZMLUVNÉ STRANY</w:t>
      </w:r>
    </w:p>
    <w:p w14:paraId="04C9B853" w14:textId="77777777" w:rsidR="005D15C0" w:rsidRPr="005D15C0" w:rsidRDefault="005D15C0" w:rsidP="005D15C0">
      <w:pPr>
        <w:spacing w:after="0" w:line="288" w:lineRule="auto"/>
        <w:ind w:right="64"/>
        <w:jc w:val="both"/>
        <w:rPr>
          <w:rFonts w:ascii="Arial" w:eastAsia="Times New Roman" w:hAnsi="Arial" w:cs="Arial"/>
          <w:b/>
          <w:sz w:val="20"/>
          <w:szCs w:val="20"/>
          <w:u w:val="single"/>
          <w:lang w:val="sk-SK" w:eastAsia="sk-SK"/>
        </w:rPr>
      </w:pPr>
    </w:p>
    <w:p w14:paraId="49B101B2" w14:textId="77777777" w:rsidR="005D15C0" w:rsidRPr="005D15C0" w:rsidRDefault="005D15C0" w:rsidP="005D15C0">
      <w:pPr>
        <w:numPr>
          <w:ilvl w:val="1"/>
          <w:numId w:val="1"/>
        </w:numPr>
        <w:spacing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lang w:val="sk-SK" w:eastAsia="sk-SK"/>
        </w:rPr>
        <w:t>Predávajúci</w:t>
      </w:r>
    </w:p>
    <w:p w14:paraId="269AF6B0" w14:textId="77777777" w:rsidR="005D15C0" w:rsidRPr="005D15C0" w:rsidRDefault="005D15C0" w:rsidP="005D15C0">
      <w:pPr>
        <w:spacing w:after="0" w:line="288" w:lineRule="auto"/>
        <w:ind w:left="720" w:right="64"/>
        <w:jc w:val="both"/>
        <w:rPr>
          <w:rFonts w:ascii="Arial" w:eastAsia="Times New Roman" w:hAnsi="Arial" w:cs="Arial"/>
          <w:b/>
          <w:sz w:val="20"/>
          <w:szCs w:val="20"/>
          <w:lang w:val="sk-SK" w:eastAsia="sk-SK"/>
        </w:rPr>
      </w:pPr>
    </w:p>
    <w:p w14:paraId="21F67C6E" w14:textId="1924868A"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Obchodné meno: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006C72F7" w:rsidRPr="005D15C0">
        <w:rPr>
          <w:rFonts w:ascii="Arial" w:eastAsia="Times New Roman" w:hAnsi="Arial" w:cs="Arial"/>
          <w:b/>
          <w:sz w:val="20"/>
          <w:szCs w:val="20"/>
          <w:lang w:val="sk-SK" w:eastAsia="sk-SK"/>
        </w:rPr>
        <w:t>..........................</w:t>
      </w:r>
      <w:r w:rsidRPr="005D15C0">
        <w:rPr>
          <w:rFonts w:ascii="Arial" w:eastAsia="Times New Roman" w:hAnsi="Arial" w:cs="Arial"/>
          <w:b/>
          <w:sz w:val="20"/>
          <w:szCs w:val="20"/>
          <w:lang w:val="sk-SK" w:eastAsia="sk-SK"/>
        </w:rPr>
        <w:tab/>
      </w:r>
    </w:p>
    <w:p w14:paraId="08104E2C" w14:textId="1B5C4D4B"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Sídlo: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7493A906" w14:textId="13D7AF5D"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IČO: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5FC8507A" w14:textId="4CB79506"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DIČ: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22C4378E" w14:textId="6B383CE6"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 DPH: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bookmarkStart w:id="0" w:name="_GoBack"/>
      <w:bookmarkEnd w:id="0"/>
    </w:p>
    <w:p w14:paraId="5C941741" w14:textId="02579696" w:rsidR="005D15C0" w:rsidRPr="006C72F7" w:rsidRDefault="005D15C0" w:rsidP="005D15C0">
      <w:pPr>
        <w:spacing w:after="0" w:line="288" w:lineRule="auto"/>
        <w:ind w:left="3544" w:right="64" w:hanging="282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Zápis:</w:t>
      </w:r>
      <w:r w:rsidRPr="006C72F7">
        <w:rPr>
          <w:rFonts w:ascii="Arial" w:eastAsia="Times New Roman" w:hAnsi="Arial" w:cs="Arial"/>
          <w:sz w:val="20"/>
          <w:szCs w:val="20"/>
          <w:lang w:val="sk-SK" w:eastAsia="sk-SK"/>
        </w:rPr>
        <w:tab/>
        <w:t xml:space="preserve"> </w:t>
      </w:r>
      <w:r w:rsidR="006C72F7" w:rsidRPr="006C72F7">
        <w:rPr>
          <w:rFonts w:ascii="Arial" w:eastAsia="Times New Roman" w:hAnsi="Arial" w:cs="Arial"/>
          <w:sz w:val="20"/>
          <w:szCs w:val="20"/>
          <w:lang w:val="sk-SK" w:eastAsia="sk-SK"/>
        </w:rPr>
        <w:t>..........................</w:t>
      </w:r>
    </w:p>
    <w:p w14:paraId="384CFC32"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Bankové spojenie:</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7C73CCFF"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Číslo účtu:</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018C53BE" w14:textId="7BFDDF2C" w:rsidR="005D15C0" w:rsidRPr="006C72F7" w:rsidRDefault="005D15C0" w:rsidP="005D15C0">
      <w:pPr>
        <w:spacing w:after="0" w:line="288" w:lineRule="auto"/>
        <w:ind w:left="720" w:right="64"/>
        <w:jc w:val="both"/>
        <w:rPr>
          <w:rFonts w:ascii="Arial" w:eastAsia="Times New Roman" w:hAnsi="Arial" w:cs="Arial"/>
          <w:sz w:val="20"/>
          <w:szCs w:val="20"/>
          <w:u w:val="single"/>
          <w:lang w:val="sk-SK" w:eastAsia="sk-SK"/>
        </w:rPr>
      </w:pPr>
      <w:r w:rsidRPr="006C72F7">
        <w:rPr>
          <w:rFonts w:ascii="Arial" w:eastAsia="Times New Roman" w:hAnsi="Arial" w:cs="Arial"/>
          <w:sz w:val="20"/>
          <w:szCs w:val="20"/>
          <w:lang w:val="sk-SK" w:eastAsia="sk-SK"/>
        </w:rPr>
        <w:t xml:space="preserve">Zastúpený: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7F75524C" w14:textId="77777777" w:rsidR="005D15C0" w:rsidRPr="005D15C0" w:rsidRDefault="005D15C0" w:rsidP="005D15C0">
      <w:pPr>
        <w:spacing w:after="0" w:line="288" w:lineRule="auto"/>
        <w:ind w:right="64" w:firstLine="720"/>
        <w:rPr>
          <w:rFonts w:ascii="Arial" w:eastAsia="Times New Roman" w:hAnsi="Arial" w:cs="Arial"/>
          <w:sz w:val="20"/>
          <w:szCs w:val="20"/>
          <w:lang w:val="sk-SK"/>
        </w:rPr>
      </w:pPr>
    </w:p>
    <w:p w14:paraId="52E3293E" w14:textId="77777777" w:rsidR="005D15C0" w:rsidRPr="005D15C0" w:rsidRDefault="005D15C0" w:rsidP="005D15C0">
      <w:pPr>
        <w:widowControl w:val="0"/>
        <w:spacing w:after="0" w:line="288" w:lineRule="auto"/>
        <w:ind w:left="720" w:right="64"/>
        <w:jc w:val="both"/>
        <w:rPr>
          <w:rFonts w:ascii="Arial" w:eastAsia="Times New Roman" w:hAnsi="Arial" w:cs="Arial"/>
          <w:sz w:val="20"/>
          <w:szCs w:val="20"/>
          <w:lang w:val="sk-SK"/>
        </w:rPr>
      </w:pPr>
      <w:r w:rsidRPr="005D15C0">
        <w:rPr>
          <w:rFonts w:ascii="Arial" w:eastAsia="Times New Roman" w:hAnsi="Arial" w:cs="Arial"/>
          <w:sz w:val="20"/>
          <w:szCs w:val="20"/>
          <w:lang w:val="sk-SK"/>
        </w:rPr>
        <w:t xml:space="preserve"> (ďalej iba ako „</w:t>
      </w:r>
      <w:r w:rsidRPr="005D15C0">
        <w:rPr>
          <w:rFonts w:ascii="Arial" w:eastAsia="Times New Roman" w:hAnsi="Arial" w:cs="Arial"/>
          <w:b/>
          <w:sz w:val="20"/>
          <w:szCs w:val="20"/>
          <w:lang w:val="sk-SK"/>
        </w:rPr>
        <w:t>Predávajúci</w:t>
      </w:r>
      <w:r w:rsidRPr="005D15C0">
        <w:rPr>
          <w:rFonts w:ascii="Arial" w:eastAsia="Times New Roman" w:hAnsi="Arial" w:cs="Arial"/>
          <w:sz w:val="20"/>
          <w:szCs w:val="20"/>
          <w:lang w:val="sk-SK"/>
        </w:rPr>
        <w:t>“)</w:t>
      </w:r>
    </w:p>
    <w:p w14:paraId="6FB209A9" w14:textId="77777777" w:rsidR="005D15C0" w:rsidRPr="005D15C0" w:rsidRDefault="005D15C0" w:rsidP="005D15C0">
      <w:pPr>
        <w:widowControl w:val="0"/>
        <w:spacing w:after="0" w:line="288" w:lineRule="auto"/>
        <w:ind w:right="64"/>
        <w:rPr>
          <w:rFonts w:ascii="Arial" w:eastAsia="Times New Roman" w:hAnsi="Arial" w:cs="Arial"/>
          <w:sz w:val="20"/>
          <w:szCs w:val="20"/>
          <w:lang w:val="sk-SK"/>
        </w:rPr>
      </w:pPr>
    </w:p>
    <w:p w14:paraId="1C2985F1" w14:textId="77777777" w:rsidR="005D15C0" w:rsidRPr="005D15C0" w:rsidRDefault="005D15C0" w:rsidP="005D15C0">
      <w:pPr>
        <w:numPr>
          <w:ilvl w:val="1"/>
          <w:numId w:val="1"/>
        </w:numPr>
        <w:spacing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lang w:val="sk-SK" w:eastAsia="sk-SK"/>
        </w:rPr>
        <w:t>Kupujúci</w:t>
      </w:r>
    </w:p>
    <w:p w14:paraId="0004379C" w14:textId="77777777" w:rsidR="005D15C0" w:rsidRPr="005D15C0" w:rsidRDefault="005D15C0" w:rsidP="005D15C0">
      <w:pPr>
        <w:spacing w:after="0" w:line="288" w:lineRule="auto"/>
        <w:ind w:right="64"/>
        <w:jc w:val="both"/>
        <w:rPr>
          <w:rFonts w:ascii="Arial" w:eastAsia="Times New Roman" w:hAnsi="Arial" w:cs="Arial"/>
          <w:b/>
          <w:sz w:val="20"/>
          <w:szCs w:val="20"/>
          <w:u w:val="single"/>
          <w:lang w:val="sk-SK" w:eastAsia="sk-SK"/>
        </w:rPr>
      </w:pPr>
    </w:p>
    <w:p w14:paraId="3CD612F8" w14:textId="77777777"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Obchodné meno: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b/>
          <w:sz w:val="20"/>
          <w:szCs w:val="20"/>
          <w:lang w:val="sk-SK" w:eastAsia="sk-SK"/>
        </w:rPr>
        <w:t>Spoločné poľnohospodárske družstvo Veselé</w:t>
      </w:r>
    </w:p>
    <w:p w14:paraId="7BA28FE1" w14:textId="77777777"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Sídlo: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t>Veselé, 0922 08 Veselé</w:t>
      </w:r>
    </w:p>
    <w:p w14:paraId="2676A5FF" w14:textId="77777777"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IČO:  </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t>00 208 418</w:t>
      </w:r>
    </w:p>
    <w:p w14:paraId="30CAF9D6" w14:textId="77777777"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DIČ:  </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color w:val="333333"/>
          <w:sz w:val="20"/>
          <w:szCs w:val="20"/>
          <w:shd w:val="clear" w:color="auto" w:fill="FFFFFF"/>
          <w:lang w:val="sk-SK" w:eastAsia="sk-SK"/>
        </w:rPr>
        <w:t>2020395245</w:t>
      </w:r>
    </w:p>
    <w:p w14:paraId="75DF442E" w14:textId="77777777"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IČ DPH:  </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hyperlink r:id="rId7" w:tgtFrame="_blank" w:tooltip="Overiť na EC/TAX" w:history="1">
        <w:r w:rsidRPr="005D15C0">
          <w:rPr>
            <w:rFonts w:ascii="Arial" w:eastAsia="Times New Roman" w:hAnsi="Arial" w:cs="Arial"/>
            <w:sz w:val="20"/>
            <w:szCs w:val="20"/>
            <w:shd w:val="clear" w:color="auto" w:fill="FFFFFF"/>
            <w:lang w:val="sk-SK" w:eastAsia="sk-SK"/>
          </w:rPr>
          <w:t>SK</w:t>
        </w:r>
        <w:r w:rsidRPr="005D15C0">
          <w:rPr>
            <w:rFonts w:ascii="Arial" w:eastAsia="Times New Roman" w:hAnsi="Arial" w:cs="Arial"/>
            <w:color w:val="333333"/>
            <w:sz w:val="20"/>
            <w:szCs w:val="20"/>
            <w:shd w:val="clear" w:color="auto" w:fill="FFFFFF"/>
            <w:lang w:val="sk-SK" w:eastAsia="sk-SK"/>
          </w:rPr>
          <w:t>2020395245</w:t>
        </w:r>
      </w:hyperlink>
    </w:p>
    <w:p w14:paraId="114796D2" w14:textId="77777777"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Zápis:</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t>OR OS Trnava, oddiel Dr, vložka č. 120/T</w:t>
      </w:r>
    </w:p>
    <w:p w14:paraId="02719E61" w14:textId="77777777"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Bankové spojenie:</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b/>
          <w:sz w:val="20"/>
          <w:szCs w:val="20"/>
          <w:lang w:val="sk-SK" w:eastAsia="sk-SK"/>
        </w:rPr>
        <w:t>..........................</w:t>
      </w:r>
    </w:p>
    <w:p w14:paraId="5BD5A988" w14:textId="77777777"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Číslo účtu:</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b/>
          <w:sz w:val="20"/>
          <w:szCs w:val="20"/>
          <w:lang w:val="sk-SK" w:eastAsia="sk-SK"/>
        </w:rPr>
        <w:t>..........................</w:t>
      </w:r>
    </w:p>
    <w:p w14:paraId="0E5293A8" w14:textId="77777777" w:rsidR="006C72F7"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Zastúpený: </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t xml:space="preserve">Ing. Dávid Vavrík, predseda predstavenstva </w:t>
      </w:r>
    </w:p>
    <w:p w14:paraId="2ED5AC63" w14:textId="10F75E70" w:rsidR="005D15C0" w:rsidRPr="005D15C0" w:rsidRDefault="005D15C0" w:rsidP="006C72F7">
      <w:pPr>
        <w:spacing w:after="0" w:line="288" w:lineRule="auto"/>
        <w:ind w:left="2880" w:right="64" w:firstLine="720"/>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Ing. Tomáš Keresztúri, člen predstavenstva</w:t>
      </w:r>
    </w:p>
    <w:p w14:paraId="5643249C" w14:textId="77777777" w:rsidR="005D15C0" w:rsidRPr="005D15C0" w:rsidRDefault="005D15C0" w:rsidP="005D15C0">
      <w:pPr>
        <w:widowControl w:val="0"/>
        <w:spacing w:after="0" w:line="288" w:lineRule="auto"/>
        <w:ind w:right="64"/>
        <w:jc w:val="both"/>
        <w:rPr>
          <w:rFonts w:ascii="Arial" w:eastAsia="Times New Roman" w:hAnsi="Arial" w:cs="Arial"/>
          <w:sz w:val="20"/>
          <w:szCs w:val="20"/>
          <w:lang w:val="sk-SK"/>
        </w:rPr>
      </w:pPr>
    </w:p>
    <w:p w14:paraId="68E05BEC" w14:textId="77777777" w:rsidR="005D15C0" w:rsidRPr="005D15C0" w:rsidRDefault="005D15C0" w:rsidP="005D15C0">
      <w:pPr>
        <w:widowControl w:val="0"/>
        <w:spacing w:after="0" w:line="288" w:lineRule="auto"/>
        <w:ind w:right="64"/>
        <w:jc w:val="both"/>
        <w:rPr>
          <w:rFonts w:ascii="Arial" w:eastAsia="Times New Roman" w:hAnsi="Arial" w:cs="Arial"/>
          <w:sz w:val="20"/>
          <w:szCs w:val="20"/>
          <w:lang w:val="sk-SK"/>
        </w:rPr>
      </w:pPr>
      <w:r w:rsidRPr="005D15C0">
        <w:rPr>
          <w:rFonts w:ascii="Arial" w:eastAsia="Times New Roman" w:hAnsi="Arial" w:cs="Arial"/>
          <w:sz w:val="20"/>
          <w:szCs w:val="20"/>
          <w:lang w:val="sk-SK"/>
        </w:rPr>
        <w:tab/>
        <w:t>(ďalej len ako „</w:t>
      </w:r>
      <w:r w:rsidRPr="005D15C0">
        <w:rPr>
          <w:rFonts w:ascii="Arial" w:eastAsia="Times New Roman" w:hAnsi="Arial" w:cs="Arial"/>
          <w:b/>
          <w:sz w:val="20"/>
          <w:szCs w:val="20"/>
          <w:lang w:val="sk-SK"/>
        </w:rPr>
        <w:t>Kupujúci</w:t>
      </w:r>
      <w:r w:rsidRPr="005D15C0">
        <w:rPr>
          <w:rFonts w:ascii="Arial" w:eastAsia="Times New Roman" w:hAnsi="Arial" w:cs="Arial"/>
          <w:sz w:val="20"/>
          <w:szCs w:val="20"/>
          <w:lang w:val="sk-SK"/>
        </w:rPr>
        <w:t>“)</w:t>
      </w:r>
    </w:p>
    <w:p w14:paraId="0233521E" w14:textId="77777777" w:rsidR="005D15C0" w:rsidRPr="005D15C0" w:rsidRDefault="005D15C0" w:rsidP="005D15C0">
      <w:pPr>
        <w:widowControl w:val="0"/>
        <w:spacing w:before="120" w:after="0" w:line="288" w:lineRule="auto"/>
        <w:ind w:right="64"/>
        <w:jc w:val="both"/>
        <w:rPr>
          <w:rFonts w:ascii="Arial" w:eastAsia="Times New Roman" w:hAnsi="Arial" w:cs="Arial"/>
          <w:sz w:val="20"/>
          <w:szCs w:val="20"/>
          <w:lang w:val="sk-SK"/>
        </w:rPr>
      </w:pPr>
    </w:p>
    <w:p w14:paraId="05E1F329"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Zmluvné strany uzatvárajú podľa § 409 a nasl. Obchodného zákonníka túto kúpnu zmluvu (ďalej len "</w:t>
      </w:r>
      <w:r w:rsidRPr="005D15C0">
        <w:rPr>
          <w:rFonts w:ascii="Arial" w:eastAsia="Times New Roman" w:hAnsi="Arial" w:cs="Arial"/>
          <w:b/>
          <w:sz w:val="20"/>
          <w:szCs w:val="20"/>
          <w:lang w:val="sk-SK" w:eastAsia="sk-SK"/>
        </w:rPr>
        <w:t>Zmluva</w:t>
      </w:r>
      <w:r w:rsidRPr="005D15C0">
        <w:rPr>
          <w:rFonts w:ascii="Arial" w:eastAsia="Times New Roman" w:hAnsi="Arial" w:cs="Arial"/>
          <w:sz w:val="20"/>
          <w:szCs w:val="20"/>
          <w:lang w:val="sk-SK" w:eastAsia="sk-SK"/>
        </w:rPr>
        <w:t>"):</w:t>
      </w:r>
    </w:p>
    <w:p w14:paraId="483A3075"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p w14:paraId="7B61CAB0" w14:textId="77777777" w:rsidR="005D15C0" w:rsidRPr="005D15C0" w:rsidRDefault="005D15C0" w:rsidP="005D15C0">
      <w:pPr>
        <w:numPr>
          <w:ilvl w:val="0"/>
          <w:numId w:val="1"/>
        </w:numPr>
        <w:tabs>
          <w:tab w:val="clear" w:pos="360"/>
          <w:tab w:val="num" w:pos="720"/>
        </w:tabs>
        <w:spacing w:before="120" w:after="0" w:line="288" w:lineRule="auto"/>
        <w:ind w:left="720" w:right="64" w:hanging="720"/>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PREDMET ZMLUVY</w:t>
      </w:r>
    </w:p>
    <w:p w14:paraId="71A9BCD1"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Pod pojmom „</w:t>
      </w:r>
      <w:r w:rsidRPr="005D15C0">
        <w:rPr>
          <w:rFonts w:ascii="Arial" w:eastAsia="Times New Roman" w:hAnsi="Arial" w:cs="Arial"/>
          <w:b/>
          <w:sz w:val="20"/>
          <w:szCs w:val="20"/>
          <w:lang w:val="sk-SK" w:eastAsia="sk-SK"/>
        </w:rPr>
        <w:t>Predmet kúpy</w:t>
      </w:r>
      <w:r w:rsidRPr="005D15C0">
        <w:rPr>
          <w:rFonts w:ascii="Arial" w:eastAsia="Times New Roman" w:hAnsi="Arial" w:cs="Arial"/>
          <w:sz w:val="20"/>
          <w:szCs w:val="20"/>
          <w:lang w:val="sk-SK" w:eastAsia="sk-SK"/>
        </w:rPr>
        <w:t xml:space="preserve">“ sa pre účely tejto Zmluvy rozumie dodávka zariadenia podľa </w:t>
      </w:r>
      <w:r w:rsidRPr="005D15C0">
        <w:rPr>
          <w:rFonts w:ascii="Arial" w:eastAsia="Times New Roman" w:hAnsi="Arial" w:cs="Arial"/>
          <w:b/>
          <w:sz w:val="20"/>
          <w:szCs w:val="20"/>
          <w:lang w:val="sk-SK" w:eastAsia="sk-SK"/>
        </w:rPr>
        <w:t>Prílohy</w:t>
      </w:r>
      <w:r w:rsidRPr="005D15C0">
        <w:rPr>
          <w:rFonts w:ascii="Arial" w:eastAsia="Times New Roman" w:hAnsi="Arial" w:cs="Arial"/>
          <w:sz w:val="20"/>
          <w:szCs w:val="20"/>
          <w:lang w:val="sk-SK" w:eastAsia="sk-SK"/>
        </w:rPr>
        <w:t xml:space="preserve"> č.1 a 2.</w:t>
      </w:r>
    </w:p>
    <w:p w14:paraId="17BD99EF"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 xml:space="preserve">Predmetom tejto Zmluvy je </w:t>
      </w:r>
    </w:p>
    <w:p w14:paraId="5FC730FA" w14:textId="77777777" w:rsidR="005D15C0" w:rsidRPr="005D15C0" w:rsidRDefault="005D15C0" w:rsidP="005D15C0">
      <w:pPr>
        <w:numPr>
          <w:ilvl w:val="2"/>
          <w:numId w:val="1"/>
        </w:numPr>
        <w:tabs>
          <w:tab w:val="num" w:pos="1418"/>
        </w:tabs>
        <w:spacing w:before="120" w:after="0" w:line="288" w:lineRule="auto"/>
        <w:ind w:left="1418"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záväzok Predávajúceho odplatne previesť na Kupujúceho vlastnícke právo k Predmetu kúpy definovanom v bode 2.1. Zmluvy, a</w:t>
      </w:r>
      <w:r w:rsidRPr="005D15C0">
        <w:rPr>
          <w:rFonts w:ascii="Arial" w:eastAsia="Times New Roman" w:hAnsi="Arial" w:cs="Arial"/>
          <w:sz w:val="20"/>
          <w:szCs w:val="20"/>
          <w:lang w:val="sk-SK" w:eastAsia="sk-SK"/>
        </w:rPr>
        <w:t xml:space="preserve"> </w:t>
      </w:r>
    </w:p>
    <w:p w14:paraId="77AEC7C6" w14:textId="77777777" w:rsidR="005D15C0" w:rsidRPr="005D15C0" w:rsidRDefault="005D15C0" w:rsidP="005D15C0">
      <w:pPr>
        <w:numPr>
          <w:ilvl w:val="2"/>
          <w:numId w:val="1"/>
        </w:numPr>
        <w:tabs>
          <w:tab w:val="num" w:pos="1418"/>
        </w:tabs>
        <w:spacing w:before="120" w:after="0" w:line="288" w:lineRule="auto"/>
        <w:ind w:left="1418"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záväzok Kupujúceho prevádzaný Predmet kúpy prevziať a zaplatiť kúpnu cenu</w:t>
      </w:r>
      <w:r w:rsidRPr="005D15C0">
        <w:rPr>
          <w:rFonts w:ascii="Arial" w:eastAsia="Times New Roman" w:hAnsi="Arial" w:cs="Arial"/>
          <w:sz w:val="20"/>
          <w:szCs w:val="20"/>
          <w:lang w:val="sk-SK" w:eastAsia="sk-SK"/>
        </w:rPr>
        <w:t xml:space="preserve">. </w:t>
      </w:r>
    </w:p>
    <w:p w14:paraId="0732F8C9"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Predávajúci prevádza Predmet kúpy do  výlučného vlastníctva Kupujúceho vcelku.</w:t>
      </w:r>
    </w:p>
    <w:p w14:paraId="497EE241" w14:textId="77777777" w:rsidR="005D15C0" w:rsidRPr="005D15C0" w:rsidRDefault="005D15C0" w:rsidP="005D15C0">
      <w:pPr>
        <w:spacing w:before="120" w:after="0" w:line="288" w:lineRule="auto"/>
        <w:ind w:left="720" w:right="64"/>
        <w:jc w:val="both"/>
        <w:rPr>
          <w:rFonts w:ascii="Arial" w:eastAsia="Times New Roman" w:hAnsi="Arial" w:cs="Arial"/>
          <w:b/>
          <w:sz w:val="20"/>
          <w:szCs w:val="20"/>
          <w:u w:val="single"/>
          <w:lang w:val="sk-SK" w:eastAsia="sk-SK"/>
        </w:rPr>
      </w:pPr>
    </w:p>
    <w:p w14:paraId="23BAAA09" w14:textId="77777777" w:rsidR="005D15C0" w:rsidRPr="005D15C0" w:rsidRDefault="005D15C0" w:rsidP="005D15C0">
      <w:pPr>
        <w:spacing w:before="120" w:after="0" w:line="288" w:lineRule="auto"/>
        <w:ind w:left="720" w:right="64"/>
        <w:jc w:val="both"/>
        <w:rPr>
          <w:rFonts w:ascii="Arial" w:eastAsia="Times New Roman" w:hAnsi="Arial" w:cs="Arial"/>
          <w:b/>
          <w:sz w:val="20"/>
          <w:szCs w:val="20"/>
          <w:u w:val="single"/>
          <w:lang w:val="sk-SK" w:eastAsia="sk-SK"/>
        </w:rPr>
      </w:pPr>
    </w:p>
    <w:p w14:paraId="4B19ED9E" w14:textId="77777777" w:rsidR="005D15C0" w:rsidRPr="005D15C0" w:rsidRDefault="005D15C0" w:rsidP="005D15C0">
      <w:pPr>
        <w:spacing w:before="120" w:after="0" w:line="288" w:lineRule="auto"/>
        <w:ind w:left="720" w:right="64"/>
        <w:rPr>
          <w:rFonts w:ascii="Arial" w:eastAsia="Times New Roman" w:hAnsi="Arial" w:cs="Arial"/>
          <w:b/>
          <w:sz w:val="20"/>
          <w:szCs w:val="20"/>
          <w:u w:val="single"/>
          <w:lang w:val="sk-SK" w:eastAsia="sk-SK"/>
        </w:rPr>
      </w:pPr>
    </w:p>
    <w:p w14:paraId="3CBD91C7" w14:textId="77777777" w:rsidR="005D15C0" w:rsidRPr="005D15C0" w:rsidRDefault="005D15C0" w:rsidP="005D15C0">
      <w:pPr>
        <w:numPr>
          <w:ilvl w:val="0"/>
          <w:numId w:val="1"/>
        </w:numPr>
        <w:tabs>
          <w:tab w:val="clear" w:pos="360"/>
          <w:tab w:val="num" w:pos="720"/>
        </w:tabs>
        <w:spacing w:before="120" w:after="0" w:line="288" w:lineRule="auto"/>
        <w:ind w:left="720" w:right="64" w:hanging="720"/>
        <w:rPr>
          <w:rFonts w:ascii="Arial" w:eastAsia="Times New Roman" w:hAnsi="Arial" w:cs="Arial"/>
          <w:b/>
          <w:sz w:val="20"/>
          <w:szCs w:val="20"/>
          <w:u w:val="single"/>
          <w:lang w:val="sk-SK" w:eastAsia="sk-SK"/>
        </w:rPr>
      </w:pPr>
      <w:r w:rsidRPr="005D15C0">
        <w:rPr>
          <w:rFonts w:ascii="Arial" w:eastAsia="Times New Roman" w:hAnsi="Arial" w:cs="Times New Roman"/>
          <w:b/>
          <w:sz w:val="20"/>
          <w:szCs w:val="20"/>
          <w:u w:val="single"/>
          <w:lang w:val="sk-SK" w:eastAsia="sk-SK"/>
        </w:rPr>
        <w:t>DODANIE PREDMETU KÚPY</w:t>
      </w:r>
    </w:p>
    <w:p w14:paraId="4F8E4ECB"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Keďže Kupujúci má záujem financovať Predmetu kúpy aj z rozpočtov Európskej únie, sa Zmluvné strany dohodli, že termín začatia dodávky Predmetu kúpy určí Kupujúci jednostrannou </w:t>
      </w:r>
      <w:r w:rsidRPr="005D15C0">
        <w:rPr>
          <w:rFonts w:ascii="Arial" w:eastAsia="Times New Roman" w:hAnsi="Arial" w:cs="Arial"/>
          <w:b/>
          <w:sz w:val="20"/>
          <w:szCs w:val="20"/>
          <w:lang w:val="sk-SK" w:eastAsia="sk-SK"/>
        </w:rPr>
        <w:t>písomnou objednávkou</w:t>
      </w:r>
      <w:r w:rsidRPr="005D15C0">
        <w:rPr>
          <w:rFonts w:ascii="Arial" w:eastAsia="Times New Roman" w:hAnsi="Arial" w:cs="Arial"/>
          <w:sz w:val="20"/>
          <w:szCs w:val="20"/>
          <w:lang w:val="sk-SK" w:eastAsia="sk-SK"/>
        </w:rPr>
        <w:t xml:space="preserve"> adresovanou Predávajúcemu. </w:t>
      </w:r>
    </w:p>
    <w:p w14:paraId="217190DF"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 xml:space="preserve">Predávajúci dodá Predmet kúpy Kupujúcemu v lehote do 3 mesiacov od doručenia jednostrannej písomnej objednávky Kupujúceho Predávajúcemu.  </w:t>
      </w:r>
    </w:p>
    <w:p w14:paraId="1CCF8DA9" w14:textId="62F4031C"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 xml:space="preserve">Prehliadka predmetu kúpy a dokumentácie sa uskutoční v prevádzkových priestoroch </w:t>
      </w:r>
      <w:r w:rsidR="006C72F7">
        <w:rPr>
          <w:rFonts w:ascii="Arial" w:eastAsia="Times New Roman" w:hAnsi="Arial" w:cs="Arial"/>
          <w:b/>
          <w:sz w:val="20"/>
          <w:szCs w:val="20"/>
          <w:lang w:val="sk-SK" w:eastAsia="sk-SK"/>
        </w:rPr>
        <w:t>Kupujúceho</w:t>
      </w:r>
      <w:r w:rsidRPr="005D15C0">
        <w:rPr>
          <w:rFonts w:ascii="Arial" w:eastAsia="Times New Roman" w:hAnsi="Arial" w:cs="Arial"/>
          <w:b/>
          <w:sz w:val="20"/>
          <w:szCs w:val="20"/>
          <w:lang w:val="sk-SK" w:eastAsia="sk-SK"/>
        </w:rPr>
        <w:t xml:space="preserve">. Tovar sa považuje za dodaný jeho prevzatím v mieste dodania, ktorým je hospodársky dvor Kupujúceho v obci Veselé. Nebezpečenstvo škody prechádza na </w:t>
      </w:r>
      <w:r w:rsidR="006C72F7">
        <w:rPr>
          <w:rFonts w:ascii="Arial" w:eastAsia="Times New Roman" w:hAnsi="Arial" w:cs="Arial"/>
          <w:b/>
          <w:sz w:val="20"/>
          <w:szCs w:val="20"/>
          <w:lang w:val="sk-SK" w:eastAsia="sk-SK"/>
        </w:rPr>
        <w:t>K</w:t>
      </w:r>
      <w:r w:rsidRPr="005D15C0">
        <w:rPr>
          <w:rFonts w:ascii="Arial" w:eastAsia="Times New Roman" w:hAnsi="Arial" w:cs="Arial"/>
          <w:b/>
          <w:sz w:val="20"/>
          <w:szCs w:val="20"/>
          <w:lang w:val="sk-SK" w:eastAsia="sk-SK"/>
        </w:rPr>
        <w:t>upujúceho momentom jeho prevzatia v mieste dodania podpisom preberacieho protokolu.</w:t>
      </w:r>
    </w:p>
    <w:p w14:paraId="617A4D48" w14:textId="0FA4D61E"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Kupujúci nie je povinný prevziať </w:t>
      </w:r>
      <w:r w:rsidRPr="005D15C0">
        <w:rPr>
          <w:rFonts w:ascii="Arial" w:eastAsia="Times New Roman" w:hAnsi="Arial" w:cs="Arial"/>
          <w:b/>
          <w:sz w:val="20"/>
          <w:szCs w:val="20"/>
          <w:lang w:val="sk-SK" w:eastAsia="sk-SK"/>
        </w:rPr>
        <w:t xml:space="preserve">predmet kúpy </w:t>
      </w:r>
      <w:r w:rsidRPr="005D15C0">
        <w:rPr>
          <w:rFonts w:ascii="Arial" w:eastAsia="Times New Roman" w:hAnsi="Arial" w:cs="Arial"/>
          <w:sz w:val="20"/>
          <w:szCs w:val="20"/>
          <w:lang w:val="sk-SK" w:eastAsia="sk-SK"/>
        </w:rPr>
        <w:t>alebo jeho časť (ďalej len "dodávka"), ak nie je dodávka riadne ukončená, najmä ak v čase, kedy má dôjsť k odovzdaniu a prevzatiu dodávky a alebo jej časti, vykazuje dodávka alebo jej časť vady alebo nedorobky, alebo sa predmet kúpy alebo jeho časti líšia od stavu pri prehliadke podľa bodu 3.3 tejto zmluvy, prípadne, ak bol predmet kúpy alebo transportujúce vozidlo pri jeho prevoze na mieste dodania účastníkom dopravnej nehody alebo škodovej udalosti.</w:t>
      </w:r>
      <w:r w:rsidR="006C72F7">
        <w:rPr>
          <w:rFonts w:ascii="Arial" w:eastAsia="Times New Roman" w:hAnsi="Arial" w:cs="Arial"/>
          <w:sz w:val="20"/>
          <w:szCs w:val="20"/>
          <w:lang w:val="sk-SK" w:eastAsia="sk-SK"/>
        </w:rPr>
        <w:t xml:space="preserve"> </w:t>
      </w:r>
      <w:r w:rsidRPr="005D15C0">
        <w:rPr>
          <w:rFonts w:ascii="Arial" w:eastAsia="Times New Roman" w:hAnsi="Arial" w:cs="Arial"/>
          <w:sz w:val="20"/>
          <w:szCs w:val="20"/>
          <w:lang w:val="sk-SK" w:eastAsia="sk-SK"/>
        </w:rPr>
        <w:t xml:space="preserve">V prípade neprevzatia predmetu kúpy v zmysle tohto odseku znáša náklady na vrátenie </w:t>
      </w:r>
      <w:r w:rsidR="006C72F7">
        <w:rPr>
          <w:rFonts w:ascii="Arial" w:eastAsia="Times New Roman" w:hAnsi="Arial" w:cs="Arial"/>
          <w:sz w:val="20"/>
          <w:szCs w:val="20"/>
          <w:lang w:val="sk-SK" w:eastAsia="sk-SK"/>
        </w:rPr>
        <w:t>P</w:t>
      </w:r>
      <w:r w:rsidRPr="005D15C0">
        <w:rPr>
          <w:rFonts w:ascii="Arial" w:eastAsia="Times New Roman" w:hAnsi="Arial" w:cs="Arial"/>
          <w:sz w:val="20"/>
          <w:szCs w:val="20"/>
          <w:lang w:val="sk-SK" w:eastAsia="sk-SK"/>
        </w:rPr>
        <w:t>redávajúci.</w:t>
      </w:r>
    </w:p>
    <w:p w14:paraId="2BF3A889"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Vadou sa rozumie aj odchýlka v kvalite, rozsahu alebo parametroch dodávky stanovených touto Zmluvou, všeobecne záväznými právnymi predpismi alebo technickými normami. </w:t>
      </w:r>
    </w:p>
    <w:p w14:paraId="3D956065"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Nedorobkom sa rozumie aj nedokončená práca oproti technickej špecifikácii, najmä nedokončená inštalácia alebo nastavenia. Na účely uplatňovania nárokov zo záruky sa nedorobky považujú za vady dodaného predmetu kúpy.</w:t>
      </w:r>
    </w:p>
    <w:p w14:paraId="269FC741"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b/>
          <w:color w:val="000000"/>
          <w:sz w:val="20"/>
          <w:szCs w:val="20"/>
          <w:lang w:val="sk-SK" w:eastAsia="sk-SK"/>
        </w:rPr>
        <w:t xml:space="preserve">Kupujúci má právo odstúpiť od Zmluvy pred odoslaním objednávky (bod 3.1. Zmluvy) aj bez udania dôvodu. </w:t>
      </w:r>
    </w:p>
    <w:p w14:paraId="5AABC3CE" w14:textId="77777777" w:rsidR="005D15C0" w:rsidRPr="005D15C0" w:rsidRDefault="005D15C0" w:rsidP="005D15C0">
      <w:pPr>
        <w:spacing w:before="120" w:after="0" w:line="288" w:lineRule="auto"/>
        <w:ind w:right="64"/>
        <w:jc w:val="both"/>
        <w:rPr>
          <w:rFonts w:ascii="Arial" w:eastAsia="Times New Roman" w:hAnsi="Arial" w:cs="Arial"/>
          <w:b/>
          <w:sz w:val="20"/>
          <w:szCs w:val="20"/>
          <w:u w:val="single"/>
          <w:lang w:val="sk-SK" w:eastAsia="sk-SK"/>
        </w:rPr>
      </w:pPr>
    </w:p>
    <w:p w14:paraId="0A83A2B6" w14:textId="77777777" w:rsidR="005D15C0" w:rsidRPr="005D15C0" w:rsidRDefault="005D15C0" w:rsidP="005D15C0">
      <w:pPr>
        <w:numPr>
          <w:ilvl w:val="0"/>
          <w:numId w:val="1"/>
        </w:numPr>
        <w:tabs>
          <w:tab w:val="clear" w:pos="360"/>
          <w:tab w:val="num" w:pos="720"/>
        </w:tabs>
        <w:spacing w:before="120" w:after="0" w:line="288" w:lineRule="auto"/>
        <w:ind w:left="720" w:right="64" w:hanging="720"/>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 xml:space="preserve">CENA </w:t>
      </w:r>
    </w:p>
    <w:p w14:paraId="7705D0AB" w14:textId="77777777" w:rsidR="005D15C0" w:rsidRPr="005D15C0" w:rsidDel="00645553" w:rsidRDefault="005D15C0" w:rsidP="005D15C0">
      <w:pPr>
        <w:numPr>
          <w:ilvl w:val="1"/>
          <w:numId w:val="1"/>
        </w:numPr>
        <w:spacing w:before="120" w:after="0" w:line="288" w:lineRule="auto"/>
        <w:ind w:right="64"/>
        <w:jc w:val="both"/>
        <w:rPr>
          <w:rFonts w:ascii="Arial" w:eastAsia="Times New Roman" w:hAnsi="Arial" w:cs="Times New Roman"/>
          <w:sz w:val="20"/>
          <w:szCs w:val="20"/>
          <w:lang w:val="sk-SK" w:eastAsia="sk-SK"/>
        </w:rPr>
      </w:pPr>
      <w:r w:rsidRPr="005D15C0">
        <w:rPr>
          <w:rFonts w:ascii="Arial" w:eastAsia="Times New Roman" w:hAnsi="Arial" w:cs="Times New Roman"/>
          <w:sz w:val="20"/>
          <w:szCs w:val="20"/>
          <w:lang w:val="sk-SK" w:eastAsia="sk-SK"/>
        </w:rPr>
        <w:t xml:space="preserve">Kúpna cena za Predmet kúpy bola Zmluvnými stranami dohodnutá spolu vo výške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5D15C0" w:rsidRPr="005D15C0" w14:paraId="3C43C588" w14:textId="77777777" w:rsidTr="002B75B1">
        <w:tc>
          <w:tcPr>
            <w:tcW w:w="1656" w:type="dxa"/>
            <w:shd w:val="clear" w:color="auto" w:fill="auto"/>
          </w:tcPr>
          <w:p w14:paraId="352324EF"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Cena bez DPH</w:t>
            </w:r>
          </w:p>
        </w:tc>
        <w:tc>
          <w:tcPr>
            <w:tcW w:w="2268" w:type="dxa"/>
            <w:shd w:val="clear" w:color="auto" w:fill="auto"/>
          </w:tcPr>
          <w:p w14:paraId="204CC58F" w14:textId="41B6F4F2"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tc>
      </w:tr>
      <w:tr w:rsidR="005D15C0" w:rsidRPr="005D15C0" w14:paraId="5BBFC36F" w14:textId="77777777" w:rsidTr="002B75B1">
        <w:tc>
          <w:tcPr>
            <w:tcW w:w="1656" w:type="dxa"/>
            <w:shd w:val="clear" w:color="auto" w:fill="auto"/>
          </w:tcPr>
          <w:p w14:paraId="0EFDD04B"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DPH</w:t>
            </w:r>
          </w:p>
        </w:tc>
        <w:tc>
          <w:tcPr>
            <w:tcW w:w="2268" w:type="dxa"/>
            <w:shd w:val="clear" w:color="auto" w:fill="auto"/>
          </w:tcPr>
          <w:p w14:paraId="3A2C9793" w14:textId="22DFBCA9"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tc>
      </w:tr>
      <w:tr w:rsidR="005D15C0" w:rsidRPr="005D15C0" w14:paraId="37B46C47" w14:textId="77777777" w:rsidTr="002B75B1">
        <w:tc>
          <w:tcPr>
            <w:tcW w:w="1656" w:type="dxa"/>
            <w:shd w:val="clear" w:color="auto" w:fill="auto"/>
          </w:tcPr>
          <w:p w14:paraId="66B95BC7"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Cena s DPH</w:t>
            </w:r>
          </w:p>
        </w:tc>
        <w:tc>
          <w:tcPr>
            <w:tcW w:w="2268" w:type="dxa"/>
            <w:shd w:val="clear" w:color="auto" w:fill="auto"/>
          </w:tcPr>
          <w:p w14:paraId="7002D50E" w14:textId="7C556393"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tc>
      </w:tr>
    </w:tbl>
    <w:p w14:paraId="1FAAB2BE" w14:textId="77777777" w:rsidR="005D15C0" w:rsidRPr="005D15C0" w:rsidRDefault="005D15C0" w:rsidP="005D15C0">
      <w:pPr>
        <w:spacing w:before="120" w:after="0" w:line="288" w:lineRule="auto"/>
        <w:ind w:left="720"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Sumárna cena za celý Predmet kúpy je uvedená v prílohe č.2 tejto Zmluvy.</w:t>
      </w:r>
    </w:p>
    <w:p w14:paraId="7297D96B"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Kúpna cena bude uhradená bezhotovostným prevodom na účet predávajúceho nasledovne:</w:t>
      </w:r>
    </w:p>
    <w:p w14:paraId="467CD921" w14:textId="77777777" w:rsidR="005D15C0" w:rsidRPr="005D15C0" w:rsidRDefault="005D15C0" w:rsidP="005D15C0">
      <w:pPr>
        <w:numPr>
          <w:ilvl w:val="2"/>
          <w:numId w:val="1"/>
        </w:numPr>
        <w:spacing w:before="120" w:after="0" w:line="288" w:lineRule="auto"/>
        <w:ind w:right="64" w:hanging="11"/>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100 % zo sumy, za ktorú sa kúpna cena platí - do 14 dní po dodaní Predmetu kúpy.</w:t>
      </w:r>
    </w:p>
    <w:p w14:paraId="3EA2992F" w14:textId="72DA09D7" w:rsidR="005D15C0" w:rsidRPr="006C72F7" w:rsidRDefault="005D15C0" w:rsidP="005D15C0">
      <w:pPr>
        <w:numPr>
          <w:ilvl w:val="1"/>
          <w:numId w:val="1"/>
        </w:numPr>
        <w:spacing w:before="120" w:after="0" w:line="288" w:lineRule="auto"/>
        <w:ind w:right="64"/>
        <w:jc w:val="both"/>
        <w:rPr>
          <w:rFonts w:ascii="Arial" w:eastAsia="Times New Roman" w:hAnsi="Arial" w:cs="Arial"/>
          <w:b/>
          <w:sz w:val="20"/>
          <w:szCs w:val="20"/>
          <w:lang w:val="sk-SK" w:eastAsia="sk-SK"/>
        </w:rPr>
      </w:pPr>
      <w:r w:rsidRPr="006C72F7">
        <w:rPr>
          <w:rFonts w:ascii="Arial" w:eastAsia="Times New Roman" w:hAnsi="Arial" w:cs="Arial"/>
          <w:bCs/>
          <w:sz w:val="20"/>
          <w:szCs w:val="20"/>
          <w:lang w:val="sk-SK" w:eastAsia="sk-SK"/>
        </w:rPr>
        <w:t>Kúpna cena zahŕňa všetky náklady na dodanie Predmetu kúpy vrátane jeho dodania do miesta dodania</w:t>
      </w:r>
      <w:r w:rsidR="006C72F7">
        <w:rPr>
          <w:rFonts w:ascii="Arial" w:eastAsia="Times New Roman" w:hAnsi="Arial" w:cs="Arial"/>
          <w:bCs/>
          <w:sz w:val="20"/>
          <w:szCs w:val="20"/>
          <w:lang w:val="sk-SK" w:eastAsia="sk-SK"/>
        </w:rPr>
        <w:t>.</w:t>
      </w:r>
    </w:p>
    <w:p w14:paraId="7EDB83E0" w14:textId="77777777" w:rsidR="005D15C0" w:rsidRPr="005D15C0" w:rsidRDefault="005D15C0" w:rsidP="005D15C0">
      <w:pPr>
        <w:numPr>
          <w:ilvl w:val="0"/>
          <w:numId w:val="1"/>
        </w:numPr>
        <w:tabs>
          <w:tab w:val="clear" w:pos="360"/>
          <w:tab w:val="num" w:pos="720"/>
        </w:tabs>
        <w:spacing w:before="120" w:after="0" w:line="288" w:lineRule="auto"/>
        <w:ind w:left="720" w:right="64" w:hanging="720"/>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ZÁRUKA A ZMLUVNÉ POKUTY</w:t>
      </w:r>
    </w:p>
    <w:p w14:paraId="465F267B"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w:t>
      </w:r>
      <w:r w:rsidRPr="005D15C0">
        <w:rPr>
          <w:rFonts w:ascii="Arial" w:eastAsia="Times New Roman" w:hAnsi="Arial" w:cs="Arial"/>
          <w:sz w:val="20"/>
          <w:szCs w:val="20"/>
          <w:lang w:val="sk-SK" w:eastAsia="sk-SK"/>
        </w:rPr>
        <w:lastRenderedPageBreak/>
        <w:t xml:space="preserve">zodpovedá za vady, ktoré má Predmet kúpy v čase jeho odovzdania Kupujúcemu, a za vady, ktoré vznikli počas záručnej doby. </w:t>
      </w:r>
    </w:p>
    <w:p w14:paraId="4B540B22"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Záručná doba začína plynúť odo dňa nasledujúceho po odovzdaní a prevzatí Predmetu kúpy. Záručná doba sa končí uplynutím 12 mesiacov plynúcich od odovzdania Predmetu kúpy. </w:t>
      </w:r>
    </w:p>
    <w:p w14:paraId="723BF802" w14:textId="3186147D"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Predávajúci sa zaväzuje začať s odstraňovaním prípadných vád dodávky do 48 hodín od doručenia oznámenia vady Kupujúcim. Predávajúci sa zaväzuje odstrániť vadu v čo najkratšom technicky možnom čase</w:t>
      </w:r>
      <w:r w:rsidR="00CF6566">
        <w:rPr>
          <w:rFonts w:ascii="Arial" w:eastAsia="Times New Roman" w:hAnsi="Arial" w:cs="Arial"/>
          <w:sz w:val="20"/>
          <w:szCs w:val="20"/>
          <w:lang w:val="sk-SK" w:eastAsia="sk-SK"/>
        </w:rPr>
        <w:t>.</w:t>
      </w:r>
    </w:p>
    <w:p w14:paraId="294D9BE2"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p w14:paraId="2161F2A3" w14:textId="77777777" w:rsidR="005D15C0" w:rsidRPr="005D15C0" w:rsidRDefault="005D15C0" w:rsidP="005D15C0">
      <w:pPr>
        <w:numPr>
          <w:ilvl w:val="0"/>
          <w:numId w:val="1"/>
        </w:numPr>
        <w:spacing w:before="120" w:after="0" w:line="288" w:lineRule="auto"/>
        <w:ind w:right="64"/>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ZÁVEREČNÉ USTANOVENIA</w:t>
      </w:r>
    </w:p>
    <w:p w14:paraId="45A62045"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Predávajúci berie na vedomie, že predmet kúpy je predmetom žiadosti o nenávratný finančný príspevok z PRV SR 2014 – 2022, podopatrenie 4.1 Podpora na investície do poľnohospodárskych podnikov. Predávajúci sa preto zaväzuje v prípade následného uzavretia Zmluvy o poskytnutí nenávratného finančného príspevku medzi Kupujúcim ako konečným prijímateľom pomoci a poskytovateľom podpory (ďalej len "Zmluva o NFP") strpieť výkon kontroly/auditu súvisiaceho s predmetom kúpy kedykoľvek počas platnosti a účinnosti Zmluvy o poskytnutí NFP oprávnenými osobami na výkon tejto kontroly/auditu a poskytnúť im všetku potrebnú súčinnosť.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(predávajúci) je povinný poskytnúť súčinnosť v plnej miere.</w:t>
      </w:r>
    </w:p>
    <w:p w14:paraId="1130D4BB" w14:textId="77777777" w:rsidR="005D15C0" w:rsidRPr="005D15C0" w:rsidRDefault="005D15C0" w:rsidP="005D15C0">
      <w:pPr>
        <w:spacing w:before="120"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Oprávnenými osobami na výkon kontroly/auditu sú osoby, ktoré sú ako oprávnené osoby na túto činnosť uvedené v predpisoch upravujúcich žiadanie a poskytovanie nenávratného finančného príspevku a v Zmluve o NFP.</w:t>
      </w:r>
    </w:p>
    <w:p w14:paraId="195DBF5C"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Za oprávnené osoby oprávnené na výkon kontroly/auditu sa považujú najmä: Oprávnení zamestnanci poskytovateľa, MPRV SR, orgánov Európskej únie a ďalšie oprávnené osoby v súlade s právnymi predpismi SR a EÚ;</w:t>
      </w:r>
    </w:p>
    <w:p w14:paraId="3C82F374"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Na vzťahy medzi zmluvnými stranami vyplývajúce z tejto Zmluvy, ale ňou výslovne neupravené sa vzťahujú príslušné ustanovenia obchodného zákonníka. </w:t>
      </w:r>
    </w:p>
    <w:p w14:paraId="06C28A7A"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Zmeny a doplnky obsahu Zmluvy možno uskutočniť len písomne. </w:t>
      </w:r>
    </w:p>
    <w:p w14:paraId="70471BEC"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Počas doby platnosti a účinnosti Zmluvy nemôže dôjsť k žiadnej zmene (dodatkom alebo jednostranne) tých častí Zmluvy, ktoré boli predmetom hodnotenia v zmysle Hodnotiacich kritérií v procese obstarávania predmetu Zmluvy.</w:t>
      </w:r>
      <w:r w:rsidRPr="005D15C0">
        <w:rPr>
          <w:rFonts w:ascii="Arial" w:eastAsia="Times New Roman" w:hAnsi="Arial" w:cs="Arial"/>
          <w:sz w:val="20"/>
          <w:szCs w:val="20"/>
          <w:lang w:val="sk-SK" w:eastAsia="sk-SK"/>
        </w:rPr>
        <w:t xml:space="preserve"> </w:t>
      </w:r>
    </w:p>
    <w:p w14:paraId="73071003" w14:textId="77777777" w:rsidR="005D15C0" w:rsidRPr="005D15C0" w:rsidRDefault="005D15C0" w:rsidP="005D15C0">
      <w:pPr>
        <w:numPr>
          <w:ilvl w:val="1"/>
          <w:numId w:val="1"/>
        </w:numPr>
        <w:spacing w:before="120" w:after="0" w:line="288" w:lineRule="auto"/>
        <w:ind w:right="64"/>
        <w:jc w:val="both"/>
        <w:rPr>
          <w:rFonts w:ascii="Arial" w:eastAsia="Times New Roman" w:hAnsi="Arial" w:cs="Times New Roman"/>
          <w:sz w:val="20"/>
          <w:szCs w:val="20"/>
          <w:lang w:val="sk-SK" w:eastAsia="sk-SK"/>
        </w:rPr>
      </w:pPr>
      <w:r w:rsidRPr="005D15C0">
        <w:rPr>
          <w:rFonts w:ascii="Arial" w:eastAsia="Times New Roman" w:hAnsi="Arial" w:cs="Arial"/>
          <w:sz w:val="20"/>
          <w:szCs w:val="20"/>
          <w:lang w:val="sk-SK" w:eastAsia="sk-SK"/>
        </w:rPr>
        <w:t>Zmluva nadobúda platnosť a účinnosť jej podpisom oboma zmluvnými stranami.</w:t>
      </w:r>
    </w:p>
    <w:p w14:paraId="70FE36DA" w14:textId="77777777" w:rsidR="005D15C0" w:rsidRPr="005D15C0" w:rsidRDefault="005D15C0" w:rsidP="005D15C0">
      <w:pPr>
        <w:numPr>
          <w:ilvl w:val="1"/>
          <w:numId w:val="1"/>
        </w:numPr>
        <w:spacing w:before="120" w:after="0" w:line="288" w:lineRule="auto"/>
        <w:ind w:right="64"/>
        <w:jc w:val="both"/>
        <w:rPr>
          <w:rFonts w:ascii="Arial" w:eastAsia="Times New Roman" w:hAnsi="Arial" w:cs="Times New Roman"/>
          <w:sz w:val="20"/>
          <w:szCs w:val="20"/>
          <w:lang w:val="sk-SK" w:eastAsia="sk-SK"/>
        </w:rPr>
      </w:pPr>
      <w:r w:rsidRPr="005D15C0">
        <w:rPr>
          <w:rFonts w:ascii="Arial" w:eastAsia="Times New Roman" w:hAnsi="Arial" w:cs="Times New Roman"/>
          <w:sz w:val="20"/>
          <w:szCs w:val="20"/>
          <w:lang w:val="sk-SK" w:eastAsia="sk-SK"/>
        </w:rPr>
        <w:t>Predávajúci berie na vedomie, že je povinný sa registrovať v registri partnerov verejného sektora podľa zákona č. 315/2016 Z.z. o registri partnerov verejného sektora (ak je to relevantné) , a to vzhľadom na to, že na základe tejto Zmluvy prijíma prostriedky zo štátneho rozpočtu, resp. dodáva tovary/služby/práce osobe, ktorá  prijíma finančné prostriedky zo štátneho rozpočtu (Kupujúci), keďže Kupujúci financuje predmet zmluvy z fondov EU. Predávajúci prehlasuje, že je v súvislosti s touto Zmluvou registrovaný v registri partnerov verejného sektora podľa zákona č. 315/2016 Z.z. o registri partnerov verejného sektora, a zaväzuje sa byť registrovaný v uvedenom registri  aspoň po dobu trvania zmluvy. Trvanie zmluvy sa rozumie doba, počas ktorej partner verejného sektora prijíma finančné prostriedky alebo nadobúda majetok, práva k majetku alebo iné majetkové práva.</w:t>
      </w:r>
    </w:p>
    <w:p w14:paraId="638B3B76" w14:textId="77777777" w:rsidR="005D15C0" w:rsidRPr="005D15C0" w:rsidRDefault="005D15C0" w:rsidP="005D15C0">
      <w:pPr>
        <w:spacing w:before="120"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právo Kupujúceho domáhať sa voči Predávajúcemu  náhrady škody v celom rozsahu, a to aj škody presahujúcej výšku zmluvnej pokuty.</w:t>
      </w:r>
    </w:p>
    <w:p w14:paraId="6F74F7DA"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Zmluvné strany vyhlasujú, že Zmluvu riadne prečítali, jej obsahu porozumeli a na znak súhlasu ju podpisujú. </w:t>
      </w:r>
    </w:p>
    <w:p w14:paraId="75556C2A"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Zmluva je vyhotovená v dvoch rovnopisoch, po jednom pre každú Zmluvnú stranu. </w:t>
      </w:r>
    </w:p>
    <w:p w14:paraId="69237EC4" w14:textId="77777777" w:rsidR="005D15C0" w:rsidRPr="005D15C0" w:rsidRDefault="005D15C0" w:rsidP="005D15C0">
      <w:pPr>
        <w:numPr>
          <w:ilvl w:val="1"/>
          <w:numId w:val="1"/>
        </w:numPr>
        <w:spacing w:before="120" w:after="120" w:line="276" w:lineRule="auto"/>
        <w:ind w:right="62"/>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Neoddeliteľnou súčasťou tejto Kúpnej zmluvy sú:</w:t>
      </w:r>
    </w:p>
    <w:p w14:paraId="11C31A9E" w14:textId="77777777" w:rsidR="005D15C0" w:rsidRPr="005D15C0" w:rsidRDefault="005D15C0" w:rsidP="005D15C0">
      <w:pPr>
        <w:spacing w:after="0" w:line="360" w:lineRule="auto"/>
        <w:ind w:left="720" w:right="62"/>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Príloha č.1</w:t>
      </w:r>
      <w:r w:rsidRPr="005D15C0">
        <w:rPr>
          <w:rFonts w:ascii="Arial" w:eastAsia="Times New Roman" w:hAnsi="Arial" w:cs="Arial"/>
          <w:sz w:val="20"/>
          <w:szCs w:val="20"/>
          <w:lang w:val="sk-SK" w:eastAsia="sk-SK"/>
        </w:rPr>
        <w:t xml:space="preserve"> – Technická špecifikácia predmetu zmluvy</w:t>
      </w:r>
    </w:p>
    <w:p w14:paraId="04E0EB14" w14:textId="77777777" w:rsidR="005D15C0" w:rsidRPr="005D15C0" w:rsidRDefault="005D15C0" w:rsidP="005D15C0">
      <w:pPr>
        <w:spacing w:after="0" w:line="360" w:lineRule="auto"/>
        <w:ind w:left="720" w:right="64"/>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Príloha č.2</w:t>
      </w:r>
      <w:r w:rsidRPr="005D15C0">
        <w:rPr>
          <w:rFonts w:ascii="Arial" w:eastAsia="Times New Roman" w:hAnsi="Arial" w:cs="Arial"/>
          <w:sz w:val="20"/>
          <w:szCs w:val="20"/>
          <w:lang w:val="sk-SK" w:eastAsia="sk-SK"/>
        </w:rPr>
        <w:t xml:space="preserve"> – Rozpočet cenovej ponuky</w:t>
      </w:r>
    </w:p>
    <w:p w14:paraId="43A72346" w14:textId="77777777" w:rsidR="005D15C0" w:rsidRPr="005D15C0" w:rsidRDefault="005D15C0" w:rsidP="005D15C0">
      <w:pPr>
        <w:spacing w:after="0" w:line="360" w:lineRule="auto"/>
        <w:ind w:left="720" w:right="64"/>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 xml:space="preserve">Príloha č.3 - </w:t>
      </w:r>
      <w:r w:rsidRPr="005D15C0">
        <w:rPr>
          <w:rFonts w:ascii="Arial" w:eastAsia="Times New Roman" w:hAnsi="Arial" w:cs="Arial"/>
          <w:sz w:val="20"/>
          <w:szCs w:val="20"/>
          <w:lang w:val="sk-SK" w:eastAsia="sk-SK"/>
        </w:rPr>
        <w:t>Podmienky využitia subdodávateľov</w:t>
      </w:r>
    </w:p>
    <w:p w14:paraId="7E01196E"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rPr>
      </w:pPr>
    </w:p>
    <w:p w14:paraId="0B398B79" w14:textId="77777777" w:rsidR="005D15C0" w:rsidRPr="005D15C0" w:rsidRDefault="005D15C0" w:rsidP="005D15C0">
      <w:pPr>
        <w:spacing w:before="120" w:after="0" w:line="288" w:lineRule="auto"/>
        <w:ind w:right="64"/>
        <w:rPr>
          <w:rFonts w:ascii="Arial" w:eastAsia="Times New Roman" w:hAnsi="Arial" w:cs="Arial"/>
          <w:b/>
          <w:sz w:val="20"/>
          <w:szCs w:val="20"/>
          <w:lang w:val="sk-SK"/>
        </w:rPr>
      </w:pPr>
      <w:r w:rsidRPr="005D15C0">
        <w:rPr>
          <w:rFonts w:ascii="Arial" w:eastAsia="Times New Roman" w:hAnsi="Arial" w:cs="Arial"/>
          <w:b/>
          <w:sz w:val="20"/>
          <w:szCs w:val="20"/>
          <w:lang w:val="sk-SK"/>
        </w:rPr>
        <w:t>Za Predávajúceho:</w:t>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t>Za Kupujúceho:</w:t>
      </w:r>
    </w:p>
    <w:p w14:paraId="39A853D6" w14:textId="77777777" w:rsidR="005D15C0" w:rsidRPr="005D15C0" w:rsidRDefault="005D15C0" w:rsidP="005D15C0">
      <w:pPr>
        <w:spacing w:before="120" w:after="0" w:line="288" w:lineRule="auto"/>
        <w:ind w:right="64"/>
        <w:rPr>
          <w:rFonts w:ascii="Arial" w:eastAsia="Times New Roman" w:hAnsi="Arial" w:cs="Arial"/>
          <w:b/>
          <w:sz w:val="20"/>
          <w:szCs w:val="20"/>
          <w:lang w:val="sk-SK"/>
        </w:rPr>
      </w:pPr>
    </w:p>
    <w:p w14:paraId="09A4F909" w14:textId="5D65BBCB" w:rsidR="005D15C0" w:rsidRPr="006C72F7" w:rsidRDefault="006C72F7" w:rsidP="005D15C0">
      <w:pPr>
        <w:spacing w:before="120" w:after="0" w:line="288" w:lineRule="auto"/>
        <w:ind w:right="64"/>
        <w:jc w:val="both"/>
        <w:rPr>
          <w:rFonts w:ascii="Arial" w:eastAsia="Times New Roman" w:hAnsi="Arial" w:cs="Arial"/>
          <w:sz w:val="20"/>
          <w:szCs w:val="20"/>
          <w:lang w:val="sk-SK"/>
        </w:rPr>
      </w:pPr>
      <w:r w:rsidRPr="006C72F7">
        <w:rPr>
          <w:rFonts w:ascii="Arial" w:eastAsia="Times New Roman" w:hAnsi="Arial" w:cs="Arial"/>
          <w:sz w:val="20"/>
          <w:szCs w:val="20"/>
          <w:lang w:val="sk-SK"/>
        </w:rPr>
        <w:t>V </w:t>
      </w:r>
      <w:r>
        <w:rPr>
          <w:rFonts w:ascii="Arial" w:eastAsia="Times New Roman" w:hAnsi="Arial" w:cs="Arial"/>
          <w:sz w:val="20"/>
          <w:szCs w:val="20"/>
          <w:lang w:val="sk-SK"/>
        </w:rPr>
        <w:t>.......................</w:t>
      </w:r>
      <w:r w:rsidRPr="006C72F7">
        <w:rPr>
          <w:rFonts w:ascii="Arial" w:eastAsia="Times New Roman" w:hAnsi="Arial" w:cs="Arial"/>
          <w:sz w:val="20"/>
          <w:szCs w:val="20"/>
          <w:lang w:val="sk-SK"/>
        </w:rPr>
        <w:t xml:space="preserve">, dňa </w:t>
      </w:r>
      <w:r>
        <w:rPr>
          <w:rFonts w:ascii="Arial" w:eastAsia="Times New Roman" w:hAnsi="Arial" w:cs="Arial"/>
          <w:sz w:val="20"/>
          <w:szCs w:val="20"/>
          <w:lang w:val="sk-SK"/>
        </w:rPr>
        <w:t>.................</w:t>
      </w:r>
      <w:r>
        <w:rPr>
          <w:rFonts w:ascii="Arial" w:eastAsia="Times New Roman" w:hAnsi="Arial" w:cs="Arial"/>
          <w:sz w:val="20"/>
          <w:szCs w:val="20"/>
          <w:lang w:val="sk-SK"/>
        </w:rPr>
        <w:tab/>
      </w:r>
      <w:r>
        <w:rPr>
          <w:rFonts w:ascii="Arial" w:eastAsia="Times New Roman" w:hAnsi="Arial" w:cs="Arial"/>
          <w:sz w:val="20"/>
          <w:szCs w:val="20"/>
          <w:lang w:val="sk-SK"/>
        </w:rPr>
        <w:tab/>
      </w:r>
      <w:r>
        <w:rPr>
          <w:rFonts w:ascii="Arial" w:eastAsia="Times New Roman" w:hAnsi="Arial" w:cs="Arial"/>
          <w:sz w:val="20"/>
          <w:szCs w:val="20"/>
          <w:lang w:val="sk-SK"/>
        </w:rPr>
        <w:tab/>
      </w:r>
      <w:r w:rsidR="005D15C0" w:rsidRPr="006C72F7">
        <w:rPr>
          <w:rFonts w:ascii="Arial" w:eastAsia="Times New Roman" w:hAnsi="Arial" w:cs="Arial"/>
          <w:sz w:val="20"/>
          <w:szCs w:val="20"/>
          <w:lang w:val="sk-SK"/>
        </w:rPr>
        <w:t>V </w:t>
      </w:r>
      <w:r>
        <w:rPr>
          <w:rFonts w:ascii="Arial" w:eastAsia="Times New Roman" w:hAnsi="Arial" w:cs="Arial"/>
          <w:sz w:val="20"/>
          <w:szCs w:val="20"/>
          <w:lang w:val="sk-SK"/>
        </w:rPr>
        <w:t>.......................</w:t>
      </w:r>
      <w:r w:rsidR="005D15C0" w:rsidRPr="006C72F7">
        <w:rPr>
          <w:rFonts w:ascii="Arial" w:eastAsia="Times New Roman" w:hAnsi="Arial" w:cs="Arial"/>
          <w:sz w:val="20"/>
          <w:szCs w:val="20"/>
          <w:lang w:val="sk-SK"/>
        </w:rPr>
        <w:t xml:space="preserve">, dňa </w:t>
      </w:r>
      <w:r>
        <w:rPr>
          <w:rFonts w:ascii="Arial" w:eastAsia="Times New Roman" w:hAnsi="Arial" w:cs="Arial"/>
          <w:sz w:val="20"/>
          <w:szCs w:val="20"/>
          <w:lang w:val="sk-SK"/>
        </w:rPr>
        <w:t>.................</w:t>
      </w:r>
    </w:p>
    <w:p w14:paraId="18F27BE7" w14:textId="77777777" w:rsidR="005D15C0" w:rsidRPr="006C72F7" w:rsidRDefault="005D15C0" w:rsidP="005D15C0">
      <w:pPr>
        <w:spacing w:before="120" w:after="0" w:line="288" w:lineRule="auto"/>
        <w:ind w:right="64"/>
        <w:rPr>
          <w:rFonts w:ascii="Arial" w:eastAsia="Times New Roman" w:hAnsi="Arial" w:cs="Arial"/>
          <w:sz w:val="20"/>
          <w:szCs w:val="20"/>
          <w:lang w:val="sk-SK"/>
        </w:rPr>
      </w:pPr>
    </w:p>
    <w:p w14:paraId="29881826" w14:textId="77777777" w:rsidR="005D15C0" w:rsidRPr="006C72F7" w:rsidRDefault="005D15C0" w:rsidP="005D15C0">
      <w:pPr>
        <w:spacing w:before="120" w:after="0" w:line="288" w:lineRule="auto"/>
        <w:ind w:right="64"/>
        <w:rPr>
          <w:rFonts w:ascii="Arial" w:eastAsia="Times New Roman" w:hAnsi="Arial" w:cs="Arial"/>
          <w:sz w:val="20"/>
          <w:szCs w:val="20"/>
          <w:lang w:val="sk-SK"/>
        </w:rPr>
      </w:pPr>
    </w:p>
    <w:p w14:paraId="65132B5D" w14:textId="25A67BA5" w:rsidR="005D15C0" w:rsidRPr="005D15C0" w:rsidRDefault="005D15C0" w:rsidP="005D15C0">
      <w:pPr>
        <w:spacing w:after="0" w:line="288" w:lineRule="auto"/>
        <w:ind w:right="64"/>
        <w:rPr>
          <w:rFonts w:ascii="Arial" w:eastAsia="Times New Roman" w:hAnsi="Arial" w:cs="Arial"/>
          <w:sz w:val="20"/>
          <w:szCs w:val="20"/>
          <w:lang w:val="sk-SK"/>
        </w:rPr>
      </w:pPr>
      <w:r w:rsidRPr="006C72F7">
        <w:rPr>
          <w:rFonts w:ascii="Arial" w:eastAsia="Times New Roman" w:hAnsi="Arial" w:cs="Arial"/>
          <w:sz w:val="20"/>
          <w:szCs w:val="20"/>
          <w:lang w:val="sk-SK"/>
        </w:rPr>
        <w:t>....................................................</w:t>
      </w:r>
      <w:r w:rsidRPr="006C72F7">
        <w:rPr>
          <w:rFonts w:ascii="Arial" w:eastAsia="Times New Roman" w:hAnsi="Arial" w:cs="Arial"/>
          <w:sz w:val="20"/>
          <w:szCs w:val="20"/>
          <w:lang w:val="sk-SK"/>
        </w:rPr>
        <w:tab/>
      </w:r>
      <w:r w:rsidRPr="006C72F7">
        <w:rPr>
          <w:rFonts w:ascii="Arial" w:eastAsia="Times New Roman" w:hAnsi="Arial" w:cs="Arial"/>
          <w:sz w:val="20"/>
          <w:szCs w:val="20"/>
          <w:lang w:val="sk-SK"/>
        </w:rPr>
        <w:tab/>
      </w:r>
      <w:r w:rsidRPr="006C72F7">
        <w:rPr>
          <w:rFonts w:ascii="Arial" w:eastAsia="Times New Roman" w:hAnsi="Arial" w:cs="Arial"/>
          <w:sz w:val="20"/>
          <w:szCs w:val="20"/>
          <w:lang w:val="sk-SK"/>
        </w:rPr>
        <w:tab/>
      </w:r>
      <w:r w:rsidR="006C72F7" w:rsidRPr="006C72F7">
        <w:rPr>
          <w:rFonts w:ascii="Arial" w:eastAsia="Times New Roman" w:hAnsi="Arial" w:cs="Arial"/>
          <w:sz w:val="20"/>
          <w:szCs w:val="20"/>
          <w:lang w:val="sk-SK"/>
        </w:rPr>
        <w:t>....................................................</w:t>
      </w:r>
      <w:r w:rsidRPr="006C72F7">
        <w:rPr>
          <w:rFonts w:ascii="Arial" w:eastAsia="Times New Roman" w:hAnsi="Arial" w:cs="Arial"/>
          <w:sz w:val="20"/>
          <w:szCs w:val="20"/>
          <w:lang w:val="sk-SK"/>
        </w:rPr>
        <w:t>.</w:t>
      </w:r>
    </w:p>
    <w:p w14:paraId="0715D6FF" w14:textId="465B50E5" w:rsidR="007014D8" w:rsidRDefault="007014D8"/>
    <w:sectPr w:rsidR="007014D8" w:rsidSect="0029789A">
      <w:footerReference w:type="default" r:id="rId8"/>
      <w:pgSz w:w="11906" w:h="16838"/>
      <w:pgMar w:top="1258" w:right="926" w:bottom="10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DEF51" w14:textId="77777777" w:rsidR="00000000" w:rsidRDefault="006C72F7">
      <w:pPr>
        <w:spacing w:after="0" w:line="240" w:lineRule="auto"/>
      </w:pPr>
      <w:r>
        <w:separator/>
      </w:r>
    </w:p>
  </w:endnote>
  <w:endnote w:type="continuationSeparator" w:id="0">
    <w:p w14:paraId="6D9D4A44" w14:textId="77777777" w:rsidR="00000000" w:rsidRDefault="006C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275DA" w14:textId="77777777" w:rsidR="006330EF" w:rsidRPr="00BD72B4" w:rsidRDefault="006C72F7" w:rsidP="00BD72B4">
    <w:pPr>
      <w:pStyle w:val="Pta"/>
    </w:pPr>
  </w:p>
  <w:p w14:paraId="2CCFF421" w14:textId="77777777" w:rsidR="006330EF" w:rsidRPr="00BD72B4" w:rsidRDefault="006C72F7" w:rsidP="00BD72B4">
    <w:pPr>
      <w:pStyle w:val="Pta"/>
    </w:pPr>
    <w:r>
      <w:rPr>
        <w:i/>
        <w:sz w:val="18"/>
      </w:rPr>
      <w:tab/>
    </w:r>
    <w:r>
      <w:rPr>
        <w:i/>
        <w:sz w:val="18"/>
      </w:rPr>
      <w:tab/>
      <w:t xml:space="preserve">Strana </w:t>
    </w:r>
    <w:r>
      <w:t xml:space="preserv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AF6B" w14:textId="77777777" w:rsidR="00000000" w:rsidRDefault="006C72F7">
      <w:pPr>
        <w:spacing w:after="0" w:line="240" w:lineRule="auto"/>
      </w:pPr>
      <w:r>
        <w:separator/>
      </w:r>
    </w:p>
  </w:footnote>
  <w:footnote w:type="continuationSeparator" w:id="0">
    <w:p w14:paraId="2F12145C" w14:textId="77777777" w:rsidR="00000000" w:rsidRDefault="006C7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91"/>
    <w:rsid w:val="005D15C0"/>
    <w:rsid w:val="006C72F7"/>
    <w:rsid w:val="007014D8"/>
    <w:rsid w:val="007B45AD"/>
    <w:rsid w:val="008B3E92"/>
    <w:rsid w:val="00CF6566"/>
    <w:rsid w:val="00E4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AA27"/>
  <w15:chartTrackingRefBased/>
  <w15:docId w15:val="{F71FF56F-6F8E-4C09-BE01-559BEE1E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5D15C0"/>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5D15C0"/>
  </w:style>
  <w:style w:type="character" w:styleId="Odkaznakomentr">
    <w:name w:val="annotation reference"/>
    <w:semiHidden/>
    <w:rsid w:val="005D15C0"/>
    <w:rPr>
      <w:sz w:val="16"/>
      <w:szCs w:val="16"/>
    </w:rPr>
  </w:style>
  <w:style w:type="paragraph" w:styleId="Textkomentra">
    <w:name w:val="annotation text"/>
    <w:basedOn w:val="Normlny"/>
    <w:link w:val="TextkomentraChar"/>
    <w:semiHidden/>
    <w:rsid w:val="005D15C0"/>
    <w:pPr>
      <w:spacing w:after="0" w:line="240" w:lineRule="auto"/>
    </w:pPr>
    <w:rPr>
      <w:rFonts w:ascii="Times New Roman" w:eastAsia="Times New Roman" w:hAnsi="Times New Roman" w:cs="Times New Roman"/>
      <w:sz w:val="20"/>
      <w:szCs w:val="20"/>
      <w:lang w:val="cs-CZ"/>
    </w:rPr>
  </w:style>
  <w:style w:type="character" w:customStyle="1" w:styleId="TextkomentraChar">
    <w:name w:val="Text komentára Char"/>
    <w:basedOn w:val="Predvolenpsmoodseku"/>
    <w:link w:val="Textkomentra"/>
    <w:semiHidden/>
    <w:rsid w:val="005D15C0"/>
    <w:rPr>
      <w:rFonts w:ascii="Times New Roman" w:eastAsia="Times New Roman" w:hAnsi="Times New Roman" w:cs="Times New Roman"/>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europa.eu/taxation_customs/vies/viesquer.do?ms=SK&amp;iso=SK&amp;vat=20225329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 Lukáš</dc:creator>
  <cp:keywords/>
  <dc:description/>
  <cp:lastModifiedBy>Boris Haulík</cp:lastModifiedBy>
  <cp:revision>2</cp:revision>
  <dcterms:created xsi:type="dcterms:W3CDTF">2022-08-03T05:50:00Z</dcterms:created>
  <dcterms:modified xsi:type="dcterms:W3CDTF">2022-08-03T05:50:00Z</dcterms:modified>
</cp:coreProperties>
</file>