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0BAA428E" w:rsidR="008F44E2" w:rsidRPr="00C429C0"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51535B">
        <w:rPr>
          <w:rFonts w:cs="Arial"/>
          <w:noProof w:val="0"/>
          <w:color w:val="auto"/>
          <w:sz w:val="30"/>
          <w:szCs w:val="30"/>
        </w:rPr>
        <w:t>19</w:t>
      </w:r>
      <w:r w:rsidRPr="00B748DE">
        <w:rPr>
          <w:rFonts w:cs="Arial"/>
          <w:noProof w:val="0"/>
          <w:color w:val="auto"/>
          <w:sz w:val="30"/>
          <w:szCs w:val="30"/>
        </w:rPr>
        <w:t>/20</w:t>
      </w:r>
      <w:r w:rsidR="002230A5">
        <w:rPr>
          <w:rFonts w:cs="Arial"/>
          <w:noProof w:val="0"/>
          <w:color w:val="auto"/>
          <w:sz w:val="30"/>
          <w:szCs w:val="30"/>
        </w:rPr>
        <w:t>22</w:t>
      </w:r>
    </w:p>
    <w:p w14:paraId="40C86D46" w14:textId="7115B380" w:rsidR="00F57F94" w:rsidRPr="00C429C0" w:rsidRDefault="0051535B">
      <w:pPr>
        <w:pStyle w:val="Zkladntext3"/>
        <w:rPr>
          <w:rFonts w:cs="Arial"/>
          <w:noProof w:val="0"/>
          <w:color w:val="auto"/>
          <w:sz w:val="30"/>
          <w:szCs w:val="30"/>
        </w:rPr>
      </w:pPr>
      <w:r w:rsidRPr="0051535B">
        <w:rPr>
          <w:b/>
          <w:bCs/>
          <w:noProof w:val="0"/>
          <w:color w:val="auto"/>
          <w:sz w:val="32"/>
          <w:szCs w:val="24"/>
        </w:rPr>
        <w:t>Revízie, skúšky a prehliadky technických zariadení</w:t>
      </w:r>
    </w:p>
    <w:p w14:paraId="6414DD16" w14:textId="77777777" w:rsidR="00F57F94" w:rsidRPr="00C429C0" w:rsidRDefault="00F57F94">
      <w:pPr>
        <w:pStyle w:val="Zkladntext3"/>
        <w:rPr>
          <w:rFonts w:cs="Arial"/>
          <w:noProof w:val="0"/>
          <w:color w:val="auto"/>
          <w:sz w:val="30"/>
          <w:szCs w:val="30"/>
        </w:rPr>
      </w:pP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2C949510"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07B12E8D" w:rsidR="0027643E" w:rsidRDefault="00DA3E9F" w:rsidP="00AE6C96">
      <w:pPr>
        <w:tabs>
          <w:tab w:val="right" w:leader="dot" w:pos="10080"/>
        </w:tabs>
        <w:ind w:left="5940"/>
        <w:jc w:val="center"/>
        <w:rPr>
          <w:rFonts w:cs="Arial"/>
          <w:noProof w:val="0"/>
        </w:rPr>
      </w:pPr>
      <w:r>
        <w:rPr>
          <w:rFonts w:cs="Arial"/>
          <w:noProof w:val="0"/>
          <w:sz w:val="22"/>
        </w:rPr>
        <w:t>Alena Morvayová</w:t>
      </w:r>
    </w:p>
    <w:p w14:paraId="02EB24AB" w14:textId="385925E6" w:rsidR="0027643E" w:rsidRDefault="0027643E" w:rsidP="0027643E">
      <w:pPr>
        <w:rPr>
          <w:rFonts w:cs="Arial"/>
          <w:noProof w:val="0"/>
        </w:rPr>
      </w:pPr>
      <w:r>
        <w:rPr>
          <w:rFonts w:cs="Arial"/>
          <w:noProof w:val="0"/>
          <w:sz w:val="20"/>
        </w:rPr>
        <w:t xml:space="preserve">                                                                                                                       </w:t>
      </w:r>
      <w:r w:rsidR="00AE6C96">
        <w:rPr>
          <w:rFonts w:cs="Arial"/>
          <w:noProof w:val="0"/>
          <w:sz w:val="20"/>
        </w:rPr>
        <w:t xml:space="preserve">   </w:t>
      </w:r>
      <w:r>
        <w:rPr>
          <w:rFonts w:cs="Arial"/>
          <w:noProof w:val="0"/>
          <w:sz w:val="20"/>
        </w:rPr>
        <w:t>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5B27637F"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49A5B477" w:rsidR="00441CDF" w:rsidRPr="00441CDF" w:rsidRDefault="00441CDF" w:rsidP="00441CDF">
      <w:pPr>
        <w:tabs>
          <w:tab w:val="right" w:leader="dot" w:pos="10080"/>
        </w:tabs>
        <w:ind w:left="5940"/>
        <w:rPr>
          <w:rFonts w:cs="Arial"/>
          <w:sz w:val="22"/>
        </w:rPr>
      </w:pPr>
      <w:r>
        <w:rPr>
          <w:rFonts w:cs="Arial"/>
          <w:sz w:val="22"/>
        </w:rPr>
        <w:t xml:space="preserve">    </w:t>
      </w:r>
      <w:r w:rsidR="00A95D38">
        <w:rPr>
          <w:rFonts w:cs="Arial"/>
          <w:sz w:val="22"/>
        </w:rPr>
        <w:t>JUDr. Barbora Notová</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1120F36E"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65E6FC5D"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 xml:space="preserve">Ing. </w:t>
      </w:r>
      <w:r w:rsidR="00DA3E9F">
        <w:rPr>
          <w:rFonts w:cs="Arial"/>
          <w:sz w:val="22"/>
        </w:rPr>
        <w:t>Michal Halomi</w:t>
      </w:r>
    </w:p>
    <w:p w14:paraId="41485D83" w14:textId="7F4E0811" w:rsidR="0027643E" w:rsidRPr="00441CDF" w:rsidRDefault="0027643E" w:rsidP="00A95D38">
      <w:pPr>
        <w:pStyle w:val="Bezriadkovania"/>
        <w:rPr>
          <w:rFonts w:ascii="Garamond" w:hAnsi="Garamond"/>
          <w:sz w:val="20"/>
          <w:szCs w:val="20"/>
        </w:rPr>
      </w:pPr>
      <w:r>
        <w:t xml:space="preserve">                                                                                                                         </w:t>
      </w:r>
      <w:r w:rsidR="00A95D38">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A95D38">
        <w:rPr>
          <w:rFonts w:ascii="Garamond" w:hAnsi="Garamond"/>
          <w:sz w:val="20"/>
          <w:szCs w:val="20"/>
        </w:rPr>
        <w:t>C</w:t>
      </w:r>
      <w:r w:rsidR="00DA3E9F">
        <w:rPr>
          <w:rFonts w:ascii="Garamond" w:hAnsi="Garamond"/>
          <w:sz w:val="20"/>
          <w:szCs w:val="20"/>
        </w:rPr>
        <w:t>I</w:t>
      </w:r>
      <w:r w:rsidR="00A95D38">
        <w:rPr>
          <w:rFonts w:ascii="Garamond" w:hAnsi="Garamond"/>
          <w:sz w:val="20"/>
          <w:szCs w:val="20"/>
        </w:rPr>
        <w:t>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382772D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27643E">
      <w:pPr>
        <w:tabs>
          <w:tab w:val="right" w:leader="dot" w:pos="10080"/>
        </w:tabs>
        <w:ind w:left="5940"/>
        <w:rPr>
          <w:rFonts w:cs="Arial"/>
          <w:sz w:val="20"/>
        </w:rPr>
      </w:pPr>
      <w:r>
        <w:rPr>
          <w:rFonts w:cs="Arial"/>
          <w:sz w:val="20"/>
        </w:rPr>
        <w:t xml:space="preserve">     predseda predstavenstva </w:t>
      </w:r>
    </w:p>
    <w:p w14:paraId="78ABE584" w14:textId="77777777" w:rsidR="00A95D38" w:rsidRDefault="00A95D38" w:rsidP="0027643E">
      <w:pPr>
        <w:tabs>
          <w:tab w:val="right" w:leader="dot" w:pos="10080"/>
        </w:tabs>
        <w:ind w:left="5940"/>
        <w:rPr>
          <w:rFonts w:cs="Arial"/>
          <w:sz w:val="20"/>
        </w:rPr>
      </w:pPr>
    </w:p>
    <w:p w14:paraId="2A2062C2" w14:textId="7509165D" w:rsidR="0027643E" w:rsidRDefault="0027643E" w:rsidP="0027643E">
      <w:pPr>
        <w:tabs>
          <w:tab w:val="right" w:leader="dot" w:pos="10080"/>
        </w:tabs>
        <w:ind w:left="5940"/>
        <w:rPr>
          <w:rFonts w:cs="Arial"/>
          <w:noProof w:val="0"/>
          <w:sz w:val="22"/>
        </w:rPr>
      </w:pPr>
      <w:r>
        <w:rPr>
          <w:rFonts w:cs="Arial"/>
          <w:sz w:val="20"/>
        </w:rPr>
        <w:t xml:space="preserve">           </w:t>
      </w:r>
    </w:p>
    <w:p w14:paraId="3779869E" w14:textId="77799D8D" w:rsidR="00296F22" w:rsidRPr="00441CDF" w:rsidRDefault="00441CDF" w:rsidP="00441CDF">
      <w:pPr>
        <w:rPr>
          <w:rFonts w:ascii="Cambria" w:hAnsi="Cambria"/>
          <w:b/>
          <w:bCs/>
          <w:noProof w:val="0"/>
          <w:color w:val="365F91"/>
          <w:sz w:val="28"/>
          <w:szCs w:val="28"/>
          <w:lang w:eastAsia="en-US"/>
        </w:rPr>
      </w:pPr>
      <w:r>
        <w:t xml:space="preserve"> </w:t>
      </w:r>
      <w:r w:rsidR="00304638" w:rsidRPr="000B49E6">
        <w:t>O</w:t>
      </w:r>
      <w:r w:rsidR="00296F22" w:rsidRPr="000B49E6">
        <w:t>bsah</w:t>
      </w:r>
    </w:p>
    <w:p w14:paraId="4C2E2294" w14:textId="77777777" w:rsidR="00BA3C30" w:rsidRPr="000B49E6" w:rsidRDefault="00BA3C30" w:rsidP="00BA3C30">
      <w:pPr>
        <w:rPr>
          <w:noProof w:val="0"/>
          <w:lang w:eastAsia="en-US"/>
        </w:rPr>
      </w:pPr>
    </w:p>
    <w:p w14:paraId="38A7CAB7" w14:textId="64F25B77"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320F7B">
          <w:rPr>
            <w:webHidden/>
          </w:rPr>
          <w:t>4</w:t>
        </w:r>
        <w:r w:rsidR="00A112C9">
          <w:rPr>
            <w:webHidden/>
          </w:rPr>
          <w:fldChar w:fldCharType="end"/>
        </w:r>
      </w:hyperlink>
    </w:p>
    <w:p w14:paraId="18188DF3" w14:textId="0B1DDC6B" w:rsidR="00A112C9" w:rsidRDefault="00320F7B">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Pr>
            <w:webHidden/>
          </w:rPr>
          <w:t>4</w:t>
        </w:r>
        <w:r w:rsidR="00A112C9">
          <w:rPr>
            <w:webHidden/>
          </w:rPr>
          <w:fldChar w:fldCharType="end"/>
        </w:r>
      </w:hyperlink>
    </w:p>
    <w:p w14:paraId="010A50FD" w14:textId="232AA62D" w:rsidR="00A112C9" w:rsidRDefault="00320F7B">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Pr>
            <w:webHidden/>
          </w:rPr>
          <w:t>4</w:t>
        </w:r>
        <w:r w:rsidR="00A112C9">
          <w:rPr>
            <w:webHidden/>
          </w:rPr>
          <w:fldChar w:fldCharType="end"/>
        </w:r>
      </w:hyperlink>
    </w:p>
    <w:p w14:paraId="03D1A5BF" w14:textId="4BC9DCC0" w:rsidR="00A112C9" w:rsidRDefault="00320F7B">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Pr>
            <w:webHidden/>
          </w:rPr>
          <w:t>4</w:t>
        </w:r>
        <w:r w:rsidR="00A112C9">
          <w:rPr>
            <w:webHidden/>
          </w:rPr>
          <w:fldChar w:fldCharType="end"/>
        </w:r>
      </w:hyperlink>
    </w:p>
    <w:p w14:paraId="1CD04DD5" w14:textId="51CC084A" w:rsidR="00A112C9" w:rsidRDefault="00320F7B">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Pr>
            <w:webHidden/>
          </w:rPr>
          <w:t>4</w:t>
        </w:r>
        <w:r w:rsidR="00A112C9">
          <w:rPr>
            <w:webHidden/>
          </w:rPr>
          <w:fldChar w:fldCharType="end"/>
        </w:r>
      </w:hyperlink>
    </w:p>
    <w:p w14:paraId="7E46A140" w14:textId="52F9C9DD" w:rsidR="00A112C9" w:rsidRDefault="00320F7B">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Pr>
            <w:webHidden/>
          </w:rPr>
          <w:t>5</w:t>
        </w:r>
        <w:r w:rsidR="00A112C9">
          <w:rPr>
            <w:webHidden/>
          </w:rPr>
          <w:fldChar w:fldCharType="end"/>
        </w:r>
      </w:hyperlink>
    </w:p>
    <w:p w14:paraId="76A50FFE" w14:textId="52E21443" w:rsidR="00A112C9" w:rsidRDefault="00320F7B">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Pr>
            <w:webHidden/>
          </w:rPr>
          <w:t>6</w:t>
        </w:r>
        <w:r w:rsidR="00A112C9">
          <w:rPr>
            <w:webHidden/>
          </w:rPr>
          <w:fldChar w:fldCharType="end"/>
        </w:r>
      </w:hyperlink>
    </w:p>
    <w:p w14:paraId="35636F8C" w14:textId="43E65754" w:rsidR="00A112C9" w:rsidRDefault="00320F7B">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Pr>
            <w:webHidden/>
          </w:rPr>
          <w:t>6</w:t>
        </w:r>
        <w:r w:rsidR="00A112C9">
          <w:rPr>
            <w:webHidden/>
          </w:rPr>
          <w:fldChar w:fldCharType="end"/>
        </w:r>
      </w:hyperlink>
    </w:p>
    <w:p w14:paraId="42BB1378" w14:textId="7E7291BB" w:rsidR="00A112C9" w:rsidRDefault="00320F7B">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Pr>
            <w:webHidden/>
          </w:rPr>
          <w:t>7</w:t>
        </w:r>
        <w:r w:rsidR="00A112C9">
          <w:rPr>
            <w:webHidden/>
          </w:rPr>
          <w:fldChar w:fldCharType="end"/>
        </w:r>
      </w:hyperlink>
    </w:p>
    <w:p w14:paraId="1DE6B29F" w14:textId="1B5F9D28" w:rsidR="00A112C9" w:rsidRDefault="00320F7B">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Pr>
            <w:webHidden/>
          </w:rPr>
          <w:t>7</w:t>
        </w:r>
        <w:r w:rsidR="00A112C9">
          <w:rPr>
            <w:webHidden/>
          </w:rPr>
          <w:fldChar w:fldCharType="end"/>
        </w:r>
      </w:hyperlink>
    </w:p>
    <w:p w14:paraId="365F30F0" w14:textId="6EA6B440" w:rsidR="00A112C9" w:rsidRDefault="00320F7B">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Pr>
            <w:webHidden/>
          </w:rPr>
          <w:t>7</w:t>
        </w:r>
        <w:r w:rsidR="00A112C9">
          <w:rPr>
            <w:webHidden/>
          </w:rPr>
          <w:fldChar w:fldCharType="end"/>
        </w:r>
      </w:hyperlink>
    </w:p>
    <w:p w14:paraId="7CE54359" w14:textId="0AAFD7E5" w:rsidR="00A112C9" w:rsidRDefault="00320F7B">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Pr>
            <w:webHidden/>
          </w:rPr>
          <w:t>7</w:t>
        </w:r>
        <w:r w:rsidR="00A112C9">
          <w:rPr>
            <w:webHidden/>
          </w:rPr>
          <w:fldChar w:fldCharType="end"/>
        </w:r>
      </w:hyperlink>
    </w:p>
    <w:p w14:paraId="02559736" w14:textId="177AB3D1" w:rsidR="00A112C9" w:rsidRDefault="00320F7B">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Pr>
            <w:webHidden/>
          </w:rPr>
          <w:t>8</w:t>
        </w:r>
        <w:r w:rsidR="00A112C9">
          <w:rPr>
            <w:webHidden/>
          </w:rPr>
          <w:fldChar w:fldCharType="end"/>
        </w:r>
      </w:hyperlink>
    </w:p>
    <w:p w14:paraId="2896990F" w14:textId="18C255A6" w:rsidR="00A112C9" w:rsidRDefault="00320F7B">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Pr>
            <w:webHidden/>
          </w:rPr>
          <w:t>8</w:t>
        </w:r>
        <w:r w:rsidR="00A112C9">
          <w:rPr>
            <w:webHidden/>
          </w:rPr>
          <w:fldChar w:fldCharType="end"/>
        </w:r>
      </w:hyperlink>
    </w:p>
    <w:p w14:paraId="347A8EE6" w14:textId="61437F74" w:rsidR="00A112C9" w:rsidRDefault="00320F7B">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Pr>
            <w:webHidden/>
          </w:rPr>
          <w:t>8</w:t>
        </w:r>
        <w:r w:rsidR="00A112C9">
          <w:rPr>
            <w:webHidden/>
          </w:rPr>
          <w:fldChar w:fldCharType="end"/>
        </w:r>
      </w:hyperlink>
    </w:p>
    <w:p w14:paraId="5CC8CBBE" w14:textId="695AAAB1" w:rsidR="00A112C9" w:rsidRDefault="00320F7B">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Pr>
            <w:webHidden/>
          </w:rPr>
          <w:t>8</w:t>
        </w:r>
        <w:r w:rsidR="00A112C9">
          <w:rPr>
            <w:webHidden/>
          </w:rPr>
          <w:fldChar w:fldCharType="end"/>
        </w:r>
      </w:hyperlink>
    </w:p>
    <w:p w14:paraId="1E3D2F16" w14:textId="53E3509A" w:rsidR="00A112C9" w:rsidRDefault="00320F7B">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Pr>
            <w:webHidden/>
          </w:rPr>
          <w:t>8</w:t>
        </w:r>
        <w:r w:rsidR="00A112C9">
          <w:rPr>
            <w:webHidden/>
          </w:rPr>
          <w:fldChar w:fldCharType="end"/>
        </w:r>
      </w:hyperlink>
    </w:p>
    <w:p w14:paraId="2C442A85" w14:textId="30006AE0" w:rsidR="00A112C9" w:rsidRDefault="00320F7B">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Pr>
            <w:webHidden/>
          </w:rPr>
          <w:t>9</w:t>
        </w:r>
        <w:r w:rsidR="00A112C9">
          <w:rPr>
            <w:webHidden/>
          </w:rPr>
          <w:fldChar w:fldCharType="end"/>
        </w:r>
      </w:hyperlink>
    </w:p>
    <w:p w14:paraId="4E200DC0" w14:textId="73FEA1ED" w:rsidR="00A112C9" w:rsidRDefault="00320F7B">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Pr>
            <w:webHidden/>
          </w:rPr>
          <w:t>10</w:t>
        </w:r>
        <w:r w:rsidR="00A112C9">
          <w:rPr>
            <w:webHidden/>
          </w:rPr>
          <w:fldChar w:fldCharType="end"/>
        </w:r>
      </w:hyperlink>
    </w:p>
    <w:p w14:paraId="3EBC6BFF" w14:textId="5AAA204B" w:rsidR="00A112C9" w:rsidRDefault="00320F7B">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Pr>
            <w:webHidden/>
          </w:rPr>
          <w:t>10</w:t>
        </w:r>
        <w:r w:rsidR="00A112C9">
          <w:rPr>
            <w:webHidden/>
          </w:rPr>
          <w:fldChar w:fldCharType="end"/>
        </w:r>
      </w:hyperlink>
    </w:p>
    <w:p w14:paraId="5D87E908" w14:textId="2FA9F5F3" w:rsidR="00A112C9" w:rsidRDefault="00320F7B">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Pr>
            <w:webHidden/>
          </w:rPr>
          <w:t>11</w:t>
        </w:r>
        <w:r w:rsidR="00A112C9">
          <w:rPr>
            <w:webHidden/>
          </w:rPr>
          <w:fldChar w:fldCharType="end"/>
        </w:r>
      </w:hyperlink>
    </w:p>
    <w:p w14:paraId="4203B81D" w14:textId="7BD79349" w:rsidR="00A112C9" w:rsidRDefault="00320F7B">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Pr>
            <w:webHidden/>
          </w:rPr>
          <w:t>12</w:t>
        </w:r>
        <w:r w:rsidR="00A112C9">
          <w:rPr>
            <w:webHidden/>
          </w:rPr>
          <w:fldChar w:fldCharType="end"/>
        </w:r>
      </w:hyperlink>
    </w:p>
    <w:p w14:paraId="5AD7478B" w14:textId="0F921969" w:rsidR="00A112C9" w:rsidRDefault="00320F7B">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Pr>
            <w:webHidden/>
          </w:rPr>
          <w:t>13</w:t>
        </w:r>
        <w:r w:rsidR="00A112C9">
          <w:rPr>
            <w:webHidden/>
          </w:rPr>
          <w:fldChar w:fldCharType="end"/>
        </w:r>
      </w:hyperlink>
    </w:p>
    <w:p w14:paraId="0FE08D92" w14:textId="6B512B98" w:rsidR="00A112C9" w:rsidRDefault="00320F7B">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Pr>
            <w:webHidden/>
          </w:rPr>
          <w:t>13</w:t>
        </w:r>
        <w:r w:rsidR="00A112C9">
          <w:rPr>
            <w:webHidden/>
          </w:rPr>
          <w:fldChar w:fldCharType="end"/>
        </w:r>
      </w:hyperlink>
    </w:p>
    <w:p w14:paraId="34A3C6FF" w14:textId="083A705A" w:rsidR="00A112C9" w:rsidRDefault="00320F7B">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Pr>
            <w:webHidden/>
          </w:rPr>
          <w:t>14</w:t>
        </w:r>
        <w:r w:rsidR="00A112C9">
          <w:rPr>
            <w:webHidden/>
          </w:rPr>
          <w:fldChar w:fldCharType="end"/>
        </w:r>
      </w:hyperlink>
    </w:p>
    <w:p w14:paraId="08B96108" w14:textId="009F314A" w:rsidR="00A112C9" w:rsidRDefault="00320F7B">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Pr>
            <w:webHidden/>
          </w:rPr>
          <w:t>15</w:t>
        </w:r>
        <w:r w:rsidR="00A112C9">
          <w:rPr>
            <w:webHidden/>
          </w:rPr>
          <w:fldChar w:fldCharType="end"/>
        </w:r>
      </w:hyperlink>
    </w:p>
    <w:p w14:paraId="4ACC1D8A" w14:textId="0FC58080" w:rsidR="00A112C9" w:rsidRDefault="00320F7B">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Pr>
            <w:webHidden/>
          </w:rPr>
          <w:t>15</w:t>
        </w:r>
        <w:r w:rsidR="00A112C9">
          <w:rPr>
            <w:webHidden/>
          </w:rPr>
          <w:fldChar w:fldCharType="end"/>
        </w:r>
      </w:hyperlink>
    </w:p>
    <w:p w14:paraId="1396025D" w14:textId="64C3EE36" w:rsidR="00A112C9" w:rsidRDefault="00320F7B">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Pr>
            <w:webHidden/>
          </w:rPr>
          <w:t>16</w:t>
        </w:r>
        <w:r w:rsidR="00A112C9">
          <w:rPr>
            <w:webHidden/>
          </w:rPr>
          <w:fldChar w:fldCharType="end"/>
        </w:r>
      </w:hyperlink>
    </w:p>
    <w:p w14:paraId="7CE56B58" w14:textId="67CBD9FB" w:rsidR="00A112C9" w:rsidRDefault="00320F7B">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Pr>
            <w:webHidden/>
          </w:rPr>
          <w:t>16</w:t>
        </w:r>
        <w:r w:rsidR="00A112C9">
          <w:rPr>
            <w:webHidden/>
          </w:rPr>
          <w:fldChar w:fldCharType="end"/>
        </w:r>
      </w:hyperlink>
    </w:p>
    <w:p w14:paraId="08540CB4" w14:textId="5FF04C9C" w:rsidR="00A112C9" w:rsidRDefault="00320F7B">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Pr>
            <w:webHidden/>
          </w:rPr>
          <w:t>17</w:t>
        </w:r>
        <w:r w:rsidR="00A112C9">
          <w:rPr>
            <w:webHidden/>
          </w:rPr>
          <w:fldChar w:fldCharType="end"/>
        </w:r>
      </w:hyperlink>
    </w:p>
    <w:p w14:paraId="65CE0BC5" w14:textId="4784F312" w:rsidR="00A112C9" w:rsidRDefault="00320F7B">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Pr>
            <w:webHidden/>
          </w:rPr>
          <w:t>17</w:t>
        </w:r>
        <w:r w:rsidR="00A112C9">
          <w:rPr>
            <w:webHidden/>
          </w:rPr>
          <w:fldChar w:fldCharType="end"/>
        </w:r>
      </w:hyperlink>
    </w:p>
    <w:p w14:paraId="2CA6648D" w14:textId="5D276152" w:rsidR="00A112C9" w:rsidRDefault="00320F7B">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Pr>
            <w:webHidden/>
          </w:rPr>
          <w:t>17</w:t>
        </w:r>
        <w:r w:rsidR="00A112C9">
          <w:rPr>
            <w:webHidden/>
          </w:rPr>
          <w:fldChar w:fldCharType="end"/>
        </w:r>
      </w:hyperlink>
    </w:p>
    <w:p w14:paraId="024D5F92" w14:textId="43881798" w:rsidR="00A112C9" w:rsidRDefault="00320F7B">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Pr>
            <w:webHidden/>
          </w:rPr>
          <w:t>17</w:t>
        </w:r>
        <w:r w:rsidR="00A112C9">
          <w:rPr>
            <w:webHidden/>
          </w:rPr>
          <w:fldChar w:fldCharType="end"/>
        </w:r>
      </w:hyperlink>
    </w:p>
    <w:p w14:paraId="6D580441" w14:textId="65DBBE3A" w:rsidR="00A112C9" w:rsidRDefault="00320F7B">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Pr>
            <w:webHidden/>
          </w:rPr>
          <w:t>17</w:t>
        </w:r>
        <w:r w:rsidR="00A112C9">
          <w:rPr>
            <w:webHidden/>
          </w:rPr>
          <w:fldChar w:fldCharType="end"/>
        </w:r>
      </w:hyperlink>
    </w:p>
    <w:p w14:paraId="64A835DD" w14:textId="1E1BABFD" w:rsidR="00A112C9" w:rsidRDefault="00320F7B">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Pr>
            <w:webHidden/>
          </w:rPr>
          <w:t>18</w:t>
        </w:r>
        <w:r w:rsidR="00A112C9">
          <w:rPr>
            <w:webHidden/>
          </w:rPr>
          <w:fldChar w:fldCharType="end"/>
        </w:r>
      </w:hyperlink>
    </w:p>
    <w:p w14:paraId="2427409E" w14:textId="26886AD8" w:rsidR="00A112C9" w:rsidRDefault="00320F7B">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Pr>
            <w:webHidden/>
          </w:rPr>
          <w:t>18</w:t>
        </w:r>
        <w:r w:rsidR="00A112C9">
          <w:rPr>
            <w:webHidden/>
          </w:rPr>
          <w:fldChar w:fldCharType="end"/>
        </w:r>
      </w:hyperlink>
    </w:p>
    <w:p w14:paraId="10E6C55E" w14:textId="3C618F53" w:rsidR="00A112C9" w:rsidRDefault="00320F7B">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Pr>
            <w:webHidden/>
          </w:rPr>
          <w:t>18</w:t>
        </w:r>
        <w:r w:rsidR="00A112C9">
          <w:rPr>
            <w:webHidden/>
          </w:rPr>
          <w:fldChar w:fldCharType="end"/>
        </w:r>
      </w:hyperlink>
    </w:p>
    <w:p w14:paraId="002E6412" w14:textId="50E3D64B" w:rsidR="00A112C9" w:rsidRDefault="00320F7B">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Pr>
            <w:webHidden/>
          </w:rPr>
          <w:t>19</w:t>
        </w:r>
        <w:r w:rsidR="00A112C9">
          <w:rPr>
            <w:webHidden/>
          </w:rPr>
          <w:fldChar w:fldCharType="end"/>
        </w:r>
      </w:hyperlink>
    </w:p>
    <w:p w14:paraId="0EC1AD81" w14:textId="6B011D4C" w:rsidR="00A112C9" w:rsidRDefault="00320F7B">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Pr>
            <w:webHidden/>
          </w:rPr>
          <w:t>20</w:t>
        </w:r>
        <w:r w:rsidR="00A112C9">
          <w:rPr>
            <w:webHidden/>
          </w:rPr>
          <w:fldChar w:fldCharType="end"/>
        </w:r>
      </w:hyperlink>
    </w:p>
    <w:p w14:paraId="3729F2BA" w14:textId="06D5696C" w:rsidR="00A112C9" w:rsidRDefault="00320F7B">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Pr>
            <w:webHidden/>
          </w:rPr>
          <w:t>20</w:t>
        </w:r>
        <w:r w:rsidR="00A112C9">
          <w:rPr>
            <w:webHidden/>
          </w:rPr>
          <w:fldChar w:fldCharType="end"/>
        </w:r>
      </w:hyperlink>
    </w:p>
    <w:p w14:paraId="5F5188A4" w14:textId="02073A21" w:rsidR="00A112C9" w:rsidRDefault="00320F7B">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Pr>
            <w:webHidden/>
          </w:rPr>
          <w:t>20</w:t>
        </w:r>
        <w:r w:rsidR="00A112C9">
          <w:rPr>
            <w:webHidden/>
          </w:rPr>
          <w:fldChar w:fldCharType="end"/>
        </w:r>
      </w:hyperlink>
    </w:p>
    <w:p w14:paraId="55F3DB09" w14:textId="41508FBE" w:rsidR="00A112C9" w:rsidRDefault="00320F7B">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Pr>
            <w:webHidden/>
          </w:rPr>
          <w:t>21</w:t>
        </w:r>
        <w:r w:rsidR="00A112C9">
          <w:rPr>
            <w:webHidden/>
          </w:rPr>
          <w:fldChar w:fldCharType="end"/>
        </w:r>
      </w:hyperlink>
    </w:p>
    <w:p w14:paraId="0726D1D9" w14:textId="0EA8BB87" w:rsidR="00A112C9" w:rsidRDefault="00320F7B">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Pr>
            <w:webHidden/>
          </w:rPr>
          <w:t>21</w:t>
        </w:r>
        <w:r w:rsidR="00A112C9">
          <w:rPr>
            <w:webHidden/>
          </w:rPr>
          <w:fldChar w:fldCharType="end"/>
        </w:r>
      </w:hyperlink>
    </w:p>
    <w:p w14:paraId="774D22AF" w14:textId="75B2696E" w:rsidR="00A112C9" w:rsidRDefault="00320F7B">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Pr>
            <w:webHidden/>
          </w:rPr>
          <w:t>21</w:t>
        </w:r>
        <w:r w:rsidR="00A112C9">
          <w:rPr>
            <w:webHidden/>
          </w:rPr>
          <w:fldChar w:fldCharType="end"/>
        </w:r>
      </w:hyperlink>
    </w:p>
    <w:p w14:paraId="4FFB852B" w14:textId="4B88A87D" w:rsidR="00A112C9" w:rsidRDefault="00320F7B">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w:t>
        </w:r>
        <w:r w:rsidR="003D2303">
          <w:rPr>
            <w:rStyle w:val="Hypertextovprepojenie"/>
            <w:rFonts w:eastAsia="Calibri"/>
            <w:lang w:eastAsia="en-US"/>
          </w:rPr>
          <w:t>6</w:t>
        </w:r>
        <w:r w:rsidR="00A112C9" w:rsidRPr="008327D7">
          <w:rPr>
            <w:rStyle w:val="Hypertextovprepojenie"/>
            <w:rFonts w:eastAsia="Calibri"/>
            <w:lang w:eastAsia="en-US"/>
          </w:rPr>
          <w:t>.</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Pr>
            <w:webHidden/>
          </w:rPr>
          <w:t>22</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16E4C2F6" w:rsidR="00A93205" w:rsidRPr="00C62663" w:rsidRDefault="00A93205" w:rsidP="00A93205">
      <w:pPr>
        <w:ind w:firstLine="709"/>
      </w:pPr>
      <w:r w:rsidRPr="00C62663">
        <w:t>Kontaktná osoba:</w:t>
      </w:r>
      <w:r w:rsidRPr="00C62663">
        <w:tab/>
      </w:r>
      <w:r w:rsidR="00DA3E9F">
        <w:t>Alena Morvayová</w:t>
      </w:r>
    </w:p>
    <w:p w14:paraId="49D3C852" w14:textId="17E42583" w:rsidR="00A93205" w:rsidRPr="00C62663" w:rsidRDefault="00A93205" w:rsidP="00A93205">
      <w:pPr>
        <w:ind w:firstLine="709"/>
      </w:pPr>
      <w:r w:rsidRPr="00C62663">
        <w:t>Telefón:</w:t>
      </w:r>
      <w:r w:rsidRPr="00C62663">
        <w:tab/>
      </w:r>
      <w:r w:rsidRPr="00C62663">
        <w:tab/>
        <w:t>+421</w:t>
      </w:r>
      <w:r>
        <w:t> </w:t>
      </w:r>
      <w:r w:rsidR="00A64F38">
        <w:t>2 59 50 1</w:t>
      </w:r>
      <w:r w:rsidR="00DA3E9F">
        <w:t>1484</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1264F257" w:rsidR="00A93205" w:rsidRPr="00C62663" w:rsidRDefault="00A93205" w:rsidP="00A93205">
      <w:pPr>
        <w:ind w:firstLine="709"/>
      </w:pPr>
      <w:r w:rsidRPr="00C62663">
        <w:t>E-mail:</w:t>
      </w:r>
      <w:r w:rsidRPr="00C62663">
        <w:tab/>
      </w:r>
      <w:r w:rsidRPr="00C62663">
        <w:tab/>
      </w:r>
      <w:r w:rsidRPr="00C62663">
        <w:tab/>
      </w:r>
      <w:hyperlink r:id="rId10" w:history="1">
        <w:r w:rsidR="00DA3E9F">
          <w:rPr>
            <w:rStyle w:val="Hypertextovprepojenie"/>
          </w:rPr>
          <w:t>morvayova.alena</w:t>
        </w:r>
        <w:r w:rsidR="002230A5" w:rsidRPr="00C62663">
          <w:rPr>
            <w:rStyle w:val="Hypertextovprepojenie"/>
          </w:rPr>
          <w:t xml:space="preserve"> </w:t>
        </w:r>
        <w:r w:rsidRPr="00C62663">
          <w:rPr>
            <w:rStyle w:val="Hypertextovprepojenie"/>
          </w:rPr>
          <w:t>@dpb.sk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0"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v systéme JOSEPHINE registráciou a prihlásením pomocou občianskeho preukazu s elektronickým čipom a bezpečnostným osobnostným kódom (</w:t>
      </w:r>
      <w:proofErr w:type="spellStart"/>
      <w:r w:rsidRPr="004A3D36">
        <w:rPr>
          <w:rFonts w:cstheme="minorHAnsi"/>
          <w:noProof w:val="0"/>
        </w:rPr>
        <w:t>eID</w:t>
      </w:r>
      <w:proofErr w:type="spellEnd"/>
      <w:r w:rsidRPr="004A3D36">
        <w:rPr>
          <w:rFonts w:cstheme="minorHAnsi"/>
          <w:noProof w:val="0"/>
        </w:rPr>
        <w:t xml:space="preserve">). V systéme je autentifikovaná spoločnosť, ktorú pomocou </w:t>
      </w:r>
      <w:proofErr w:type="spellStart"/>
      <w:r w:rsidRPr="004A3D36">
        <w:rPr>
          <w:rFonts w:cstheme="minorHAnsi"/>
          <w:noProof w:val="0"/>
        </w:rPr>
        <w:t>eID</w:t>
      </w:r>
      <w:proofErr w:type="spellEnd"/>
      <w:r w:rsidRPr="004A3D36">
        <w:rPr>
          <w:rFonts w:cstheme="minorHAnsi"/>
          <w:noProof w:val="0"/>
        </w:rPr>
        <w:t xml:space="preserve">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 xml:space="preserve">nahraním kvalifikovaného elektronického podpisu (napríklad podpisu </w:t>
      </w:r>
      <w:proofErr w:type="spellStart"/>
      <w:r w:rsidRPr="004A3D36">
        <w:rPr>
          <w:noProof w:val="0"/>
        </w:rPr>
        <w:t>eID</w:t>
      </w:r>
      <w:proofErr w:type="spellEnd"/>
      <w:r w:rsidRPr="004A3D36">
        <w:rPr>
          <w:noProof w:val="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249A9F76" w14:textId="463D2258" w:rsidR="00B204E1" w:rsidRPr="00721B15" w:rsidRDefault="004A3D36" w:rsidP="00721B15">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5C423A50" w14:textId="77777777" w:rsidR="009069ED" w:rsidRDefault="009069ED" w:rsidP="00B204E1">
      <w:pPr>
        <w:spacing w:line="276" w:lineRule="auto"/>
        <w:jc w:val="center"/>
        <w:rPr>
          <w:rFonts w:cs="Arial"/>
          <w:sz w:val="22"/>
          <w:szCs w:val="22"/>
          <w:lang w:eastAsia="cs-CZ"/>
        </w:rPr>
      </w:pPr>
    </w:p>
    <w:p w14:paraId="5AE430E1" w14:textId="650DC4C2"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1" w:name="_Toc16684711"/>
      <w:r w:rsidRPr="00B204E1">
        <w:rPr>
          <w:lang w:eastAsia="cs-CZ"/>
        </w:rPr>
        <w:t>INFORMÁCIE O PREDMETE ZÁKAZKY</w:t>
      </w:r>
      <w:bookmarkEnd w:id="11"/>
    </w:p>
    <w:p w14:paraId="0D8B8A22" w14:textId="2081BDCF" w:rsidR="00B204E1" w:rsidRPr="00B204E1" w:rsidRDefault="004B28B5" w:rsidP="004B28B5">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4F1EB39F" w:rsidR="00B204E1" w:rsidRDefault="00B204E1" w:rsidP="004B28B5">
      <w:pPr>
        <w:numPr>
          <w:ilvl w:val="1"/>
          <w:numId w:val="8"/>
        </w:numPr>
        <w:tabs>
          <w:tab w:val="left" w:pos="2160"/>
          <w:tab w:val="left" w:pos="2880"/>
          <w:tab w:val="left" w:pos="4500"/>
        </w:tabs>
        <w:spacing w:line="276" w:lineRule="auto"/>
        <w:jc w:val="both"/>
        <w:rPr>
          <w:rFonts w:cs="Arial"/>
          <w:b/>
          <w:sz w:val="22"/>
          <w:szCs w:val="22"/>
        </w:rPr>
      </w:pPr>
      <w:r w:rsidRPr="00D35129">
        <w:rPr>
          <w:rFonts w:cs="Arial"/>
          <w:sz w:val="22"/>
          <w:szCs w:val="22"/>
        </w:rPr>
        <w:t xml:space="preserve">Názov predmetu zákazky: </w:t>
      </w:r>
      <w:r w:rsidR="0051535B" w:rsidRPr="0051535B">
        <w:rPr>
          <w:rFonts w:cs="Arial"/>
          <w:b/>
          <w:sz w:val="22"/>
          <w:szCs w:val="22"/>
        </w:rPr>
        <w:t>Revízie, skúšky a prehliadky technických zariadení</w:t>
      </w:r>
    </w:p>
    <w:p w14:paraId="67DDB593" w14:textId="7FE5A778" w:rsidR="00721B15" w:rsidRPr="00721B15" w:rsidRDefault="00721B15" w:rsidP="004B28B5">
      <w:pPr>
        <w:numPr>
          <w:ilvl w:val="1"/>
          <w:numId w:val="8"/>
        </w:numPr>
        <w:tabs>
          <w:tab w:val="left" w:pos="2160"/>
          <w:tab w:val="left" w:pos="2880"/>
          <w:tab w:val="left" w:pos="4500"/>
        </w:tabs>
        <w:spacing w:line="276" w:lineRule="auto"/>
        <w:jc w:val="both"/>
        <w:rPr>
          <w:rFonts w:cs="Arial"/>
          <w:b/>
          <w:sz w:val="22"/>
          <w:szCs w:val="22"/>
        </w:rPr>
      </w:pPr>
      <w:r>
        <w:rPr>
          <w:rFonts w:cs="Arial"/>
          <w:sz w:val="22"/>
          <w:szCs w:val="22"/>
        </w:rPr>
        <w:t>Zákazka je rozdelená na 5 kategórií:</w:t>
      </w:r>
      <w:r>
        <w:rPr>
          <w:rFonts w:cs="Arial"/>
          <w:b/>
          <w:sz w:val="22"/>
          <w:szCs w:val="22"/>
        </w:rPr>
        <w:t xml:space="preserve"> </w:t>
      </w:r>
      <w:r>
        <w:rPr>
          <w:rFonts w:cs="Arial"/>
          <w:bCs/>
          <w:sz w:val="22"/>
          <w:szCs w:val="22"/>
        </w:rPr>
        <w:t xml:space="preserve">1) Revízie a skúšky elektrických zariadení, </w:t>
      </w:r>
    </w:p>
    <w:p w14:paraId="2856A6A6" w14:textId="5A461F86" w:rsidR="00721B15" w:rsidRDefault="00721B15" w:rsidP="00721B15">
      <w:pPr>
        <w:tabs>
          <w:tab w:val="left" w:pos="2160"/>
          <w:tab w:val="left" w:pos="2880"/>
          <w:tab w:val="left" w:pos="4500"/>
        </w:tabs>
        <w:spacing w:line="276" w:lineRule="auto"/>
        <w:ind w:left="360"/>
        <w:jc w:val="both"/>
        <w:rPr>
          <w:rFonts w:cs="Arial"/>
          <w:bCs/>
          <w:sz w:val="22"/>
          <w:szCs w:val="22"/>
        </w:rPr>
      </w:pPr>
      <w:r>
        <w:rPr>
          <w:rFonts w:cs="Arial"/>
          <w:bCs/>
          <w:sz w:val="22"/>
          <w:szCs w:val="22"/>
        </w:rPr>
        <w:t xml:space="preserve">                                                        2) Revízie a skúšky trakčných zariadení – meniarní</w:t>
      </w:r>
    </w:p>
    <w:p w14:paraId="72092C29" w14:textId="0AE5DFA1" w:rsidR="00721B15" w:rsidRDefault="00721B15" w:rsidP="00721B15">
      <w:pPr>
        <w:tabs>
          <w:tab w:val="left" w:pos="2160"/>
          <w:tab w:val="left" w:pos="2880"/>
          <w:tab w:val="left" w:pos="4500"/>
        </w:tabs>
        <w:spacing w:line="276" w:lineRule="auto"/>
        <w:ind w:left="360"/>
        <w:jc w:val="both"/>
        <w:rPr>
          <w:rFonts w:cs="Arial"/>
          <w:bCs/>
          <w:sz w:val="22"/>
          <w:szCs w:val="22"/>
        </w:rPr>
      </w:pPr>
      <w:r>
        <w:rPr>
          <w:rFonts w:cs="Arial"/>
          <w:bCs/>
          <w:sz w:val="22"/>
          <w:szCs w:val="22"/>
        </w:rPr>
        <w:t xml:space="preserve">                                                        3) Odborné prehliadky a skúšky tlakových zariadení</w:t>
      </w:r>
    </w:p>
    <w:p w14:paraId="2FC0CFEC" w14:textId="40D6FD46" w:rsidR="00721B15" w:rsidRDefault="00721B15" w:rsidP="00721B15">
      <w:pPr>
        <w:tabs>
          <w:tab w:val="left" w:pos="2160"/>
          <w:tab w:val="left" w:pos="2880"/>
          <w:tab w:val="left" w:pos="4500"/>
        </w:tabs>
        <w:spacing w:line="276" w:lineRule="auto"/>
        <w:ind w:left="360"/>
        <w:jc w:val="both"/>
        <w:rPr>
          <w:rFonts w:cs="Arial"/>
          <w:bCs/>
          <w:sz w:val="22"/>
          <w:szCs w:val="22"/>
        </w:rPr>
      </w:pPr>
      <w:r>
        <w:rPr>
          <w:rFonts w:cs="Arial"/>
          <w:bCs/>
          <w:sz w:val="22"/>
          <w:szCs w:val="22"/>
        </w:rPr>
        <w:t xml:space="preserve">                                                        4) Prehliadky oceľových konštrukcií zdvíhacích zariadení</w:t>
      </w:r>
    </w:p>
    <w:p w14:paraId="12BF419F" w14:textId="2DD7E1E8" w:rsidR="00721B15" w:rsidRPr="00721B15" w:rsidRDefault="00721B15" w:rsidP="00721B15">
      <w:pPr>
        <w:tabs>
          <w:tab w:val="left" w:pos="2160"/>
          <w:tab w:val="left" w:pos="2880"/>
          <w:tab w:val="left" w:pos="4500"/>
        </w:tabs>
        <w:spacing w:line="276" w:lineRule="auto"/>
        <w:ind w:left="360"/>
        <w:jc w:val="both"/>
        <w:rPr>
          <w:rFonts w:cs="Arial"/>
          <w:bCs/>
          <w:sz w:val="22"/>
          <w:szCs w:val="22"/>
        </w:rPr>
      </w:pPr>
      <w:r w:rsidRPr="00721B15">
        <w:rPr>
          <w:rFonts w:cs="Arial"/>
          <w:bCs/>
          <w:sz w:val="22"/>
          <w:szCs w:val="22"/>
        </w:rPr>
        <w:lastRenderedPageBreak/>
        <w:t xml:space="preserve">                                                        5) </w:t>
      </w:r>
      <w:r>
        <w:rPr>
          <w:rFonts w:cs="Arial"/>
          <w:bCs/>
          <w:sz w:val="22"/>
          <w:szCs w:val="22"/>
        </w:rPr>
        <w:t xml:space="preserve"> Úradné skúšky zdvíhacích zariadení</w:t>
      </w:r>
    </w:p>
    <w:p w14:paraId="3361A23D" w14:textId="77777777"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nákupov v rámci dynamického nákupného systému: </w:t>
      </w:r>
    </w:p>
    <w:p w14:paraId="4399D0F5" w14:textId="73C40838" w:rsid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 xml:space="preserve">Povaha predpokladaných nákupov v rámci dynamického nákupného systému tvorí prílohu č. 1. </w:t>
      </w:r>
      <w:r w:rsidR="003A7C91">
        <w:rPr>
          <w:rFonts w:cs="Arial"/>
          <w:sz w:val="22"/>
        </w:rPr>
        <w:t xml:space="preserve">Opis predmetu </w:t>
      </w:r>
      <w:r w:rsidRPr="00B204E1">
        <w:rPr>
          <w:rFonts w:cs="Arial"/>
          <w:sz w:val="22"/>
        </w:rPr>
        <w:t xml:space="preserve"> zákazky</w:t>
      </w:r>
      <w:r w:rsidRPr="00B204E1">
        <w:rPr>
          <w:rFonts w:cs="Arial"/>
          <w:color w:val="000000"/>
          <w:sz w:val="22"/>
        </w:rPr>
        <w:t xml:space="preserve"> týchto súťažných podkladov.</w:t>
      </w:r>
    </w:p>
    <w:p w14:paraId="427C4188" w14:textId="77777777" w:rsidR="009069ED" w:rsidRPr="00B204E1" w:rsidRDefault="009069ED" w:rsidP="00B204E1">
      <w:pPr>
        <w:tabs>
          <w:tab w:val="left" w:pos="2160"/>
          <w:tab w:val="left" w:pos="2880"/>
          <w:tab w:val="left" w:pos="4500"/>
        </w:tabs>
        <w:spacing w:line="276" w:lineRule="auto"/>
        <w:ind w:left="426"/>
        <w:jc w:val="both"/>
        <w:rPr>
          <w:rFonts w:cs="Arial"/>
          <w:color w:val="000000"/>
          <w:sz w:val="22"/>
        </w:rPr>
      </w:pPr>
    </w:p>
    <w:p w14:paraId="283C4327" w14:textId="610EB456" w:rsidR="00B204E1" w:rsidRPr="00B204E1" w:rsidRDefault="00067B13" w:rsidP="00067B13">
      <w:pPr>
        <w:pStyle w:val="Nadpis2"/>
        <w:numPr>
          <w:ilvl w:val="0"/>
          <w:numId w:val="15"/>
        </w:numPr>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47C971E2" w14:textId="045E8DA4" w:rsidR="00B204E1" w:rsidRPr="00AE6C96" w:rsidRDefault="00B204E1" w:rsidP="00AE6C96">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r w:rsidR="00AE6C96">
        <w:rPr>
          <w:rFonts w:cs="Arial"/>
          <w:sz w:val="22"/>
          <w:szCs w:val="22"/>
        </w:rPr>
        <w:t xml:space="preserve"> </w:t>
      </w:r>
      <w:r w:rsidRPr="00AE6C96">
        <w:rPr>
          <w:rFonts w:cs="Arial"/>
          <w:sz w:val="22"/>
          <w:szCs w:val="22"/>
        </w:rPr>
        <w:t>Hlavný slovník:</w:t>
      </w:r>
      <w:r w:rsidRPr="00AE6C96">
        <w:rPr>
          <w:rFonts w:cs="Arial"/>
          <w:sz w:val="22"/>
          <w:szCs w:val="22"/>
        </w:rPr>
        <w:tab/>
      </w:r>
      <w:r w:rsidRPr="00AE6C96">
        <w:rPr>
          <w:rFonts w:cs="Arial"/>
          <w:sz w:val="22"/>
          <w:szCs w:val="22"/>
        </w:rPr>
        <w:tab/>
      </w:r>
      <w:r w:rsidRPr="00AE6C96">
        <w:rPr>
          <w:rFonts w:cs="Arial"/>
          <w:sz w:val="22"/>
          <w:szCs w:val="22"/>
        </w:rPr>
        <w:tab/>
      </w:r>
      <w:r w:rsidRPr="00AE6C96">
        <w:rPr>
          <w:rFonts w:cs="Arial"/>
          <w:sz w:val="22"/>
          <w:szCs w:val="22"/>
        </w:rPr>
        <w:tab/>
      </w:r>
    </w:p>
    <w:p w14:paraId="542B8426" w14:textId="128F8267" w:rsidR="00561B08" w:rsidRDefault="00AE6C96" w:rsidP="00980916">
      <w:pPr>
        <w:rPr>
          <w:bCs/>
        </w:rPr>
      </w:pPr>
      <w:r>
        <w:rPr>
          <w:rFonts w:cs="Arial"/>
        </w:rPr>
        <w:t xml:space="preserve">      </w:t>
      </w:r>
      <w:r w:rsidR="00B204E1" w:rsidRPr="00AE6C96">
        <w:rPr>
          <w:rFonts w:cs="Arial"/>
        </w:rPr>
        <w:t>Hlavný predmet:</w:t>
      </w:r>
      <w:r w:rsidR="00B204E1" w:rsidRPr="00AE6C96">
        <w:rPr>
          <w:rFonts w:cs="Arial"/>
        </w:rPr>
        <w:tab/>
      </w:r>
      <w:r w:rsidR="003A7C91" w:rsidRPr="00AE6C96">
        <w:rPr>
          <w:rFonts w:cs="Arial"/>
        </w:rPr>
        <w:t xml:space="preserve">          </w:t>
      </w:r>
      <w:r>
        <w:rPr>
          <w:rFonts w:cs="Arial"/>
        </w:rPr>
        <w:t xml:space="preserve">  </w:t>
      </w:r>
      <w:r w:rsidR="00561B08">
        <w:rPr>
          <w:bCs/>
        </w:rPr>
        <w:t>71600000-4  Služby v oblasti technického skúšania, technickej</w:t>
      </w:r>
    </w:p>
    <w:p w14:paraId="32A0DAE0" w14:textId="773989E4" w:rsidR="00AE6C96" w:rsidRDefault="00561B08" w:rsidP="00980916">
      <w:pPr>
        <w:rPr>
          <w:bCs/>
        </w:rPr>
      </w:pPr>
      <w:r>
        <w:rPr>
          <w:bCs/>
        </w:rPr>
        <w:t xml:space="preserve">                                                                    analýzy a technického poradenstva</w:t>
      </w:r>
    </w:p>
    <w:p w14:paraId="74D0DD96" w14:textId="1842C91C" w:rsidR="002230A5" w:rsidRDefault="00BA5B2A" w:rsidP="00561B08">
      <w:pPr>
        <w:rPr>
          <w:bCs/>
        </w:rPr>
      </w:pPr>
      <w:r>
        <w:rPr>
          <w:bCs/>
        </w:rPr>
        <w:t xml:space="preserve">                                                </w:t>
      </w:r>
      <w:r w:rsidR="00561B08">
        <w:rPr>
          <w:bCs/>
        </w:rPr>
        <w:t>71631430-3  Skúšky tesnosti</w:t>
      </w:r>
    </w:p>
    <w:p w14:paraId="552A0745" w14:textId="4B9307EB" w:rsidR="00561B08" w:rsidRDefault="00561B08" w:rsidP="00561B08">
      <w:pPr>
        <w:rPr>
          <w:bCs/>
        </w:rPr>
      </w:pPr>
      <w:r>
        <w:rPr>
          <w:bCs/>
        </w:rPr>
        <w:t xml:space="preserve">                                                71632000-7  Technické skúšky</w:t>
      </w:r>
    </w:p>
    <w:p w14:paraId="62A395EA" w14:textId="4D0B6234" w:rsidR="00561B08" w:rsidRDefault="00561B08" w:rsidP="00561B08">
      <w:pPr>
        <w:rPr>
          <w:bCs/>
        </w:rPr>
      </w:pPr>
      <w:r>
        <w:rPr>
          <w:bCs/>
        </w:rPr>
        <w:t xml:space="preserve">                                                71630000-3  Technická inšpekcia</w:t>
      </w:r>
      <w:r w:rsidR="00644FB9">
        <w:rPr>
          <w:bCs/>
        </w:rPr>
        <w:t xml:space="preserve"> a skúšanie</w:t>
      </w:r>
    </w:p>
    <w:p w14:paraId="5837E319" w14:textId="66B811A0" w:rsidR="00644FB9" w:rsidRDefault="00644FB9" w:rsidP="00561B08">
      <w:pPr>
        <w:rPr>
          <w:bCs/>
        </w:rPr>
      </w:pPr>
      <w:r>
        <w:rPr>
          <w:bCs/>
        </w:rPr>
        <w:t xml:space="preserve">                                                71632200-9  Nedeštruktívne skúšky</w:t>
      </w:r>
    </w:p>
    <w:p w14:paraId="0B5072C6" w14:textId="77777777" w:rsidR="00644FB9" w:rsidRDefault="00644FB9" w:rsidP="00561B08">
      <w:pPr>
        <w:rPr>
          <w:bCs/>
        </w:rPr>
      </w:pPr>
      <w:r>
        <w:rPr>
          <w:bCs/>
        </w:rPr>
        <w:t xml:space="preserve">                                                98110000-7  Služby poskytované podnikateľskými, profesijnými</w:t>
      </w:r>
    </w:p>
    <w:p w14:paraId="3E892441" w14:textId="69235566" w:rsidR="00644FB9" w:rsidRPr="00BA5B2A" w:rsidRDefault="00644FB9" w:rsidP="00561B08">
      <w:pPr>
        <w:rPr>
          <w:bCs/>
        </w:rPr>
      </w:pPr>
      <w:r>
        <w:rPr>
          <w:bCs/>
        </w:rPr>
        <w:t xml:space="preserve">                                                                    a odbornými organizáciami</w:t>
      </w:r>
    </w:p>
    <w:p w14:paraId="4F06E1EE" w14:textId="0BD1BA1B" w:rsidR="00B204E1" w:rsidRPr="003A7C91" w:rsidRDefault="00B204E1" w:rsidP="002230A5">
      <w:pPr>
        <w:spacing w:line="276" w:lineRule="auto"/>
        <w:ind w:left="567"/>
        <w:jc w:val="both"/>
        <w:rPr>
          <w:rFonts w:cs="Arial"/>
          <w:sz w:val="20"/>
          <w:szCs w:val="20"/>
        </w:rPr>
      </w:pPr>
    </w:p>
    <w:p w14:paraId="56163E01" w14:textId="53E6D21F" w:rsidR="00B204E1" w:rsidRPr="00B204E1" w:rsidRDefault="003C0DB0" w:rsidP="003C0DB0">
      <w:pPr>
        <w:pStyle w:val="Nadpis2"/>
        <w:numPr>
          <w:ilvl w:val="0"/>
          <w:numId w:val="15"/>
        </w:numPr>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7A1DC529" w:rsid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6321A144" w14:textId="3E0254A0" w:rsidR="00BA5B2A" w:rsidRPr="00B204E1" w:rsidRDefault="00644FB9" w:rsidP="00BA5B2A">
      <w:pPr>
        <w:tabs>
          <w:tab w:val="left" w:pos="2160"/>
          <w:tab w:val="left" w:pos="2880"/>
          <w:tab w:val="left" w:pos="4500"/>
        </w:tabs>
        <w:spacing w:line="276" w:lineRule="auto"/>
        <w:ind w:left="360"/>
        <w:jc w:val="both"/>
        <w:rPr>
          <w:rFonts w:cs="Arial"/>
          <w:color w:val="000000" w:themeColor="text1"/>
          <w:sz w:val="22"/>
          <w:szCs w:val="22"/>
        </w:rPr>
      </w:pPr>
      <w:r>
        <w:rPr>
          <w:rFonts w:cs="Arial"/>
          <w:color w:val="000000" w:themeColor="text1"/>
          <w:sz w:val="22"/>
          <w:szCs w:val="22"/>
        </w:rPr>
        <w:t xml:space="preserve">Objekty a </w:t>
      </w:r>
      <w:r w:rsidR="00BA5B2A">
        <w:rPr>
          <w:rFonts w:cs="Arial"/>
          <w:color w:val="000000" w:themeColor="text1"/>
          <w:sz w:val="22"/>
          <w:szCs w:val="22"/>
        </w:rPr>
        <w:t xml:space="preserve"> areály v správe DPB, a. s., </w:t>
      </w:r>
      <w:r>
        <w:rPr>
          <w:rFonts w:cs="Arial"/>
          <w:color w:val="000000" w:themeColor="text1"/>
          <w:sz w:val="22"/>
          <w:szCs w:val="22"/>
        </w:rPr>
        <w:t>rozmiestnené v Bratislave</w:t>
      </w:r>
    </w:p>
    <w:p w14:paraId="20DC7825" w14:textId="22805C39" w:rsidR="00B204E1" w:rsidRPr="00B204E1" w:rsidRDefault="00B204E1" w:rsidP="00BA5B2A">
      <w:pPr>
        <w:tabs>
          <w:tab w:val="left" w:pos="360"/>
        </w:tabs>
        <w:spacing w:line="276" w:lineRule="auto"/>
        <w:ind w:left="426" w:hanging="66"/>
        <w:jc w:val="both"/>
        <w:rPr>
          <w:rFonts w:cs="Arial"/>
          <w:sz w:val="22"/>
          <w:szCs w:val="22"/>
        </w:rPr>
      </w:pPr>
      <w:r w:rsidRPr="00B204E1">
        <w:rPr>
          <w:rFonts w:cs="Arial"/>
          <w:sz w:val="22"/>
          <w:szCs w:val="22"/>
        </w:rPr>
        <w:t>Konkrétne miesta poskytnutia predmetu konkrétnych zákaziek zadávaných v rámci dynamického</w:t>
      </w:r>
      <w:r w:rsidR="00644FB9">
        <w:rPr>
          <w:rFonts w:cs="Arial"/>
          <w:sz w:val="22"/>
          <w:szCs w:val="22"/>
        </w:rPr>
        <w:t xml:space="preserve"> </w:t>
      </w:r>
      <w:r w:rsidRPr="00B204E1">
        <w:rPr>
          <w:rFonts w:cs="Arial"/>
          <w:sz w:val="22"/>
          <w:szCs w:val="22"/>
        </w:rPr>
        <w:t xml:space="preserve">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11517C85"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7E22A3C0" w14:textId="11F0E7C0" w:rsidR="00A95D38" w:rsidRDefault="00A95D38" w:rsidP="00B204E1">
      <w:pPr>
        <w:shd w:val="clear" w:color="auto" w:fill="FFFFFF"/>
        <w:spacing w:line="276" w:lineRule="auto"/>
        <w:ind w:left="426"/>
        <w:jc w:val="both"/>
        <w:rPr>
          <w:rFonts w:eastAsia="Calibri" w:cs="Arial"/>
          <w:sz w:val="22"/>
          <w:szCs w:val="22"/>
          <w:lang w:eastAsia="en-US"/>
        </w:rPr>
      </w:pPr>
    </w:p>
    <w:p w14:paraId="6D003D64" w14:textId="77777777" w:rsidR="00A95D38" w:rsidRPr="00B204E1" w:rsidRDefault="00A95D38" w:rsidP="00A95D38">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Pr>
          <w:rFonts w:cs="Arial"/>
          <w:color w:val="FF0000"/>
          <w:sz w:val="22"/>
          <w:szCs w:val="22"/>
        </w:rPr>
        <w:t xml:space="preserve"> výzivev</w:t>
      </w:r>
      <w:r w:rsidRPr="00116993">
        <w:rPr>
          <w:rFonts w:cs="Arial"/>
          <w:color w:val="FF0000"/>
          <w:sz w:val="22"/>
          <w:szCs w:val="22"/>
        </w:rPr>
        <w:t xml:space="preserve"> objednáv</w:t>
      </w:r>
      <w:r>
        <w:rPr>
          <w:rFonts w:cs="Arial"/>
          <w:color w:val="FF0000"/>
          <w:sz w:val="22"/>
          <w:szCs w:val="22"/>
        </w:rPr>
        <w:t>ka</w:t>
      </w:r>
      <w:r w:rsidRPr="00116993">
        <w:rPr>
          <w:rFonts w:cs="Arial"/>
          <w:color w:val="FF0000"/>
          <w:sz w:val="22"/>
          <w:szCs w:val="22"/>
        </w:rPr>
        <w:t xml:space="preserve"> s VOP.</w:t>
      </w:r>
    </w:p>
    <w:p w14:paraId="5CB8931B" w14:textId="77777777" w:rsidR="00B204E1" w:rsidRPr="00B204E1" w:rsidRDefault="00B204E1" w:rsidP="00DA3E9F">
      <w:pPr>
        <w:shd w:val="clear" w:color="auto" w:fill="FFFFFF"/>
        <w:spacing w:line="276" w:lineRule="auto"/>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End w:id="20"/>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1" w:name="financovanie"/>
      <w:bookmarkEnd w:id="21"/>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08DCCDF2"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CD0FBF">
        <w:rPr>
          <w:rFonts w:cs="Arial"/>
          <w:b/>
          <w:color w:val="000000" w:themeColor="text1"/>
          <w:sz w:val="22"/>
          <w:szCs w:val="22"/>
        </w:rPr>
        <w:t>4</w:t>
      </w:r>
      <w:r w:rsidR="0098783B">
        <w:rPr>
          <w:rFonts w:cs="Arial"/>
          <w:b/>
          <w:color w:val="000000" w:themeColor="text1"/>
          <w:sz w:val="22"/>
          <w:szCs w:val="22"/>
        </w:rPr>
        <w:t>50</w:t>
      </w:r>
      <w:r w:rsidR="00CD0FBF">
        <w:rPr>
          <w:rFonts w:cs="Arial"/>
          <w:b/>
          <w:color w:val="000000" w:themeColor="text1"/>
          <w:sz w:val="22"/>
          <w:szCs w:val="22"/>
        </w:rPr>
        <w:t xml:space="preserve"> 000</w:t>
      </w:r>
      <w:r w:rsidR="00DA3E9F">
        <w:rPr>
          <w:rFonts w:cs="Arial"/>
          <w:b/>
          <w:color w:val="000000" w:themeColor="text1"/>
          <w:sz w:val="22"/>
          <w:szCs w:val="22"/>
        </w:rPr>
        <w:t>,00</w:t>
      </w:r>
      <w:r w:rsidR="00813489">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4840AAF9" w14:textId="4FF9F6B7" w:rsidR="00AE6C96" w:rsidRPr="009069ED" w:rsidRDefault="004B28B5" w:rsidP="009069ED">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lastRenderedPageBreak/>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5" w:name="_Toc16684720"/>
      <w:r>
        <w:t>O</w:t>
      </w:r>
      <w:r w:rsidR="00B204E1" w:rsidRPr="003C0DB0">
        <w:t>bsah žiadosti o účasť</w:t>
      </w:r>
      <w:bookmarkEnd w:id="25"/>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773A8161"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8A29D4">
        <w:rPr>
          <w:rFonts w:eastAsia="Calibri" w:cs="Arial"/>
          <w:sz w:val="22"/>
          <w:szCs w:val="22"/>
          <w:lang w:eastAsia="en-US"/>
        </w:rPr>
        <w:t xml:space="preserve">. </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lastRenderedPageBreak/>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381E213A"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012CAD">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4" w:name="_Toc16684722"/>
      <w:r w:rsidRPr="00F01689">
        <w:t>O</w:t>
      </w:r>
      <w:r w:rsidR="00B204E1" w:rsidRPr="00F01689">
        <w:rPr>
          <w:rStyle w:val="Nadpis2Char"/>
          <w:rFonts w:eastAsia="Calibri"/>
          <w:b/>
          <w:bCs/>
        </w:rPr>
        <w:t>právnenie predložiť žiadosť o účasť a späťvzatie žiadosti o účasť</w:t>
      </w:r>
      <w:bookmarkEnd w:id="34"/>
    </w:p>
    <w:p w14:paraId="2F665916" w14:textId="58E0321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003D2303"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D2303">
        <w:rPr>
          <w:rFonts w:eastAsia="Calibri"/>
          <w:sz w:val="22"/>
          <w:szCs w:val="22"/>
          <w:lang w:eastAsia="en-US"/>
        </w:rPr>
        <w:t>obstarávateľskej organizácii</w:t>
      </w:r>
      <w:r w:rsidR="003D2303"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3D2303">
        <w:rPr>
          <w:rFonts w:eastAsia="Calibri"/>
          <w:sz w:val="22"/>
          <w:szCs w:val="22"/>
          <w:lang w:eastAsia="en-US"/>
        </w:rPr>
        <w:t> danom procese</w:t>
      </w:r>
      <w:r w:rsidR="003D2303" w:rsidRPr="00B204E1">
        <w:rPr>
          <w:rFonts w:eastAsia="Calibri"/>
          <w:sz w:val="22"/>
          <w:szCs w:val="22"/>
          <w:lang w:eastAsia="en-US"/>
        </w:rPr>
        <w:t>.</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F8DA3A1"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Späťvzatú žiadosť o účasť je </w:t>
      </w:r>
      <w:r w:rsidRPr="00B204E1">
        <w:rPr>
          <w:rFonts w:eastAsia="Calibri"/>
          <w:sz w:val="22"/>
          <w:szCs w:val="22"/>
          <w:lang w:eastAsia="en-US"/>
        </w:rPr>
        <w:lastRenderedPageBreak/>
        <w:t>potrebné doručiť spôsobom opísaným v týchto súťažných podkladoch v lehote na predkladanie žiadostí o účasť.</w:t>
      </w:r>
    </w:p>
    <w:p w14:paraId="77CB4ACD" w14:textId="77777777" w:rsidR="00813489" w:rsidRPr="00B204E1" w:rsidRDefault="00813489"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5"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6" w:name="_Toc16684724"/>
      <w:r w:rsidRPr="00F01689">
        <w:rPr>
          <w:rFonts w:eastAsia="Calibri"/>
          <w:lang w:eastAsia="en-US"/>
        </w:rPr>
        <w:t>P</w:t>
      </w:r>
      <w:r w:rsidR="00B204E1" w:rsidRPr="00F01689">
        <w:rPr>
          <w:rFonts w:eastAsia="Calibri"/>
          <w:lang w:eastAsia="en-US"/>
        </w:rPr>
        <w:t>osúdenie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37"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7"/>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39C8FA6" w14:textId="6542C064" w:rsidR="00B204E1" w:rsidRPr="003D2303" w:rsidRDefault="003D2303" w:rsidP="003D2303">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Pr="00B204E1">
        <w:rPr>
          <w:rFonts w:eastAsia="Calibri" w:cs="Arial"/>
          <w:sz w:val="22"/>
          <w:szCs w:val="22"/>
          <w:lang w:eastAsia="en-US"/>
        </w:rPr>
        <w:t xml:space="preserve"> podľa zákona (ak je to relevantné) písomne </w:t>
      </w:r>
      <w:r w:rsidRPr="00B204E1">
        <w:rPr>
          <w:rFonts w:eastAsia="Calibri"/>
          <w:sz w:val="22"/>
          <w:szCs w:val="22"/>
          <w:lang w:eastAsia="en-US"/>
        </w:rPr>
        <w:t xml:space="preserve">– elektronicky, spôsobom určeným funkcionalitou </w:t>
      </w:r>
      <w:r>
        <w:rPr>
          <w:rFonts w:eastAsia="Calibri"/>
          <w:sz w:val="22"/>
          <w:szCs w:val="22"/>
          <w:lang w:eastAsia="en-US"/>
        </w:rPr>
        <w:t>JOSEPHINE</w:t>
      </w:r>
      <w:r w:rsidRPr="00B204E1">
        <w:rPr>
          <w:rFonts w:eastAsia="Calibri"/>
          <w:sz w:val="22"/>
          <w:szCs w:val="22"/>
          <w:lang w:eastAsia="en-US"/>
        </w:rPr>
        <w:t>,</w:t>
      </w:r>
      <w:r w:rsidRPr="00B204E1">
        <w:rPr>
          <w:rFonts w:eastAsia="Calibri" w:cs="Arial"/>
          <w:sz w:val="22"/>
          <w:szCs w:val="22"/>
          <w:lang w:eastAsia="en-US"/>
        </w:rPr>
        <w:t xml:space="preserve"> požiada záujemcu, </w:t>
      </w:r>
      <w:r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End w:id="40"/>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1"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w:t>
      </w:r>
      <w:r w:rsidRPr="00B204E1">
        <w:rPr>
          <w:rFonts w:eastAsia="Calibri"/>
          <w:sz w:val="22"/>
          <w:szCs w:val="22"/>
          <w:lang w:eastAsia="en-US"/>
        </w:rPr>
        <w:lastRenderedPageBreak/>
        <w:t>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r w:rsidRPr="00B204E1">
        <w:rPr>
          <w:rFonts w:eastAsia="Calibri"/>
          <w:b/>
          <w:sz w:val="22"/>
          <w:szCs w:val="22"/>
          <w:lang w:eastAsia="en-US"/>
        </w:rPr>
        <w:t>Časť V.</w:t>
      </w:r>
      <w:bookmarkEnd w:id="42"/>
    </w:p>
    <w:p w14:paraId="52DD6805" w14:textId="77777777" w:rsidR="00B204E1" w:rsidRPr="00B204E1" w:rsidRDefault="00B204E1" w:rsidP="00D84065">
      <w:pPr>
        <w:pStyle w:val="Nadpis1"/>
        <w:rPr>
          <w:rFonts w:eastAsia="Calibri"/>
          <w:lang w:eastAsia="en-US"/>
        </w:rPr>
      </w:pPr>
      <w:bookmarkStart w:id="43" w:name="_Toc1668472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4"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5"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09885389"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r w:rsidRPr="00B204E1">
        <w:rPr>
          <w:rFonts w:eastAsia="Calibri"/>
          <w:b/>
          <w:sz w:val="22"/>
          <w:szCs w:val="22"/>
          <w:lang w:eastAsia="en-US"/>
        </w:rPr>
        <w:lastRenderedPageBreak/>
        <w:t>Časť VI.</w:t>
      </w:r>
      <w:bookmarkEnd w:id="46"/>
    </w:p>
    <w:p w14:paraId="3ABB803A" w14:textId="77777777" w:rsidR="00B204E1" w:rsidRDefault="00B204E1" w:rsidP="00D84065">
      <w:pPr>
        <w:pStyle w:val="Nadpis1"/>
        <w:rPr>
          <w:rFonts w:eastAsia="Calibri"/>
          <w:lang w:eastAsia="en-US"/>
        </w:rPr>
      </w:pPr>
      <w:bookmarkStart w:id="47" w:name="_Toc16684732"/>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8" w:name="_Toc16684733"/>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49"/>
    </w:p>
    <w:p w14:paraId="4D880167" w14:textId="40EFB3F0"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0" w:name="_Toc16684734"/>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1"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46D6DCA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3F65584F"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4CF75603"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w:t>
      </w:r>
      <w:r w:rsidRPr="00B204E1">
        <w:rPr>
          <w:rFonts w:eastAsia="Calibri"/>
          <w:sz w:val="22"/>
          <w:szCs w:val="22"/>
          <w:lang w:eastAsia="en-US"/>
        </w:rPr>
        <w:lastRenderedPageBreak/>
        <w:t>jednotiek) uvedeného v štruktúrovanom rozpočte ceny/výkaze výmer. Do príslušnej položky musia byť započítané všetky náklady, ktoré s ňou bezprostredne súvisia.</w:t>
      </w:r>
    </w:p>
    <w:p w14:paraId="5397A0B1" w14:textId="5C2B4C57"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041C97C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2" w:name="_Toc16684736"/>
      <w:r w:rsidR="00233D83"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r w:rsidRPr="00B204E1">
        <w:rPr>
          <w:rFonts w:eastAsia="Calibri"/>
          <w:b/>
          <w:sz w:val="22"/>
          <w:szCs w:val="22"/>
          <w:lang w:eastAsia="en-US"/>
        </w:rPr>
        <w:t>Časť VII.</w:t>
      </w:r>
      <w:bookmarkEnd w:id="53"/>
    </w:p>
    <w:p w14:paraId="28CBACA5" w14:textId="77777777" w:rsidR="00B204E1" w:rsidRPr="00B204E1" w:rsidRDefault="00B204E1" w:rsidP="00185B18">
      <w:pPr>
        <w:pStyle w:val="Nadpis1"/>
        <w:rPr>
          <w:rFonts w:eastAsia="Calibri"/>
          <w:lang w:eastAsia="en-US"/>
        </w:rPr>
      </w:pPr>
      <w:bookmarkStart w:id="54" w:name="_Toc16684738"/>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5" w:name="_Toc16684739"/>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r w:rsidRPr="00B204E1">
        <w:rPr>
          <w:rFonts w:eastAsia="Calibri"/>
          <w:b/>
          <w:sz w:val="22"/>
          <w:szCs w:val="22"/>
          <w:lang w:eastAsia="en-US"/>
        </w:rPr>
        <w:t>Časť VIII.</w:t>
      </w:r>
      <w:bookmarkEnd w:id="56"/>
    </w:p>
    <w:p w14:paraId="1B3BC37D" w14:textId="77777777" w:rsidR="00B204E1" w:rsidRDefault="00B204E1" w:rsidP="00185B18">
      <w:pPr>
        <w:pStyle w:val="Nadpis1"/>
        <w:rPr>
          <w:rFonts w:eastAsia="Calibri"/>
          <w:lang w:eastAsia="en-US"/>
        </w:rPr>
      </w:pPr>
      <w:bookmarkStart w:id="57" w:name="_Toc16684741"/>
      <w:r w:rsidRPr="00B204E1">
        <w:rPr>
          <w:rFonts w:eastAsia="Calibri"/>
          <w:lang w:eastAsia="en-US"/>
        </w:rPr>
        <w:t>PREDKLADANIE A VYHODNOCOVANIE PONÚK NA KONKRÉTNE ZÁKAZKY ZADÁVANÉ V RÁMCI DYNAMICKÉHO NÁKUPNÉHO SYSTÉMU</w:t>
      </w:r>
      <w:bookmarkEnd w:id="57"/>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8" w:name="_Toc16684742"/>
      <w:r w:rsidRPr="00185B18">
        <w:rPr>
          <w:rStyle w:val="Nadpis2Char"/>
          <w:rFonts w:eastAsia="Calibri"/>
          <w:b/>
        </w:rPr>
        <w:t>O</w:t>
      </w:r>
      <w:r w:rsidR="00B204E1" w:rsidRPr="006B4775">
        <w:rPr>
          <w:rStyle w:val="Nadpis2Char"/>
          <w:rFonts w:eastAsia="Calibri"/>
          <w:b/>
        </w:rPr>
        <w:t>právnenie predložiť ponuku</w:t>
      </w:r>
      <w:bookmarkEnd w:id="58"/>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59" w:name="_Toc16684743"/>
      <w:r w:rsidRPr="006B4775">
        <w:rPr>
          <w:rStyle w:val="Nadpis2Char"/>
          <w:rFonts w:eastAsia="Calibri"/>
          <w:b/>
        </w:rPr>
        <w:t>P</w:t>
      </w:r>
      <w:r w:rsidR="00B204E1" w:rsidRPr="006B4775">
        <w:rPr>
          <w:rStyle w:val="Nadpis2Char"/>
          <w:rFonts w:eastAsia="Calibri"/>
          <w:b/>
        </w:rPr>
        <w:t>redloženie ponuky a späťvzatie ponuky</w:t>
      </w:r>
      <w:bookmarkEnd w:id="59"/>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0"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0"/>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1"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2" w:name="_Hlk346413"/>
      <w:r w:rsidRPr="00B204E1">
        <w:rPr>
          <w:rFonts w:eastAsia="Calibri" w:cs="Arial"/>
          <w:sz w:val="22"/>
          <w:szCs w:val="22"/>
          <w:lang w:eastAsia="en-US"/>
        </w:rPr>
        <w:t xml:space="preserve">na konkrétnu zadávanú zákazku v rámci dynamického nákupného systému </w:t>
      </w:r>
      <w:bookmarkEnd w:id="62"/>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1"/>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3" w:name="_Toc16684744"/>
      <w:r>
        <w:rPr>
          <w:rStyle w:val="Nadpis2Char"/>
          <w:rFonts w:eastAsia="Calibri"/>
          <w:b/>
        </w:rPr>
        <w:t>M</w:t>
      </w:r>
      <w:r w:rsidR="00B204E1" w:rsidRPr="006B4775">
        <w:rPr>
          <w:rStyle w:val="Nadpis2Char"/>
          <w:rFonts w:eastAsia="Calibri"/>
          <w:b/>
        </w:rPr>
        <w:t>iesto a lehota na predkladanie ponúk</w:t>
      </w:r>
      <w:bookmarkEnd w:id="63"/>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5"/>
      <w:r w:rsidRPr="006B4775">
        <w:rPr>
          <w:rStyle w:val="Nadpis2Char"/>
          <w:rFonts w:eastAsia="Calibri"/>
          <w:b/>
        </w:rPr>
        <w:t>L</w:t>
      </w:r>
      <w:r w:rsidR="00B204E1" w:rsidRPr="006B4775">
        <w:rPr>
          <w:rStyle w:val="Nadpis2Char"/>
          <w:rFonts w:eastAsia="Calibri"/>
          <w:b/>
        </w:rPr>
        <w:t>ehota viazanosti ponúk</w:t>
      </w:r>
      <w:bookmarkEnd w:id="64"/>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5" w:name="_Toc16684746"/>
      <w:r w:rsidRPr="00185B18">
        <w:rPr>
          <w:rStyle w:val="Nadpis2Char"/>
          <w:rFonts w:eastAsia="Calibri"/>
          <w:b/>
        </w:rPr>
        <w:t>O</w:t>
      </w:r>
      <w:r w:rsidR="00B204E1" w:rsidRPr="006B4775">
        <w:rPr>
          <w:rStyle w:val="Nadpis2Char"/>
          <w:rFonts w:eastAsia="Calibri"/>
          <w:b/>
        </w:rPr>
        <w:t>tváranie ponúk</w:t>
      </w:r>
      <w:bookmarkEnd w:id="65"/>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6"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66"/>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67"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67"/>
      <w:r w:rsidRPr="00B204E1">
        <w:rPr>
          <w:rFonts w:ascii="Garamond" w:hAnsi="Garamond" w:cs="Arial"/>
          <w:lang w:eastAsia="cs-CZ"/>
        </w:rPr>
        <w:t xml:space="preserve">. </w:t>
      </w:r>
      <w:bookmarkStart w:id="68"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69"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69"/>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0"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0"/>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1" w:name="_Toc16684747"/>
      <w:r>
        <w:rPr>
          <w:rStyle w:val="Nadpis2Char"/>
          <w:rFonts w:eastAsia="Calibri"/>
          <w:b/>
        </w:rPr>
        <w:lastRenderedPageBreak/>
        <w:t>V</w:t>
      </w:r>
      <w:r w:rsidR="00B204E1" w:rsidRPr="006B4775">
        <w:rPr>
          <w:rStyle w:val="Nadpis2Char"/>
          <w:rFonts w:eastAsia="Calibri"/>
          <w:b/>
        </w:rPr>
        <w:t>yhodnocovanie ponúk</w:t>
      </w:r>
      <w:bookmarkEnd w:id="71"/>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2" w:name="_Toc16684748"/>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4" w:name="_Toc16684749"/>
      <w:r>
        <w:rPr>
          <w:rFonts w:eastAsia="Calibri"/>
          <w:lang w:eastAsia="en-US"/>
        </w:rPr>
        <w:t>V</w:t>
      </w:r>
      <w:r w:rsidR="00B204E1" w:rsidRPr="006B4775">
        <w:rPr>
          <w:rFonts w:eastAsia="Calibri"/>
          <w:lang w:eastAsia="en-US"/>
        </w:rPr>
        <w:t>ylúčenie ponuky/dodávateľa</w:t>
      </w:r>
      <w:bookmarkEnd w:id="74"/>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50"/>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1"/>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2"/>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563914FF" w:rsidR="00B204E1" w:rsidRPr="006B4775" w:rsidRDefault="006B4775" w:rsidP="003D2303">
      <w:pPr>
        <w:pStyle w:val="Nadpis2"/>
        <w:numPr>
          <w:ilvl w:val="0"/>
          <w:numId w:val="24"/>
        </w:numPr>
        <w:spacing w:line="276" w:lineRule="auto"/>
        <w:jc w:val="both"/>
        <w:rPr>
          <w:rFonts w:eastAsia="Calibri"/>
          <w:b w:val="0"/>
          <w:sz w:val="22"/>
          <w:szCs w:val="22"/>
          <w:lang w:eastAsia="en-US"/>
        </w:rPr>
      </w:pPr>
      <w:bookmarkStart w:id="78" w:name="_Toc16684756"/>
      <w:r w:rsidRPr="00185B18">
        <w:rPr>
          <w:rStyle w:val="Nadpis2Char"/>
          <w:rFonts w:eastAsia="Calibri"/>
          <w:b/>
        </w:rPr>
        <w:t>O</w:t>
      </w:r>
      <w:r w:rsidR="00B204E1" w:rsidRPr="006B4775">
        <w:rPr>
          <w:rStyle w:val="Nadpis2Char"/>
          <w:rFonts w:eastAsia="Calibri"/>
          <w:b/>
        </w:rPr>
        <w:t>chrana osobných údajov</w:t>
      </w:r>
      <w:bookmarkEnd w:id="78"/>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AA26" w14:textId="77777777" w:rsidR="009F31B3" w:rsidRDefault="009F31B3">
      <w:r>
        <w:separator/>
      </w:r>
    </w:p>
  </w:endnote>
  <w:endnote w:type="continuationSeparator" w:id="0">
    <w:p w14:paraId="7BA33F5E" w14:textId="77777777" w:rsidR="009F31B3" w:rsidRDefault="009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0FD8" w14:textId="77777777" w:rsidR="009F31B3" w:rsidRDefault="009F31B3">
      <w:r>
        <w:separator/>
      </w:r>
    </w:p>
  </w:footnote>
  <w:footnote w:type="continuationSeparator" w:id="0">
    <w:p w14:paraId="484C343B" w14:textId="77777777" w:rsidR="009F31B3" w:rsidRDefault="009F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6"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18351217">
    <w:abstractNumId w:val="29"/>
  </w:num>
  <w:num w:numId="2" w16cid:durableId="1053238737">
    <w:abstractNumId w:val="35"/>
  </w:num>
  <w:num w:numId="3" w16cid:durableId="1226793237">
    <w:abstractNumId w:val="15"/>
  </w:num>
  <w:num w:numId="4" w16cid:durableId="288586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921951">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686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041452">
    <w:abstractNumId w:val="13"/>
  </w:num>
  <w:num w:numId="8" w16cid:durableId="1043868923">
    <w:abstractNumId w:val="31"/>
  </w:num>
  <w:num w:numId="9" w16cid:durableId="467743519">
    <w:abstractNumId w:val="42"/>
  </w:num>
  <w:num w:numId="10" w16cid:durableId="801583045">
    <w:abstractNumId w:val="18"/>
  </w:num>
  <w:num w:numId="11" w16cid:durableId="1707022281">
    <w:abstractNumId w:val="33"/>
  </w:num>
  <w:num w:numId="12" w16cid:durableId="102574078">
    <w:abstractNumId w:val="41"/>
  </w:num>
  <w:num w:numId="13" w16cid:durableId="511533162">
    <w:abstractNumId w:val="7"/>
  </w:num>
  <w:num w:numId="14" w16cid:durableId="1219971271">
    <w:abstractNumId w:val="5"/>
  </w:num>
  <w:num w:numId="15" w16cid:durableId="19016271">
    <w:abstractNumId w:val="23"/>
  </w:num>
  <w:num w:numId="16" w16cid:durableId="2126536335">
    <w:abstractNumId w:val="21"/>
  </w:num>
  <w:num w:numId="17" w16cid:durableId="109707368">
    <w:abstractNumId w:val="1"/>
  </w:num>
  <w:num w:numId="18" w16cid:durableId="825516765">
    <w:abstractNumId w:val="28"/>
  </w:num>
  <w:num w:numId="19" w16cid:durableId="495615944">
    <w:abstractNumId w:val="34"/>
  </w:num>
  <w:num w:numId="20" w16cid:durableId="483397666">
    <w:abstractNumId w:val="4"/>
  </w:num>
  <w:num w:numId="21" w16cid:durableId="1798059276">
    <w:abstractNumId w:val="10"/>
  </w:num>
  <w:num w:numId="22" w16cid:durableId="1614243702">
    <w:abstractNumId w:val="37"/>
  </w:num>
  <w:num w:numId="23" w16cid:durableId="1228802496">
    <w:abstractNumId w:val="25"/>
  </w:num>
  <w:num w:numId="24" w16cid:durableId="1309699667">
    <w:abstractNumId w:val="27"/>
  </w:num>
  <w:num w:numId="25" w16cid:durableId="431829025">
    <w:abstractNumId w:val="19"/>
  </w:num>
  <w:num w:numId="26" w16cid:durableId="677660447">
    <w:abstractNumId w:val="17"/>
  </w:num>
  <w:num w:numId="27" w16cid:durableId="1652753391">
    <w:abstractNumId w:val="12"/>
  </w:num>
  <w:num w:numId="28" w16cid:durableId="1801151332">
    <w:abstractNumId w:val="20"/>
  </w:num>
  <w:num w:numId="29" w16cid:durableId="868687895">
    <w:abstractNumId w:val="9"/>
  </w:num>
  <w:num w:numId="30" w16cid:durableId="283853270">
    <w:abstractNumId w:val="0"/>
  </w:num>
  <w:num w:numId="31" w16cid:durableId="941104350">
    <w:abstractNumId w:val="6"/>
  </w:num>
  <w:num w:numId="32" w16cid:durableId="1555118458">
    <w:abstractNumId w:val="40"/>
  </w:num>
  <w:num w:numId="33" w16cid:durableId="1729062980">
    <w:abstractNumId w:val="14"/>
  </w:num>
  <w:num w:numId="34" w16cid:durableId="1119836960">
    <w:abstractNumId w:val="39"/>
  </w:num>
  <w:num w:numId="35" w16cid:durableId="349263576">
    <w:abstractNumId w:val="16"/>
  </w:num>
  <w:num w:numId="36" w16cid:durableId="1617446970">
    <w:abstractNumId w:val="43"/>
  </w:num>
  <w:num w:numId="37" w16cid:durableId="693505080">
    <w:abstractNumId w:val="8"/>
  </w:num>
  <w:num w:numId="38" w16cid:durableId="799956130">
    <w:abstractNumId w:val="22"/>
  </w:num>
  <w:num w:numId="39" w16cid:durableId="1126117754">
    <w:abstractNumId w:val="32"/>
  </w:num>
  <w:num w:numId="40" w16cid:durableId="578755057">
    <w:abstractNumId w:val="24"/>
  </w:num>
  <w:num w:numId="41" w16cid:durableId="38404587">
    <w:abstractNumId w:val="2"/>
  </w:num>
  <w:num w:numId="42" w16cid:durableId="1322388207">
    <w:abstractNumId w:val="38"/>
  </w:num>
  <w:num w:numId="43" w16cid:durableId="1236209884">
    <w:abstractNumId w:val="36"/>
  </w:num>
  <w:num w:numId="44" w16cid:durableId="269514701">
    <w:abstractNumId w:val="26"/>
  </w:num>
  <w:num w:numId="45" w16cid:durableId="76194919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09"/>
  <w:hyphenationZone w:val="425"/>
  <w:doNotHyphenateCaps/>
  <w:drawingGridHorizontalSpacing w:val="100"/>
  <w:displayHorizontalDrawingGridEvery w:val="2"/>
  <w:characterSpacingControl w:val="doNotCompress"/>
  <w:hdrShapeDefaults>
    <o:shapedefaults v:ext="edit" spidmax="28673">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CAD"/>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0A5"/>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0F7B"/>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A7C91"/>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2303"/>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1535B"/>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1B08"/>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4FB9"/>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B15"/>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67B4"/>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489"/>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29D4"/>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069ED"/>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0916"/>
    <w:rsid w:val="009839E4"/>
    <w:rsid w:val="00985A17"/>
    <w:rsid w:val="00986010"/>
    <w:rsid w:val="00986D12"/>
    <w:rsid w:val="0098783B"/>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26D7"/>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5D38"/>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C96"/>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B2A"/>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0B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0FB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3E9F"/>
    <w:rsid w:val="00DA49EA"/>
    <w:rsid w:val="00DA4A0D"/>
    <w:rsid w:val="00DA605E"/>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22</Pages>
  <Words>8926</Words>
  <Characters>50884</Characters>
  <Application>Microsoft Office Word</Application>
  <DocSecurity>0</DocSecurity>
  <Lines>424</Lines>
  <Paragraphs>119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59691</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26</cp:revision>
  <cp:lastPrinted>2022-08-18T10:56:00Z</cp:lastPrinted>
  <dcterms:created xsi:type="dcterms:W3CDTF">2019-10-11T05:22:00Z</dcterms:created>
  <dcterms:modified xsi:type="dcterms:W3CDTF">2022-08-18T10:56:00Z</dcterms:modified>
</cp:coreProperties>
</file>