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27BC77DA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837B61" w:rsidRPr="00837B61">
        <w:rPr>
          <w:rFonts w:ascii="Calibri" w:hAnsi="Calibri" w:cs="Calibri"/>
          <w:b/>
          <w:bCs/>
          <w:sz w:val="22"/>
          <w:szCs w:val="22"/>
        </w:rPr>
        <w:t>202</w:t>
      </w:r>
      <w:r w:rsidR="00F16CA4">
        <w:rPr>
          <w:rFonts w:ascii="Calibri" w:hAnsi="Calibri" w:cs="Calibri"/>
          <w:b/>
          <w:bCs/>
          <w:sz w:val="22"/>
          <w:szCs w:val="22"/>
        </w:rPr>
        <w:t>2</w:t>
      </w:r>
      <w:r w:rsidR="005A01CC">
        <w:rPr>
          <w:rFonts w:ascii="Calibri" w:hAnsi="Calibri" w:cs="Calibri"/>
          <w:b/>
          <w:bCs/>
          <w:sz w:val="22"/>
          <w:szCs w:val="22"/>
        </w:rPr>
        <w:t>117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1E9876C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>í pro středisko Sosnová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10ED0E07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A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26E6E5FD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576CCC">
        <w:rPr>
          <w:rFonts w:ascii="Calibri" w:hAnsi="Calibri" w:cs="Tahoma"/>
          <w:b/>
          <w:bCs/>
          <w:sz w:val="22"/>
          <w:szCs w:val="22"/>
        </w:rPr>
        <w:t>11+</w:t>
      </w:r>
      <w:r w:rsidR="00C16CE9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00D50067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ACO </w:t>
      </w:r>
      <w:r w:rsidR="00576CCC">
        <w:rPr>
          <w:rFonts w:ascii="Calibri" w:hAnsi="Calibri" w:cs="Arial"/>
          <w:sz w:val="22"/>
          <w:szCs w:val="22"/>
        </w:rPr>
        <w:t>11+</w:t>
      </w:r>
      <w:r w:rsidR="00643A6B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666996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</w:t>
      </w:r>
      <w:r w:rsidR="00022EFE">
        <w:rPr>
          <w:rFonts w:ascii="Calibri" w:hAnsi="Calibri" w:cs="Arial"/>
          <w:sz w:val="22"/>
          <w:szCs w:val="22"/>
        </w:rPr>
        <w:t xml:space="preserve">uhrazena </w:t>
      </w:r>
      <w:r w:rsidR="00411CC9">
        <w:rPr>
          <w:rFonts w:ascii="Calibri" w:hAnsi="Calibri" w:cs="Arial"/>
          <w:sz w:val="22"/>
          <w:szCs w:val="22"/>
        </w:rPr>
        <w:t xml:space="preserve">jednorázově, po ukončení plnění, </w:t>
      </w:r>
      <w:r>
        <w:rPr>
          <w:rFonts w:ascii="Calibri" w:hAnsi="Calibri" w:cs="Arial"/>
          <w:sz w:val="22"/>
          <w:szCs w:val="22"/>
        </w:rPr>
        <w:t>na základě daňov</w:t>
      </w:r>
      <w:r w:rsidR="00411CC9">
        <w:rPr>
          <w:rFonts w:ascii="Calibri" w:hAnsi="Calibri" w:cs="Arial"/>
          <w:sz w:val="22"/>
          <w:szCs w:val="22"/>
        </w:rPr>
        <w:t>ého</w:t>
      </w:r>
      <w:r>
        <w:rPr>
          <w:rFonts w:ascii="Calibri" w:hAnsi="Calibri" w:cs="Arial"/>
          <w:sz w:val="22"/>
          <w:szCs w:val="22"/>
        </w:rPr>
        <w:t xml:space="preserve"> doklad</w:t>
      </w:r>
      <w:r w:rsidR="00411CC9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(faktur</w:t>
      </w:r>
      <w:r w:rsidR="00411CC9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>) vystaven</w:t>
      </w:r>
      <w:r w:rsidR="00411CC9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 xml:space="preserve">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D0C68">
        <w:rPr>
          <w:rFonts w:ascii="Calibri" w:hAnsi="Calibri" w:cs="Arial"/>
          <w:sz w:val="22"/>
          <w:szCs w:val="22"/>
        </w:rPr>
        <w:t>k poslednímu dni příslušného kalendářního měsíce</w:t>
      </w:r>
      <w:r w:rsidR="00411CC9">
        <w:rPr>
          <w:rFonts w:ascii="Calibri" w:hAnsi="Calibri" w:cs="Arial"/>
          <w:sz w:val="22"/>
          <w:szCs w:val="22"/>
        </w:rPr>
        <w:t xml:space="preserve">. </w:t>
      </w:r>
      <w:r w:rsidR="005A598D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8AF35E7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D87680" w:rsidRPr="00CC0A3F">
        <w:rPr>
          <w:rFonts w:ascii="Calibri" w:hAnsi="Calibri" w:cs="Arial"/>
          <w:sz w:val="22"/>
          <w:szCs w:val="22"/>
        </w:rPr>
        <w:t xml:space="preserve">A Dodávky asfaltových směsí pro středisko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A7C6" w14:textId="77777777" w:rsidR="00DB5145" w:rsidRDefault="00DB5145" w:rsidP="00FA5255">
      <w:r>
        <w:separator/>
      </w:r>
    </w:p>
  </w:endnote>
  <w:endnote w:type="continuationSeparator" w:id="0">
    <w:p w14:paraId="3BE5FA0C" w14:textId="77777777" w:rsidR="00DB5145" w:rsidRDefault="00DB5145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6BA7" w14:textId="77777777" w:rsidR="00DB5145" w:rsidRDefault="00DB5145" w:rsidP="00FA5255">
      <w:r>
        <w:separator/>
      </w:r>
    </w:p>
  </w:footnote>
  <w:footnote w:type="continuationSeparator" w:id="0">
    <w:p w14:paraId="6A09C268" w14:textId="77777777" w:rsidR="00DB5145" w:rsidRDefault="00DB5145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6CCC"/>
    <w:rsid w:val="00585016"/>
    <w:rsid w:val="00586334"/>
    <w:rsid w:val="00587AE4"/>
    <w:rsid w:val="005A01CC"/>
    <w:rsid w:val="005A0E7F"/>
    <w:rsid w:val="005A598D"/>
    <w:rsid w:val="005C0129"/>
    <w:rsid w:val="005C0E1C"/>
    <w:rsid w:val="005C0FEB"/>
    <w:rsid w:val="005D0407"/>
    <w:rsid w:val="005D486B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1571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37B61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13CD6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6798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590D"/>
    <w:rsid w:val="00D87680"/>
    <w:rsid w:val="00D87E50"/>
    <w:rsid w:val="00D9447D"/>
    <w:rsid w:val="00DA24C4"/>
    <w:rsid w:val="00DB0A79"/>
    <w:rsid w:val="00DB2EAD"/>
    <w:rsid w:val="00DB5145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16CA4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2189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2</cp:revision>
  <cp:lastPrinted>2021-04-01T07:50:00Z</cp:lastPrinted>
  <dcterms:created xsi:type="dcterms:W3CDTF">2022-09-12T07:40:00Z</dcterms:created>
  <dcterms:modified xsi:type="dcterms:W3CDTF">2022-09-12T07:40:00Z</dcterms:modified>
</cp:coreProperties>
</file>