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(ďalej spolu aj ako”zmluvné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prevziať zodpovednosť za odchýlku odberateľa voči zúčtovateľovi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D09AAA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4CC0BC7B" w:rsidR="00DB4BAE" w:rsidRPr="00391DF7" w:rsidRDefault="00DB4BAE" w:rsidP="00DB4BAE">
      <w:pPr>
        <w:autoSpaceDE w:val="0"/>
        <w:autoSpaceDN w:val="0"/>
        <w:adjustRightInd w:val="0"/>
        <w:jc w:val="both"/>
        <w:rPr>
          <w:rFonts w:ascii="Corbel" w:hAnsi="Corbel" w:cs="Cambria"/>
          <w:color w:val="000000"/>
          <w:sz w:val="22"/>
          <w:szCs w:val="22"/>
        </w:rPr>
      </w:pPr>
      <w:r w:rsidRPr="02BF4217">
        <w:rPr>
          <w:rFonts w:ascii="Corbel" w:hAnsi="Corbel" w:cs="Cambria"/>
          <w:color w:val="000000" w:themeColor="text1"/>
          <w:sz w:val="22"/>
          <w:szCs w:val="22"/>
        </w:rPr>
        <w:t xml:space="preserve">3.2 Celkové </w:t>
      </w:r>
      <w:r w:rsidR="00AD46AF" w:rsidRPr="02BF4217">
        <w:rPr>
          <w:rFonts w:ascii="Corbel" w:hAnsi="Corbel" w:cs="Cambria"/>
          <w:color w:val="000000" w:themeColor="text1"/>
          <w:sz w:val="22"/>
          <w:szCs w:val="22"/>
        </w:rPr>
        <w:t>predpokladané</w:t>
      </w:r>
      <w:r w:rsidR="004D0E65" w:rsidRPr="02BF4217">
        <w:rPr>
          <w:rFonts w:ascii="Corbel" w:hAnsi="Corbel" w:cs="Cambria"/>
          <w:color w:val="000000" w:themeColor="text1"/>
          <w:sz w:val="22"/>
          <w:szCs w:val="22"/>
        </w:rPr>
        <w:t xml:space="preserve"> </w:t>
      </w:r>
      <w:r w:rsidRPr="02BF4217">
        <w:rPr>
          <w:rFonts w:ascii="Corbel" w:hAnsi="Corbel" w:cs="Cambria"/>
          <w:color w:val="000000" w:themeColor="text1"/>
          <w:sz w:val="22"/>
          <w:szCs w:val="22"/>
        </w:rPr>
        <w:t xml:space="preserve">zmluvné množstvo dodávanej elektriny za zmluvné obdobie </w:t>
      </w:r>
      <w:r w:rsidRPr="02BF4217">
        <w:rPr>
          <w:rFonts w:ascii="Corbel" w:hAnsi="Corbel" w:cs="Cambria"/>
          <w:b/>
          <w:bCs/>
          <w:color w:val="000000" w:themeColor="text1"/>
          <w:sz w:val="22"/>
          <w:szCs w:val="22"/>
        </w:rPr>
        <w:t>je</w:t>
      </w:r>
      <w:r w:rsidR="0032790F" w:rsidRPr="02BF4217">
        <w:rPr>
          <w:rFonts w:ascii="Corbel" w:hAnsi="Corbel" w:cs="Cambria"/>
          <w:b/>
          <w:bCs/>
          <w:color w:val="000000" w:themeColor="text1"/>
          <w:sz w:val="22"/>
          <w:szCs w:val="22"/>
        </w:rPr>
        <w:t xml:space="preserve"> </w:t>
      </w:r>
      <w:r>
        <w:br/>
      </w:r>
      <w:r w:rsidR="00C349B8" w:rsidRPr="00761946">
        <w:rPr>
          <w:rFonts w:ascii="Corbel" w:hAnsi="Corbel"/>
          <w:b/>
          <w:bCs/>
        </w:rPr>
        <w:t>1</w:t>
      </w:r>
      <w:r w:rsidR="06466899" w:rsidRPr="00761946">
        <w:rPr>
          <w:rFonts w:ascii="Corbel" w:hAnsi="Corbel"/>
          <w:b/>
          <w:bCs/>
        </w:rPr>
        <w:t>4 778,126</w:t>
      </w:r>
      <w:r w:rsidR="00C349B8" w:rsidRPr="00761946">
        <w:rPr>
          <w:rFonts w:ascii="Corbel" w:hAnsi="Corbel"/>
          <w:b/>
          <w:bCs/>
        </w:rPr>
        <w:t xml:space="preserve"> M</w:t>
      </w:r>
      <w:r w:rsidR="00BC039B" w:rsidRPr="00761946">
        <w:rPr>
          <w:rFonts w:ascii="Corbel" w:hAnsi="Corbel"/>
          <w:b/>
          <w:bCs/>
        </w:rPr>
        <w:t>Wh</w:t>
      </w:r>
      <w:r w:rsidR="001A2B91" w:rsidRPr="00761946">
        <w:rPr>
          <w:rFonts w:ascii="Corbel" w:hAnsi="Corbel" w:cs="Cambria"/>
          <w:b/>
          <w:bCs/>
          <w:sz w:val="22"/>
          <w:szCs w:val="22"/>
        </w:rPr>
        <w:t>/rok</w:t>
      </w:r>
      <w:r w:rsidRPr="02BF4217">
        <w:rPr>
          <w:rFonts w:ascii="Corbel" w:hAnsi="Corbel" w:cs="Cambria"/>
          <w:color w:val="000000" w:themeColor="text1"/>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41A955" w14:textId="738EA5B4" w:rsidR="00F46BE7" w:rsidRPr="00761946" w:rsidRDefault="00DB4BAE" w:rsidP="00F46BE7">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w:t>
      </w:r>
      <w:r w:rsidR="00F46BE7" w:rsidRPr="00761946">
        <w:rPr>
          <w:rFonts w:ascii="Corbel" w:hAnsi="Corbel" w:cs="Cambria"/>
          <w:sz w:val="22"/>
          <w:szCs w:val="22"/>
        </w:rPr>
        <w:t xml:space="preserve">Dodávateľ má právo pri nedodržaní týchto minimálnych a maximálnych množstiev účtovať Odberateľovi kompenzáciu vo výške 20% z ceny elektrickej energie podľa bodu 4.2 za každú MWh kladného alebo záporného rozdielu odobratej elektrickej energie oproti týmto bodom stanovenej percentuálnej hodnote predpokladaného množstva uvedeného v prílohe </w:t>
      </w:r>
      <w:r w:rsidR="009D0B7F" w:rsidRPr="00761946">
        <w:rPr>
          <w:rFonts w:ascii="Corbel" w:hAnsi="Corbel" w:cs="Cambria"/>
          <w:sz w:val="22"/>
          <w:szCs w:val="22"/>
        </w:rPr>
        <w:br/>
      </w:r>
      <w:r w:rsidR="00F46BE7" w:rsidRPr="00761946">
        <w:rPr>
          <w:rFonts w:ascii="Corbel" w:hAnsi="Corbel" w:cs="Cambria"/>
          <w:sz w:val="22"/>
          <w:szCs w:val="22"/>
        </w:rPr>
        <w:t>č. 1.</w:t>
      </w:r>
    </w:p>
    <w:p w14:paraId="4277D936" w14:textId="0AD4B8F9" w:rsidR="007C4B09" w:rsidRDefault="007C4B09" w:rsidP="00F46BE7">
      <w:pPr>
        <w:autoSpaceDE w:val="0"/>
        <w:autoSpaceDN w:val="0"/>
        <w:adjustRightInd w:val="0"/>
        <w:jc w:val="both"/>
        <w:rPr>
          <w:rFonts w:ascii="Corbel" w:hAnsi="Corbel" w:cs="Cambria"/>
          <w:color w:val="FF0000"/>
          <w:sz w:val="22"/>
          <w:szCs w:val="22"/>
        </w:rPr>
      </w:pPr>
    </w:p>
    <w:p w14:paraId="31CF37B4" w14:textId="21DB219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761946">
        <w:rPr>
          <w:rFonts w:ascii="Corbel" w:hAnsi="Corbel" w:cs="Cambria"/>
          <w:color w:val="000000"/>
          <w:sz w:val="22"/>
          <w:szCs w:val="22"/>
        </w:rPr>
        <w:t>6</w:t>
      </w:r>
      <w:r w:rsidRPr="00391DF7">
        <w:rPr>
          <w:rFonts w:ascii="Corbel" w:hAnsi="Corbel" w:cs="Cambria"/>
          <w:color w:val="000000"/>
          <w:sz w:val="22"/>
          <w:szCs w:val="22"/>
        </w:rPr>
        <w:t xml:space="preserve"> Ceny za dodávku silovej energie, uvedené v tejto Zmluve, neobsahujú spotrebnú daň z elektriny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1A591E5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761946">
        <w:rPr>
          <w:rFonts w:ascii="Corbel" w:hAnsi="Corbel" w:cs="Cambria"/>
          <w:color w:val="000000"/>
          <w:sz w:val="22"/>
          <w:szCs w:val="22"/>
        </w:rPr>
        <w:t>7</w:t>
      </w:r>
      <w:r w:rsidRPr="00391DF7">
        <w:rPr>
          <w:rFonts w:ascii="Corbel" w:hAnsi="Corbel" w:cs="Cambria"/>
          <w:color w:val="000000"/>
          <w:sz w:val="22"/>
          <w:szCs w:val="22"/>
        </w:rPr>
        <w:t xml:space="preserve"> K cenám za dodávku silovej energie sa pri fakturácii pripočítava SpD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1C80346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761946">
        <w:rPr>
          <w:rFonts w:ascii="Corbel" w:hAnsi="Corbel" w:cs="Cambria"/>
          <w:color w:val="000000"/>
          <w:sz w:val="22"/>
          <w:szCs w:val="22"/>
        </w:rPr>
        <w:t>8</w:t>
      </w:r>
      <w:r w:rsidRPr="00391DF7">
        <w:rPr>
          <w:rFonts w:ascii="Corbel" w:hAnsi="Corbel" w:cs="Cambria"/>
          <w:color w:val="000000"/>
          <w:sz w:val="22"/>
          <w:szCs w:val="22"/>
        </w:rPr>
        <w:t xml:space="preserve">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728BEBFE"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761946">
        <w:rPr>
          <w:rFonts w:ascii="Corbel" w:hAnsi="Corbel" w:cs="Cambria"/>
          <w:color w:val="000000" w:themeColor="text1"/>
          <w:sz w:val="22"/>
          <w:szCs w:val="22"/>
        </w:rPr>
        <w:t>9</w:t>
      </w:r>
      <w:r w:rsidRPr="1191A257">
        <w:rPr>
          <w:rFonts w:ascii="Corbel" w:hAnsi="Corbel" w:cs="Cambria"/>
          <w:color w:val="000000" w:themeColor="text1"/>
          <w:sz w:val="22"/>
          <w:szCs w:val="22"/>
        </w:rPr>
        <w:t xml:space="preserve">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2312E54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761946">
        <w:rPr>
          <w:rFonts w:ascii="Corbel" w:hAnsi="Corbel" w:cs="Cambria"/>
          <w:color w:val="000000" w:themeColor="text1"/>
          <w:sz w:val="22"/>
          <w:szCs w:val="22"/>
        </w:rPr>
        <w:t>0</w:t>
      </w:r>
      <w:r w:rsidRPr="1191A257">
        <w:rPr>
          <w:rFonts w:ascii="Corbel" w:hAnsi="Corbel" w:cs="Cambria"/>
          <w:color w:val="000000" w:themeColor="text1"/>
          <w:sz w:val="22"/>
          <w:szCs w:val="22"/>
        </w:rPr>
        <w:t xml:space="preserve">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738DCEE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761946">
        <w:rPr>
          <w:rFonts w:ascii="Corbel" w:hAnsi="Corbel" w:cs="Cambria"/>
          <w:color w:val="000000"/>
          <w:sz w:val="22"/>
          <w:szCs w:val="22"/>
        </w:rPr>
        <w:t>1</w:t>
      </w:r>
      <w:r w:rsidRPr="00391DF7">
        <w:rPr>
          <w:rFonts w:ascii="Corbel" w:hAnsi="Corbel" w:cs="Cambria"/>
          <w:color w:val="000000"/>
          <w:sz w:val="22"/>
          <w:szCs w:val="22"/>
        </w:rPr>
        <w:t xml:space="preserve"> Zálohové faktúry za dodávku elektriny a distribučné služby sa vyhotovujú na základe odhadu, jedenásťkrát za ročné zúčtovacie obdobie, a to k poslednému dňu príslušného mesiaca. Výška odhadu </w:t>
      </w:r>
      <w:r w:rsidRPr="00391DF7">
        <w:rPr>
          <w:rFonts w:ascii="Corbel" w:hAnsi="Corbel" w:cs="Cambria"/>
          <w:color w:val="000000"/>
          <w:sz w:val="22"/>
          <w:szCs w:val="22"/>
        </w:rPr>
        <w:lastRenderedPageBreak/>
        <w:t>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302696F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761946">
        <w:rPr>
          <w:rFonts w:ascii="Corbel" w:hAnsi="Corbel" w:cs="Cambria"/>
          <w:color w:val="000000"/>
          <w:sz w:val="22"/>
          <w:szCs w:val="22"/>
        </w:rPr>
        <w:t>2</w:t>
      </w:r>
      <w:r w:rsidRPr="00391DF7">
        <w:rPr>
          <w:rFonts w:ascii="Corbel" w:hAnsi="Corbel" w:cs="Cambria"/>
          <w:color w:val="000000"/>
          <w:sz w:val="22"/>
          <w:szCs w:val="22"/>
        </w:rPr>
        <w:t xml:space="preserve">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32EAEC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761946">
        <w:rPr>
          <w:rFonts w:ascii="Corbel" w:hAnsi="Corbel" w:cs="Cambria"/>
          <w:sz w:val="22"/>
          <w:szCs w:val="22"/>
        </w:rPr>
        <w:t>3</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361A317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priebehovým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279989DD"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695B47">
        <w:rPr>
          <w:rFonts w:ascii="Corbel" w:hAnsi="Corbel" w:cs="Cambria"/>
          <w:color w:val="000000" w:themeColor="text1"/>
          <w:sz w:val="22"/>
          <w:szCs w:val="22"/>
        </w:rPr>
        <w:t>1</w:t>
      </w:r>
      <w:r w:rsidR="00761946">
        <w:rPr>
          <w:rFonts w:ascii="Corbel" w:hAnsi="Corbel" w:cs="Cambria"/>
          <w:color w:val="000000" w:themeColor="text1"/>
          <w:sz w:val="22"/>
          <w:szCs w:val="22"/>
        </w:rPr>
        <w:t>4</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695B47">
        <w:rPr>
          <w:rFonts w:ascii="Corbel" w:hAnsi="Corbel" w:cs="Cambria"/>
          <w:color w:val="000000" w:themeColor="text1"/>
          <w:sz w:val="22"/>
          <w:szCs w:val="22"/>
        </w:rPr>
        <w:t>4</w:t>
      </w:r>
      <w:r w:rsidR="00E623ED" w:rsidRPr="1191A257">
        <w:rPr>
          <w:rFonts w:ascii="Corbel" w:hAnsi="Corbel" w:cs="Cambria"/>
          <w:color w:val="000000" w:themeColor="text1"/>
          <w:sz w:val="22"/>
          <w:szCs w:val="22"/>
        </w:rPr>
        <w:t xml:space="preserve">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Z.z.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726F328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761946">
        <w:rPr>
          <w:rFonts w:ascii="Corbel" w:hAnsi="Corbel" w:cs="Cambria"/>
          <w:color w:val="000000" w:themeColor="text1"/>
          <w:sz w:val="22"/>
          <w:szCs w:val="22"/>
        </w:rPr>
        <w:t>5</w:t>
      </w:r>
      <w:r w:rsidRPr="1191A257">
        <w:rPr>
          <w:rFonts w:ascii="Corbel" w:hAnsi="Corbel" w:cs="Cambria"/>
          <w:color w:val="000000" w:themeColor="text1"/>
          <w:sz w:val="22"/>
          <w:szCs w:val="22"/>
        </w:rPr>
        <w:t xml:space="preserve">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1CD0C7F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4.1</w:t>
      </w:r>
      <w:r w:rsidR="00761946">
        <w:rPr>
          <w:rFonts w:ascii="Corbel" w:hAnsi="Corbel" w:cs="Cambria"/>
          <w:color w:val="000000" w:themeColor="text1"/>
          <w:sz w:val="22"/>
          <w:szCs w:val="22"/>
        </w:rPr>
        <w:t>6</w:t>
      </w:r>
      <w:r w:rsidRPr="1191A257">
        <w:rPr>
          <w:rFonts w:ascii="Corbel" w:hAnsi="Corbel" w:cs="Cambria"/>
          <w:color w:val="000000" w:themeColor="text1"/>
          <w:sz w:val="22"/>
          <w:szCs w:val="22"/>
        </w:rPr>
        <w:t xml:space="preserve">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0ED9938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761946">
        <w:rPr>
          <w:rFonts w:ascii="Corbel" w:hAnsi="Corbel" w:cs="Cambria"/>
          <w:color w:val="000000" w:themeColor="text1"/>
          <w:sz w:val="22"/>
          <w:szCs w:val="22"/>
        </w:rPr>
        <w:t>7</w:t>
      </w:r>
      <w:r w:rsidRPr="1191A257">
        <w:rPr>
          <w:rFonts w:ascii="Corbel" w:hAnsi="Corbel" w:cs="Cambria"/>
          <w:color w:val="000000" w:themeColor="text1"/>
          <w:sz w:val="22"/>
          <w:szCs w:val="22"/>
        </w:rPr>
        <w:t xml:space="preserve">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481E64B3"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761946">
        <w:rPr>
          <w:rFonts w:ascii="Corbel" w:hAnsi="Corbel" w:cs="Cambria"/>
          <w:color w:val="000000" w:themeColor="text1"/>
          <w:sz w:val="22"/>
          <w:szCs w:val="22"/>
        </w:rPr>
        <w:t>8</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1B1C4C45"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w:t>
      </w:r>
      <w:r w:rsidR="00761946">
        <w:rPr>
          <w:rFonts w:ascii="Corbel" w:hAnsi="Corbel" w:cs="Cambria"/>
          <w:color w:val="000000"/>
          <w:sz w:val="22"/>
          <w:szCs w:val="22"/>
        </w:rPr>
        <w:t>19</w:t>
      </w:r>
      <w:r w:rsidRPr="00C172CD">
        <w:rPr>
          <w:rFonts w:ascii="Corbel" w:hAnsi="Corbel" w:cs="Cambria"/>
          <w:color w:val="000000"/>
          <w:sz w:val="22"/>
          <w:szCs w:val="22"/>
        </w:rPr>
        <w:t xml:space="preserve">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4266709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w:t>
      </w:r>
      <w:r w:rsidR="00761946">
        <w:rPr>
          <w:rFonts w:ascii="Corbel" w:hAnsi="Corbel" w:cs="Cambria"/>
          <w:color w:val="000000"/>
          <w:sz w:val="22"/>
          <w:szCs w:val="22"/>
        </w:rPr>
        <w:t>0</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22163C1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761946">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6768EC9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CE00EC">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F48F043"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odávateľa, alebo na kontaktnú e-mailovú adresu uvedenú na 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xml:space="preserve">. Každá zo zmluvných strán je povinná bez zbytočného odkladu písomnou formou, elektronicky vyrozumieť druhú zmluvnú stranu o okolnostiach vylučujúcich zodpovednosť tejto zmluvnej strany s </w:t>
      </w:r>
      <w:r w:rsidRPr="1191A257">
        <w:rPr>
          <w:rFonts w:ascii="Corbel" w:hAnsi="Corbel" w:cs="Cambria"/>
          <w:color w:val="000000" w:themeColor="text1"/>
          <w:sz w:val="22"/>
          <w:szCs w:val="22"/>
        </w:rPr>
        <w:lastRenderedPageBreak/>
        <w:t>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w:t>
      </w:r>
      <w:r w:rsidRPr="1191A257">
        <w:rPr>
          <w:rFonts w:ascii="Corbel" w:hAnsi="Corbel" w:cs="Cambria"/>
          <w:color w:val="000000" w:themeColor="text1"/>
          <w:sz w:val="22"/>
          <w:szCs w:val="22"/>
        </w:rPr>
        <w:lastRenderedPageBreak/>
        <w:t xml:space="preserve">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Z.z. o energetike, a to aj čiastočne (t.j.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w:t>
      </w:r>
      <w:r w:rsidR="00DB4BAE" w:rsidRPr="00391DF7">
        <w:rPr>
          <w:rFonts w:ascii="Corbel" w:hAnsi="Corbel" w:cs="Cambria"/>
          <w:color w:val="000000"/>
          <w:sz w:val="22"/>
          <w:szCs w:val="22"/>
        </w:rPr>
        <w:lastRenderedPageBreak/>
        <w:t>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AA7"/>
    <w:rsid w:val="001A2B91"/>
    <w:rsid w:val="001D7D3C"/>
    <w:rsid w:val="00202DA4"/>
    <w:rsid w:val="00225761"/>
    <w:rsid w:val="00241246"/>
    <w:rsid w:val="00253275"/>
    <w:rsid w:val="00277987"/>
    <w:rsid w:val="00295820"/>
    <w:rsid w:val="002C4961"/>
    <w:rsid w:val="002D6BA8"/>
    <w:rsid w:val="003272BE"/>
    <w:rsid w:val="0032790F"/>
    <w:rsid w:val="003666D9"/>
    <w:rsid w:val="00384F5C"/>
    <w:rsid w:val="00386BAD"/>
    <w:rsid w:val="00391DF7"/>
    <w:rsid w:val="003C246F"/>
    <w:rsid w:val="003D65F2"/>
    <w:rsid w:val="00474798"/>
    <w:rsid w:val="004A0692"/>
    <w:rsid w:val="004D0E65"/>
    <w:rsid w:val="005243B7"/>
    <w:rsid w:val="00561109"/>
    <w:rsid w:val="00572500"/>
    <w:rsid w:val="00574572"/>
    <w:rsid w:val="0057555F"/>
    <w:rsid w:val="0057701D"/>
    <w:rsid w:val="00582FF7"/>
    <w:rsid w:val="005C5C6A"/>
    <w:rsid w:val="005D6BA6"/>
    <w:rsid w:val="00626D21"/>
    <w:rsid w:val="00674C9E"/>
    <w:rsid w:val="00695B47"/>
    <w:rsid w:val="006B1DD9"/>
    <w:rsid w:val="006C4DEC"/>
    <w:rsid w:val="006E2BD4"/>
    <w:rsid w:val="00761946"/>
    <w:rsid w:val="007871C3"/>
    <w:rsid w:val="0079756A"/>
    <w:rsid w:val="007A2D40"/>
    <w:rsid w:val="007B1FE8"/>
    <w:rsid w:val="007C0F82"/>
    <w:rsid w:val="007C4B09"/>
    <w:rsid w:val="007D55AB"/>
    <w:rsid w:val="007F3E24"/>
    <w:rsid w:val="007F55F6"/>
    <w:rsid w:val="00816DEA"/>
    <w:rsid w:val="008407E1"/>
    <w:rsid w:val="0085908B"/>
    <w:rsid w:val="00897659"/>
    <w:rsid w:val="008A5173"/>
    <w:rsid w:val="009021B7"/>
    <w:rsid w:val="00906489"/>
    <w:rsid w:val="00906C75"/>
    <w:rsid w:val="009177B7"/>
    <w:rsid w:val="009C5757"/>
    <w:rsid w:val="009D0B7F"/>
    <w:rsid w:val="009E460F"/>
    <w:rsid w:val="009F2F54"/>
    <w:rsid w:val="00A155E9"/>
    <w:rsid w:val="00A60A75"/>
    <w:rsid w:val="00A62D64"/>
    <w:rsid w:val="00AB5B1B"/>
    <w:rsid w:val="00AB69F5"/>
    <w:rsid w:val="00AD0471"/>
    <w:rsid w:val="00AD46AF"/>
    <w:rsid w:val="00AF6CCC"/>
    <w:rsid w:val="00B0298F"/>
    <w:rsid w:val="00B10379"/>
    <w:rsid w:val="00B11660"/>
    <w:rsid w:val="00B4055C"/>
    <w:rsid w:val="00B51AF6"/>
    <w:rsid w:val="00B55BD4"/>
    <w:rsid w:val="00B57599"/>
    <w:rsid w:val="00B6356F"/>
    <w:rsid w:val="00B67B46"/>
    <w:rsid w:val="00B75159"/>
    <w:rsid w:val="00B80A7D"/>
    <w:rsid w:val="00BB0B9F"/>
    <w:rsid w:val="00BC039B"/>
    <w:rsid w:val="00BF7D36"/>
    <w:rsid w:val="00C11E8B"/>
    <w:rsid w:val="00C172CD"/>
    <w:rsid w:val="00C349B8"/>
    <w:rsid w:val="00C600FA"/>
    <w:rsid w:val="00C63F9C"/>
    <w:rsid w:val="00C9664C"/>
    <w:rsid w:val="00C967EC"/>
    <w:rsid w:val="00CC7592"/>
    <w:rsid w:val="00CD6496"/>
    <w:rsid w:val="00CE00EC"/>
    <w:rsid w:val="00D2078D"/>
    <w:rsid w:val="00D23640"/>
    <w:rsid w:val="00D2568D"/>
    <w:rsid w:val="00D2657A"/>
    <w:rsid w:val="00D35516"/>
    <w:rsid w:val="00D508B8"/>
    <w:rsid w:val="00D548C7"/>
    <w:rsid w:val="00DA0A39"/>
    <w:rsid w:val="00DA369B"/>
    <w:rsid w:val="00DA7E1A"/>
    <w:rsid w:val="00DB0909"/>
    <w:rsid w:val="00DB4BAE"/>
    <w:rsid w:val="00DB6EFE"/>
    <w:rsid w:val="00DD66A6"/>
    <w:rsid w:val="00E056A5"/>
    <w:rsid w:val="00E623ED"/>
    <w:rsid w:val="00E645D4"/>
    <w:rsid w:val="00E71B4E"/>
    <w:rsid w:val="00E817E1"/>
    <w:rsid w:val="00E86EA2"/>
    <w:rsid w:val="00E917D9"/>
    <w:rsid w:val="00ED095A"/>
    <w:rsid w:val="00EF2370"/>
    <w:rsid w:val="00F46BE7"/>
    <w:rsid w:val="00F71170"/>
    <w:rsid w:val="00F8055F"/>
    <w:rsid w:val="00FD05A4"/>
    <w:rsid w:val="02BF4217"/>
    <w:rsid w:val="03BD314D"/>
    <w:rsid w:val="05A18311"/>
    <w:rsid w:val="06106C72"/>
    <w:rsid w:val="06466899"/>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9576">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4C5F-DD63-44BC-97F7-682BADE1816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FEAD49C-D49B-4029-BE57-087C6570CF64}">
  <ds:schemaRefs>
    <ds:schemaRef ds:uri="http://schemas.microsoft.com/sharepoint/v3/contenttype/forms"/>
  </ds:schemaRefs>
</ds:datastoreItem>
</file>

<file path=customXml/itemProps3.xml><?xml version="1.0" encoding="utf-8"?>
<ds:datastoreItem xmlns:ds="http://schemas.openxmlformats.org/officeDocument/2006/customXml" ds:itemID="{66365DB1-5A3C-4813-A814-B2614D28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5359</Words>
  <Characters>30550</Characters>
  <Application>Microsoft Office Word</Application>
  <DocSecurity>0</DocSecurity>
  <Lines>254</Lines>
  <Paragraphs>71</Paragraphs>
  <ScaleCrop>false</ScaleCrop>
  <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2022-10-31T13:36:00Z</dcterms:created>
  <dcterms:modified xsi:type="dcterms:W3CDTF">2022-10-31T13:40:00Z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