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749E5EEC"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F36E99">
              <w:rPr>
                <w:rFonts w:cstheme="minorHAnsi"/>
                <w:b/>
              </w:rPr>
              <w:t>SORBEL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38FAE4D8"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F36E99">
              <w:rPr>
                <w:rFonts w:cstheme="minorHAnsi"/>
              </w:rPr>
              <w:t>Beloveža 227</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F36E99">
              <w:rPr>
                <w:rFonts w:cstheme="minorHAnsi"/>
              </w:rPr>
              <w:t>086 14</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F36E99">
              <w:rPr>
                <w:rFonts w:cstheme="minorHAnsi"/>
              </w:rPr>
              <w:t>Hažlín</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5E10D260"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F36E99">
              <w:rPr>
                <w:bCs/>
              </w:rPr>
              <w:t xml:space="preserve">Ľubica </w:t>
            </w:r>
            <w:proofErr w:type="spellStart"/>
            <w:r w:rsidR="00F36E99">
              <w:rPr>
                <w:bCs/>
              </w:rPr>
              <w:t>Soroková</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F36E99">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77F99530"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F36E99">
              <w:rPr>
                <w:rStyle w:val="ra"/>
              </w:rPr>
              <w:t>36499455</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0DE3FB81"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F36E99">
              <w:rPr>
                <w:rFonts w:ascii="Calibri" w:eastAsia="Times New Roman" w:hAnsi="Calibri" w:cs="Times New Roman"/>
                <w:color w:val="000000"/>
                <w:lang w:eastAsia="sk-SK"/>
              </w:rPr>
              <w:t>2021944100</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3421F771"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F36E99">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382D0A98"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F36E99">
              <w:rPr>
                <w:rFonts w:ascii="Calibri" w:eastAsia="Times New Roman" w:hAnsi="Calibri" w:cs="Times New Roman"/>
                <w:color w:val="000000"/>
                <w:lang w:eastAsia="sk-SK"/>
              </w:rPr>
              <w:t>Opatrenia pre zníženie energetickej náročnosti o inováciu výrobného procesu v spoločnosti SORBEL s.r.o.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10A5BF25"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F36E99">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17CB7ECE"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F36E99">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5E3C888B"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F36E99">
              <w:rPr>
                <w:rFonts w:ascii="Calibri" w:eastAsia="Times New Roman" w:hAnsi="Calibri" w:cs="Times New Roman"/>
                <w:color w:val="000000"/>
                <w:lang w:eastAsia="sk-SK"/>
              </w:rPr>
              <w:t>Zníženie energetickej náročnosti ohrevu TÚV</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EED1254"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F36E99">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702CCE60"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F36E99">
              <w:rPr>
                <w:rFonts w:ascii="Calibri" w:eastAsia="Times New Roman" w:hAnsi="Calibri" w:cs="Times New Roman"/>
                <w:color w:val="000000"/>
                <w:lang w:eastAsia="sk-SK"/>
              </w:rPr>
              <w:t>Systém ohrevu TÚV prostredníctvom solárnych kolektorov.</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EA38D2B" w:rsidR="00B32658" w:rsidRPr="00C27C10" w:rsidRDefault="00287C70" w:rsidP="00287C7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2B3ADAC" w:rsidR="00B32658" w:rsidRPr="004F4CE4" w:rsidRDefault="00DC4F55" w:rsidP="00287C70">
            <w:pPr>
              <w:jc w:val="center"/>
              <w:rPr>
                <w:rFonts w:ascii="Calibri" w:eastAsia="Times New Roman" w:hAnsi="Calibri" w:cs="Times New Roman"/>
                <w:color w:val="000000"/>
                <w:lang w:eastAsia="sk-SK"/>
              </w:rPr>
            </w:pPr>
            <w:r w:rsidRPr="00E664E4">
              <w:rPr>
                <w:rFonts w:ascii="Calibri" w:eastAsia="Times New Roman" w:hAnsi="Calibri" w:cs="Times New Roman"/>
                <w:color w:val="000000"/>
                <w:lang w:eastAsia="sk-SK"/>
              </w:rPr>
              <w:fldChar w:fldCharType="begin"/>
            </w:r>
            <w:r w:rsidRPr="00E664E4">
              <w:rPr>
                <w:rFonts w:ascii="Calibri" w:eastAsia="Times New Roman" w:hAnsi="Calibri" w:cs="Times New Roman"/>
                <w:color w:val="000000"/>
                <w:lang w:eastAsia="sk-SK"/>
              </w:rPr>
              <w:instrText xml:space="preserve"> DOCPROPERTY  PHZbezDPH  \* MERGEFORMAT </w:instrText>
            </w:r>
            <w:r w:rsidRPr="00E664E4">
              <w:rPr>
                <w:rFonts w:ascii="Calibri" w:eastAsia="Times New Roman" w:hAnsi="Calibri" w:cs="Times New Roman"/>
                <w:color w:val="000000"/>
                <w:lang w:eastAsia="sk-SK"/>
              </w:rPr>
              <w:fldChar w:fldCharType="separate"/>
            </w:r>
            <w:r w:rsidR="00F36E99">
              <w:rPr>
                <w:rFonts w:ascii="Calibri" w:eastAsia="Times New Roman" w:hAnsi="Calibri" w:cs="Times New Roman"/>
                <w:color w:val="000000"/>
                <w:lang w:eastAsia="sk-SK"/>
              </w:rPr>
              <w:t>38 584,02</w:t>
            </w:r>
            <w:r w:rsidRPr="00E664E4">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6E294FF1" w:rsidR="00B32658" w:rsidRPr="005A7B8E" w:rsidRDefault="00C27C10" w:rsidP="00C27C10">
            <w:pPr>
              <w:jc w:val="both"/>
              <w:rPr>
                <w:rFonts w:ascii="Calibri" w:eastAsia="Times New Roman" w:hAnsi="Calibri" w:cs="Times New Roman"/>
                <w:color w:val="000000"/>
                <w:highlight w:val="yellow"/>
                <w:lang w:eastAsia="sk-SK"/>
              </w:rPr>
            </w:pPr>
            <w:r w:rsidRPr="00555757">
              <w:rPr>
                <w:rFonts w:ascii="Calibri" w:eastAsia="Times New Roman" w:hAnsi="Calibri" w:cs="Times New Roman"/>
                <w:color w:val="000000"/>
                <w:lang w:eastAsia="sk-SK"/>
              </w:rPr>
              <w:t xml:space="preserve">Opis zákazky je vymedzený v dokumente </w:t>
            </w:r>
            <w:r w:rsidR="00555757" w:rsidRPr="00555757">
              <w:rPr>
                <w:rFonts w:ascii="Calibri" w:eastAsia="Times New Roman" w:hAnsi="Calibri" w:cs="Times New Roman"/>
                <w:color w:val="000000"/>
                <w:lang w:eastAsia="sk-SK"/>
              </w:rPr>
              <w:t xml:space="preserve">Príloha č. 1 – Výkaz výmer a </w:t>
            </w:r>
            <w:proofErr w:type="spellStart"/>
            <w:r w:rsidRPr="00555757">
              <w:rPr>
                <w:rFonts w:ascii="Calibri" w:eastAsia="Times New Roman" w:hAnsi="Calibri" w:cs="Times New Roman"/>
                <w:color w:val="000000"/>
                <w:lang w:eastAsia="sk-SK"/>
              </w:rPr>
              <w:t>Príloha</w:t>
            </w:r>
            <w:proofErr w:type="spellEnd"/>
            <w:r w:rsidRPr="00555757">
              <w:rPr>
                <w:rFonts w:ascii="Calibri" w:eastAsia="Times New Roman" w:hAnsi="Calibri" w:cs="Times New Roman"/>
                <w:color w:val="000000"/>
                <w:lang w:eastAsia="sk-SK"/>
              </w:rPr>
              <w:t xml:space="preserve"> č. </w:t>
            </w:r>
            <w:r w:rsidR="00B06675" w:rsidRPr="00555757">
              <w:rPr>
                <w:rFonts w:ascii="Calibri" w:eastAsia="Times New Roman" w:hAnsi="Calibri" w:cs="Times New Roman"/>
                <w:color w:val="000000"/>
                <w:lang w:eastAsia="sk-SK"/>
              </w:rPr>
              <w:t>5</w:t>
            </w:r>
            <w:r w:rsidRPr="00555757">
              <w:rPr>
                <w:rFonts w:ascii="Calibri" w:eastAsia="Times New Roman" w:hAnsi="Calibri" w:cs="Times New Roman"/>
                <w:color w:val="000000"/>
                <w:lang w:eastAsia="sk-SK"/>
              </w:rPr>
              <w:t xml:space="preserve"> </w:t>
            </w:r>
            <w:r w:rsidR="00B06675" w:rsidRPr="00555757">
              <w:rPr>
                <w:rFonts w:ascii="Calibri" w:eastAsia="Times New Roman" w:hAnsi="Calibri" w:cs="Times New Roman"/>
                <w:color w:val="000000"/>
                <w:lang w:eastAsia="sk-SK"/>
              </w:rPr>
              <w:t>–</w:t>
            </w:r>
            <w:r w:rsidRPr="00555757">
              <w:rPr>
                <w:rFonts w:ascii="Calibri" w:eastAsia="Times New Roman" w:hAnsi="Calibri" w:cs="Times New Roman"/>
                <w:color w:val="000000"/>
                <w:lang w:eastAsia="sk-SK"/>
              </w:rPr>
              <w:t xml:space="preserve"> </w:t>
            </w:r>
            <w:r w:rsidR="00B06675" w:rsidRPr="00555757">
              <w:rPr>
                <w:rFonts w:ascii="Calibri" w:eastAsia="Times New Roman" w:hAnsi="Calibri" w:cs="Times New Roman"/>
                <w:color w:val="000000"/>
                <w:lang w:eastAsia="sk-SK"/>
              </w:rPr>
              <w:t>Projektová dokumentácia</w:t>
            </w:r>
            <w:r w:rsidRPr="00555757">
              <w:rPr>
                <w:rFonts w:ascii="Calibri" w:eastAsia="Times New Roman" w:hAnsi="Calibri" w:cs="Times New Roman"/>
                <w:color w:val="000000"/>
                <w:lang w:eastAsia="sk-SK"/>
              </w:rPr>
              <w:t xml:space="preserve"> </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5A0645FA"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r w:rsidR="00B32658"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3EA06846"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PredmetZakazky3  \* MERGEFORMAT </w:instrText>
            </w:r>
            <w:r w:rsidR="00DC4F55">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B0A222C"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F36E99">
              <w:rPr>
                <w:rFonts w:ascii="Calibri" w:eastAsia="Times New Roman" w:hAnsi="Calibri" w:cs="Times New Roman"/>
                <w:color w:val="5B9BD5"/>
                <w:sz w:val="24"/>
                <w:szCs w:val="24"/>
                <w:lang w:eastAsia="sk-SK"/>
              </w:rPr>
              <w:t>4.10.2022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28AEEF3"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uchádzačom, ktorých ponuky sa </w:t>
            </w:r>
            <w:r>
              <w:lastRenderedPageBreak/>
              <w:t>hodnotili a neboli v procese vylúčení, zaslané oznámenie o výsledku obstarávania.</w:t>
            </w:r>
            <w:r w:rsidR="002776B2">
              <w:t xml:space="preserve"> </w:t>
            </w:r>
            <w:r>
              <w:t xml:space="preserve">Predbežný dátum </w:t>
            </w:r>
            <w:r w:rsidRPr="00F02B58">
              <w:t xml:space="preserve">vyhodnotenia ponúk: </w:t>
            </w:r>
            <w:r w:rsidR="00F36E99">
              <w:fldChar w:fldCharType="begin"/>
            </w:r>
            <w:r w:rsidR="00F36E99">
              <w:instrText xml:space="preserve"> DOCPROPERTY  DatumOtvaraniaAVyhodnoten</w:instrText>
            </w:r>
            <w:r w:rsidR="00F36E99">
              <w:instrText xml:space="preserve">iaPonuk  \* MERGEFORMAT </w:instrText>
            </w:r>
            <w:r w:rsidR="00F36E99">
              <w:fldChar w:fldCharType="separate"/>
            </w:r>
            <w:r w:rsidR="00F36E99">
              <w:t>4.10.2022 o 11:00 h</w:t>
            </w:r>
            <w:r w:rsidR="00F36E99">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77777777"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77777777"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w:t>
            </w:r>
            <w:r w:rsidRPr="000B2636">
              <w:lastRenderedPageBreak/>
              <w:t>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2AAE6B2C" w:rsidR="004F4532" w:rsidRDefault="006B1D04" w:rsidP="004F4532">
            <w:r>
              <w:lastRenderedPageBreak/>
              <w:t>Uchádzač</w:t>
            </w:r>
            <w:r w:rsidR="004F4532">
              <w:t xml:space="preserve"> môže preukázať tieto skutočnosti jednou z nasledovných možní 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w:t>
            </w:r>
            <w:r>
              <w:lastRenderedPageBreak/>
              <w:t>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5600B57E"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w:t>
            </w:r>
            <w:r w:rsidR="005A7B8E">
              <w:rPr>
                <w:rFonts w:ascii="Calibri" w:eastAsia="Times New Roman" w:hAnsi="Calibri" w:cs="Times New Roman"/>
                <w:color w:val="000000"/>
                <w:sz w:val="24"/>
                <w:szCs w:val="24"/>
                <w:lang w:eastAsia="sk-SK"/>
              </w:rPr>
              <w:t> </w:t>
            </w:r>
            <w:r w:rsidRPr="006B1D04">
              <w:rPr>
                <w:rFonts w:ascii="Calibri" w:eastAsia="Times New Roman" w:hAnsi="Calibri" w:cs="Times New Roman"/>
                <w:color w:val="000000"/>
                <w:sz w:val="24"/>
                <w:szCs w:val="24"/>
                <w:lang w:eastAsia="sk-SK"/>
              </w:rPr>
              <w:t>zmluve</w:t>
            </w:r>
            <w:r w:rsidR="005A7B8E">
              <w:rPr>
                <w:rFonts w:ascii="Calibri" w:eastAsia="Times New Roman" w:hAnsi="Calibri" w:cs="Times New Roman"/>
                <w:color w:val="000000"/>
                <w:sz w:val="24"/>
                <w:szCs w:val="24"/>
                <w:lang w:eastAsia="sk-SK"/>
              </w:rPr>
              <w:t xml:space="preserve"> o dielo</w:t>
            </w:r>
            <w:r w:rsidRPr="006B1D04">
              <w:rPr>
                <w:rFonts w:ascii="Calibri" w:eastAsia="Times New Roman" w:hAnsi="Calibri" w:cs="Times New Roman"/>
                <w:color w:val="000000"/>
                <w:sz w:val="24"/>
                <w:szCs w:val="24"/>
                <w:lang w:eastAsia="sk-SK"/>
              </w:rPr>
              <w:t xml:space="preser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w:t>
            </w:r>
            <w:r w:rsidRPr="007909A4">
              <w:lastRenderedPageBreak/>
              <w:t xml:space="preserve">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120AA5C9"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F36E99">
              <w:rPr>
                <w:rFonts w:ascii="Calibri" w:eastAsia="Times New Roman" w:hAnsi="Calibri" w:cs="Times New Roman"/>
                <w:b/>
                <w:color w:val="000000"/>
                <w:sz w:val="24"/>
                <w:szCs w:val="24"/>
                <w:lang w:eastAsia="sk-SK"/>
              </w:rPr>
              <w:t>Hažlín</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F36E99">
              <w:rPr>
                <w:rFonts w:ascii="Calibri" w:eastAsia="Times New Roman" w:hAnsi="Calibri" w:cs="Times New Roman"/>
                <w:b/>
                <w:color w:val="000000"/>
                <w:sz w:val="24"/>
                <w:szCs w:val="24"/>
                <w:lang w:eastAsia="sk-SK"/>
              </w:rPr>
              <w:t>19.09.2022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5DA1D60D" w14:textId="609DB165"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00EF0C46">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w:t>
      </w:r>
      <w:r w:rsidR="00EF0C46">
        <w:rPr>
          <w:rFonts w:ascii="Calibri" w:eastAsia="Times New Roman" w:hAnsi="Calibri" w:cs="Times New Roman"/>
          <w:color w:val="000000"/>
          <w:lang w:eastAsia="sk-SK"/>
        </w:rPr>
        <w:t>Výkaz výmer</w:t>
      </w:r>
      <w:r w:rsidRPr="00CB6279">
        <w:rPr>
          <w:rFonts w:ascii="Calibri" w:eastAsia="Times New Roman" w:hAnsi="Calibri" w:cs="Times New Roman"/>
          <w:color w:val="000000"/>
          <w:lang w:eastAsia="sk-SK"/>
        </w:rPr>
        <w:t xml:space="preserve"> </w:t>
      </w:r>
    </w:p>
    <w:p w14:paraId="249D9F3E" w14:textId="75E4325C"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F36E99">
        <w:rPr>
          <w:rFonts w:ascii="Calibri" w:eastAsia="Times New Roman" w:hAnsi="Calibri" w:cs="Times New Roman"/>
          <w:color w:val="000000"/>
          <w:lang w:eastAsia="sk-SK"/>
        </w:rPr>
        <w:t>Zmluva o dielo</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50750856" w:rsidR="008F14F3" w:rsidRPr="00FF5E53" w:rsidRDefault="00EF0C46" w:rsidP="00FF5E53">
      <w:pPr>
        <w:spacing w:after="0" w:line="240" w:lineRule="auto"/>
        <w:jc w:val="both"/>
        <w:rPr>
          <w:rFonts w:ascii="Calibri" w:eastAsia="Times New Roman" w:hAnsi="Calibri" w:cs="Times New Roman"/>
          <w:color w:val="000000"/>
          <w:lang w:eastAsia="sk-SK"/>
        </w:rPr>
      </w:pPr>
      <w:r w:rsidRPr="00EF0C46">
        <w:rPr>
          <w:rFonts w:ascii="Calibri" w:eastAsia="Times New Roman" w:hAnsi="Calibri" w:cs="Times New Roman"/>
          <w:color w:val="000000"/>
          <w:lang w:eastAsia="sk-SK"/>
        </w:rPr>
        <w:t xml:space="preserve">Príloha č. </w:t>
      </w:r>
      <w:r>
        <w:rPr>
          <w:rFonts w:ascii="Calibri" w:eastAsia="Times New Roman" w:hAnsi="Calibri" w:cs="Times New Roman"/>
          <w:color w:val="000000"/>
          <w:lang w:eastAsia="sk-SK"/>
        </w:rPr>
        <w:t>5</w:t>
      </w:r>
      <w:r w:rsidRPr="00EF0C46">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xml:space="preserve"> Projektová dokumentácia</w:t>
      </w: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B2674"/>
    <w:rsid w:val="000C4E30"/>
    <w:rsid w:val="00155C3D"/>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55757"/>
    <w:rsid w:val="005908CC"/>
    <w:rsid w:val="005A7B8E"/>
    <w:rsid w:val="005D1CCD"/>
    <w:rsid w:val="00680402"/>
    <w:rsid w:val="006B1D04"/>
    <w:rsid w:val="006B4DC5"/>
    <w:rsid w:val="00701E25"/>
    <w:rsid w:val="007546C4"/>
    <w:rsid w:val="007D00D0"/>
    <w:rsid w:val="007F1CEE"/>
    <w:rsid w:val="007F3246"/>
    <w:rsid w:val="0083764D"/>
    <w:rsid w:val="008740BA"/>
    <w:rsid w:val="008952B6"/>
    <w:rsid w:val="008A438C"/>
    <w:rsid w:val="008F14F3"/>
    <w:rsid w:val="008F18CC"/>
    <w:rsid w:val="00932BC5"/>
    <w:rsid w:val="00957EB2"/>
    <w:rsid w:val="009C671A"/>
    <w:rsid w:val="00A0586F"/>
    <w:rsid w:val="00A62EFE"/>
    <w:rsid w:val="00A65702"/>
    <w:rsid w:val="00AD1B4D"/>
    <w:rsid w:val="00B06675"/>
    <w:rsid w:val="00B11067"/>
    <w:rsid w:val="00B32658"/>
    <w:rsid w:val="00BD595A"/>
    <w:rsid w:val="00C27C10"/>
    <w:rsid w:val="00C8105A"/>
    <w:rsid w:val="00CB0BF3"/>
    <w:rsid w:val="00CB6279"/>
    <w:rsid w:val="00D40408"/>
    <w:rsid w:val="00D672D6"/>
    <w:rsid w:val="00D7453E"/>
    <w:rsid w:val="00DC4F55"/>
    <w:rsid w:val="00DD724E"/>
    <w:rsid w:val="00E33373"/>
    <w:rsid w:val="00E474C2"/>
    <w:rsid w:val="00E664E4"/>
    <w:rsid w:val="00E91538"/>
    <w:rsid w:val="00E94167"/>
    <w:rsid w:val="00ED48BF"/>
    <w:rsid w:val="00EE42D2"/>
    <w:rsid w:val="00EF0C46"/>
    <w:rsid w:val="00F02B58"/>
    <w:rsid w:val="00F36E99"/>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1182</Words>
  <Characters>7335</Characters>
  <Application>Microsoft Office Word</Application>
  <DocSecurity>0</DocSecurity>
  <Lines>282</Lines>
  <Paragraphs>116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6</cp:revision>
  <dcterms:created xsi:type="dcterms:W3CDTF">2022-09-14T02:31:00Z</dcterms:created>
  <dcterms:modified xsi:type="dcterms:W3CDTF">2022-09-19T16:06:00Z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sutaze\PPA\Sorbel\VARIABLES_PPA_VO.xlsx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SORBEL s.r.o.</vt:lpwstr>
  </property>
  <property fmtid="{D5CDD505-2E9C-101B-9397-08002B2CF9AE}" pid="9" name="ObstaravatelUlicaCislo">
    <vt:lpwstr>Beloveža 227</vt:lpwstr>
  </property>
  <property fmtid="{D5CDD505-2E9C-101B-9397-08002B2CF9AE}" pid="10" name="ObstaravatelMesto">
    <vt:lpwstr>Hažlín</vt:lpwstr>
  </property>
  <property fmtid="{D5CDD505-2E9C-101B-9397-08002B2CF9AE}" pid="11" name="ObstaravatelPSC">
    <vt:lpwstr>086 14</vt:lpwstr>
  </property>
  <property fmtid="{D5CDD505-2E9C-101B-9397-08002B2CF9AE}" pid="12" name="ObstaravatelICO">
    <vt:lpwstr>36499455</vt:lpwstr>
  </property>
  <property fmtid="{D5CDD505-2E9C-101B-9397-08002B2CF9AE}" pid="13" name="ObstaravatelDIC">
    <vt:lpwstr>2021944100</vt:lpwstr>
  </property>
  <property fmtid="{D5CDD505-2E9C-101B-9397-08002B2CF9AE}" pid="14" name="StatutarnyOrgan">
    <vt:lpwstr>Ľubica Soroková</vt:lpwstr>
  </property>
  <property fmtid="{D5CDD505-2E9C-101B-9397-08002B2CF9AE}" pid="15" name="StatutarnyOrganFunkcia">
    <vt:lpwstr>konateľ</vt:lpwstr>
  </property>
  <property fmtid="{D5CDD505-2E9C-101B-9397-08002B2CF9AE}" pid="16" name="NazovZakazky">
    <vt:lpwstr>Zníženie energetickej náročnosti ohrevu TÚV</vt:lpwstr>
  </property>
  <property fmtid="{D5CDD505-2E9C-101B-9397-08002B2CF9AE}" pid="17" name="NazovProjektu">
    <vt:lpwstr>Opatrenia pre zníženie energetickej náročnosti o inováciu výrobného procesu v spoločnosti SORBEL s.r.o.</vt:lpwstr>
  </property>
  <property fmtid="{D5CDD505-2E9C-101B-9397-08002B2CF9AE}" pid="18" name="PredmetZakazky">
    <vt:lpwstr>Automatická linka na výrobu betónových výrobkov - 1 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4.10.2022 do 10:00 h</vt:lpwstr>
  </property>
  <property fmtid="{D5CDD505-2E9C-101B-9397-08002B2CF9AE}" pid="21" name="DatumOtvaraniaAVyhodnoteniaPonuk">
    <vt:lpwstr>4.10.2022 o 11:00 h</vt:lpwstr>
  </property>
  <property fmtid="{D5CDD505-2E9C-101B-9397-08002B2CF9AE}" pid="22" name="DatumPodpisuVyzva">
    <vt:lpwstr>19.09.2022</vt:lpwstr>
  </property>
  <property fmtid="{D5CDD505-2E9C-101B-9397-08002B2CF9AE}" pid="23" name="DatumPodpisuZaznam">
    <vt:lpwstr>4.10.2022</vt:lpwstr>
  </property>
  <property fmtid="{D5CDD505-2E9C-101B-9397-08002B2CF9AE}" pid="24" name="DatumPodpisuSplnomocnenie">
    <vt:lpwstr>02.08.2022</vt:lpwstr>
  </property>
  <property fmtid="{D5CDD505-2E9C-101B-9397-08002B2CF9AE}" pid="25" name="KodProjektu">
    <vt:lpwstr/>
  </property>
  <property fmtid="{D5CDD505-2E9C-101B-9397-08002B2CF9AE}" pid="26" name="IDObstaravania">
    <vt:lpwstr>31307</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38584,02</vt:lpwstr>
  </property>
  <property fmtid="{D5CDD505-2E9C-101B-9397-08002B2CF9AE}" pid="34" name="PHZsDPH">
    <vt:lpwstr>46300,824</vt:lpwstr>
  </property>
  <property fmtid="{D5CDD505-2E9C-101B-9397-08002B2CF9AE}" pid="35" name="PredmetZakazky1">
    <vt:lpwstr>Systém ohrevu TÚV prostredníctvom solárnych kolektorov.</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SK7684200000000177011258</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45000000-7</vt:lpwstr>
  </property>
  <property fmtid="{D5CDD505-2E9C-101B-9397-08002B2CF9AE}" pid="43" name="MiestoDodaniaUlicaCislo">
    <vt:lpwstr>Stročín 125</vt:lpwstr>
  </property>
  <property fmtid="{D5CDD505-2E9C-101B-9397-08002B2CF9AE}" pid="44" name="MiestoDodaniaPSC">
    <vt:lpwstr>089 01</vt:lpwstr>
  </property>
  <property fmtid="{D5CDD505-2E9C-101B-9397-08002B2CF9AE}" pid="45" name="MiestoDodaniaObec">
    <vt:lpwstr>Stročín</vt:lpwstr>
  </property>
  <property fmtid="{D5CDD505-2E9C-101B-9397-08002B2CF9AE}" pid="46" name="TerminDodania">
    <vt:lpwstr>do 9 mesiacov odo dňa vystavenia záväznej objednávky.</vt:lpwstr>
  </property>
  <property fmtid="{D5CDD505-2E9C-101B-9397-08002B2CF9AE}" pid="47" name="TypZmluvy">
    <vt:lpwstr>Zmluva o dielo</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AGROSPOL Kalinovo, s.r.o.</vt:lpwstr>
  </property>
  <property fmtid="{D5CDD505-2E9C-101B-9397-08002B2CF9AE}" pid="54" name="Uchadzac1UlicaCislo">
    <vt:lpwstr>Zvolenská cesta 2740</vt:lpwstr>
  </property>
  <property fmtid="{D5CDD505-2E9C-101B-9397-08002B2CF9AE}" pid="55" name="Uchadzac1Mesto">
    <vt:lpwstr>984 01 Lučenec</vt:lpwstr>
  </property>
  <property fmtid="{D5CDD505-2E9C-101B-9397-08002B2CF9AE}" pid="56" name="Uchadzac1StatutarnyZastupca">
    <vt:lpwstr>J K</vt:lpwstr>
  </property>
  <property fmtid="{D5CDD505-2E9C-101B-9397-08002B2CF9AE}" pid="57" name="Uchadzac1ICO">
    <vt:lpwstr>123456</vt:lpwstr>
  </property>
  <property fmtid="{D5CDD505-2E9C-101B-9397-08002B2CF9AE}" pid="58" name="Uchadzac1DatumACaspredlozenia">
    <vt:lpwstr>13.5.2022 o 11:17 hod </vt:lpwstr>
  </property>
  <property fmtid="{D5CDD505-2E9C-101B-9397-08002B2CF9AE}" pid="59" name="Uchadzac1Ponuka">
    <vt:lpwstr>35004</vt:lpwstr>
  </property>
  <property fmtid="{D5CDD505-2E9C-101B-9397-08002B2CF9AE}" pid="60" name="Uchadzac2Nazov">
    <vt:lpwstr>TEKMA SLOVENSKO s.r.o.</vt:lpwstr>
  </property>
  <property fmtid="{D5CDD505-2E9C-101B-9397-08002B2CF9AE}" pid="61" name="Uchadzac2UlicaCislo">
    <vt:lpwstr>Bystrický rad 314/69</vt:lpwstr>
  </property>
  <property fmtid="{D5CDD505-2E9C-101B-9397-08002B2CF9AE}" pid="62" name="Uchadzac2Mesto">
    <vt:lpwstr>960 01 Zvolen</vt:lpwstr>
  </property>
  <property fmtid="{D5CDD505-2E9C-101B-9397-08002B2CF9AE}" pid="63" name="Uchadzac2StatutarnyZastupca">
    <vt:lpwstr>MR</vt:lpwstr>
  </property>
  <property fmtid="{D5CDD505-2E9C-101B-9397-08002B2CF9AE}" pid="64" name="Uchadzac2ICO">
    <vt:lpwstr>789456</vt:lpwstr>
  </property>
  <property fmtid="{D5CDD505-2E9C-101B-9397-08002B2CF9AE}" pid="65" name="Uchadzac2DatumACaspredlozenia">
    <vt:lpwstr>13.5.2022 o 11:28 hod </vt:lpwstr>
  </property>
  <property fmtid="{D5CDD505-2E9C-101B-9397-08002B2CF9AE}" pid="66" name="Uchadzac2Ponuka">
    <vt:lpwstr>20000</vt:lpwstr>
  </property>
  <property fmtid="{D5CDD505-2E9C-101B-9397-08002B2CF9AE}" pid="67" name="Uchadzac3Nazov">
    <vt:lpwstr>MILKING, spol. s r.o.</vt:lpwstr>
  </property>
  <property fmtid="{D5CDD505-2E9C-101B-9397-08002B2CF9AE}" pid="68" name="Uchadzac3UlicaCislo">
    <vt:lpwstr>Studená 21</vt:lpwstr>
  </property>
  <property fmtid="{D5CDD505-2E9C-101B-9397-08002B2CF9AE}" pid="69" name="Uchadzac3Mesto">
    <vt:lpwstr>821 04 Bratislava</vt:lpwstr>
  </property>
  <property fmtid="{D5CDD505-2E9C-101B-9397-08002B2CF9AE}" pid="70" name="Uchadzac3StatutarnyZastupca">
    <vt:lpwstr>AL</vt:lpwstr>
  </property>
  <property fmtid="{D5CDD505-2E9C-101B-9397-08002B2CF9AE}" pid="71" name="Uchadzac3ICO">
    <vt:lpwstr>987321</vt:lpwstr>
  </property>
  <property fmtid="{D5CDD505-2E9C-101B-9397-08002B2CF9AE}" pid="72" name="Uchadzac3DatumACaspredlozenia">
    <vt:lpwstr>13.5.2022 o 11:39 hod </vt:lpwstr>
  </property>
  <property fmtid="{D5CDD505-2E9C-101B-9397-08002B2CF9AE}" pid="73" name="Uchadzac3Ponuka">
    <vt:lpwstr>59025</vt:lpwstr>
  </property>
  <property fmtid="{D5CDD505-2E9C-101B-9397-08002B2CF9AE}" pid="74" name="Uchadzac1Poradie">
    <vt:lpwstr>2</vt:lpwstr>
  </property>
  <property fmtid="{D5CDD505-2E9C-101B-9397-08002B2CF9AE}" pid="75" name="Uchadzac2Poradie">
    <vt:lpwstr>1</vt:lpwstr>
  </property>
  <property fmtid="{D5CDD505-2E9C-101B-9397-08002B2CF9AE}" pid="76" name="Uchadzac3Poradie">
    <vt:lpwstr>3</vt:lpwstr>
  </property>
  <property fmtid="{D5CDD505-2E9C-101B-9397-08002B2CF9AE}" pid="77" name="VitaznaPonuka">
    <vt:lpwstr>20000</vt:lpwstr>
  </property>
  <property fmtid="{D5CDD505-2E9C-101B-9397-08002B2CF9AE}" pid="78" name="VitaznyUchadzacNazov">
    <vt:lpwstr>TEKMA SLOVENSKO s.r.o.</vt:lpwstr>
  </property>
  <property fmtid="{D5CDD505-2E9C-101B-9397-08002B2CF9AE}" pid="79" name="VitaznyUchadzacUlicaCislo">
    <vt:lpwstr>Bystrický rad 314/69</vt:lpwstr>
  </property>
  <property fmtid="{D5CDD505-2E9C-101B-9397-08002B2CF9AE}" pid="80" name="VitaznyUchadzacPSCMesto">
    <vt:lpwstr>960 01 Zvolen</vt:lpwstr>
  </property>
  <property fmtid="{D5CDD505-2E9C-101B-9397-08002B2CF9AE}" pid="81" name="VitaznyUchadzacStatutarnyZastupca">
    <vt:lpwstr>MR</vt:lpwstr>
  </property>
  <property fmtid="{D5CDD505-2E9C-101B-9397-08002B2CF9AE}" pid="82" name="VitaznyUchadzaICO">
    <vt:lpwstr>789456</vt:lpwstr>
  </property>
  <property fmtid="{D5CDD505-2E9C-101B-9397-08002B2CF9AE}" pid="83" name="VitaznyUchadzacDatumACaspredlozenia">
    <vt:lpwstr>13.5.2022 o 11:28 hod </vt:lpwstr>
  </property>
  <property fmtid="{D5CDD505-2E9C-101B-9397-08002B2CF9AE}" pid="84" name="2Ponuka">
    <vt:lpwstr>35004</vt:lpwstr>
  </property>
  <property fmtid="{D5CDD505-2E9C-101B-9397-08002B2CF9AE}" pid="85" name="2UchadzacNazov">
    <vt:lpwstr>AGROSPOL Kalinovo, s.r.o.</vt:lpwstr>
  </property>
  <property fmtid="{D5CDD505-2E9C-101B-9397-08002B2CF9AE}" pid="86" name="2UchadzacUlicaCislo">
    <vt:lpwstr>Zvolenská cesta 2740</vt:lpwstr>
  </property>
  <property fmtid="{D5CDD505-2E9C-101B-9397-08002B2CF9AE}" pid="87" name="2UchadzacPSCMesto">
    <vt:lpwstr>984 01 Lučenec</vt:lpwstr>
  </property>
  <property fmtid="{D5CDD505-2E9C-101B-9397-08002B2CF9AE}" pid="88" name="2UchadzacStatutarnyZastupca">
    <vt:lpwstr>J K</vt:lpwstr>
  </property>
  <property fmtid="{D5CDD505-2E9C-101B-9397-08002B2CF9AE}" pid="89" name="2UchadzacICO">
    <vt:lpwstr>123456</vt:lpwstr>
  </property>
  <property fmtid="{D5CDD505-2E9C-101B-9397-08002B2CF9AE}" pid="90" name="2UchadzacDatumACaspredlozenia">
    <vt:lpwstr>13.5.2022 o 11:17 hod </vt:lpwstr>
  </property>
  <property fmtid="{D5CDD505-2E9C-101B-9397-08002B2CF9AE}" pid="91" name="3Ponuka">
    <vt:lpwstr>59025</vt:lpwstr>
  </property>
  <property fmtid="{D5CDD505-2E9C-101B-9397-08002B2CF9AE}" pid="92" name="3UchadzacNazov">
    <vt:lpwstr>MILKING, spol. s r.o.</vt:lpwstr>
  </property>
  <property fmtid="{D5CDD505-2E9C-101B-9397-08002B2CF9AE}" pid="93" name="3UchadzacUlicaCislo">
    <vt:lpwstr>Studená 21</vt:lpwstr>
  </property>
  <property fmtid="{D5CDD505-2E9C-101B-9397-08002B2CF9AE}" pid="94" name="3UchadzacPSCMesto">
    <vt:lpwstr>821 04 Bratislava</vt:lpwstr>
  </property>
  <property fmtid="{D5CDD505-2E9C-101B-9397-08002B2CF9AE}" pid="95" name="3UchadzacStatutarnyZastupca">
    <vt:lpwstr>AL</vt:lpwstr>
  </property>
  <property fmtid="{D5CDD505-2E9C-101B-9397-08002B2CF9AE}" pid="96" name="3UchadzacICO">
    <vt:lpwstr>987321</vt:lpwstr>
  </property>
  <property fmtid="{D5CDD505-2E9C-101B-9397-08002B2CF9AE}" pid="97" name="3UchadzacDatumACaspredlozenia">
    <vt:lpwstr>13.5.2022 o 11:39 hod </vt:lpwstr>
  </property>
  <property fmtid="{D5CDD505-2E9C-101B-9397-08002B2CF9AE}" pid="98" name="OperacnyProgram">
    <vt:lpwstr>Kvalita životného prostredia</vt:lpwstr>
  </property>
  <property fmtid="{D5CDD505-2E9C-101B-9397-08002B2CF9AE}" pid="99" name="ObstaravatelWeb">
    <vt:lpwstr/>
  </property>
  <property fmtid="{D5CDD505-2E9C-101B-9397-08002B2CF9AE}" pid="100" name="CPVkod">
    <vt:lpwstr>42641300-4</vt:lpwstr>
  </property>
  <property fmtid="{D5CDD505-2E9C-101B-9397-08002B2CF9AE}" pid="101" name="ObstaravatelIBAN">
    <vt:lpwstr/>
  </property>
  <property fmtid="{D5CDD505-2E9C-101B-9397-08002B2CF9AE}" pid="102" name="LehotaRealizacie">
    <vt:lpwstr>dodanie do 6 mesiacov od potvrdenia objednávky a zaplatenia zálohy</vt:lpwstr>
  </property>
  <property fmtid="{D5CDD505-2E9C-101B-9397-08002B2CF9AE}" pid="103" name="PlatobnePodmienky">
    <vt:lpwstr>35% z celkovej hodnoty predmetu kúpy pri objednávke</vt:lpwstr>
  </property>
  <property fmtid="{D5CDD505-2E9C-101B-9397-08002B2CF9AE}" pid="104" name="PrilohaVyzvy1">
    <vt:lpwstr>Cenová ponuka</vt:lpwstr>
  </property>
  <property fmtid="{D5CDD505-2E9C-101B-9397-08002B2CF9AE}" pid="105" name="PrilohaVyzvy2">
    <vt:lpwstr>Súhlas so spracovaním osobných údajov</vt:lpwstr>
  </property>
  <property fmtid="{D5CDD505-2E9C-101B-9397-08002B2CF9AE}" pid="106" name="PrilohaVyzvy4">
    <vt:lpwstr>Kúpna zmluva</vt:lpwstr>
  </property>
</Properties>
</file>