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7ADBCBC" w14:textId="3BF19C40" w:rsidR="008F789F" w:rsidRDefault="00490CF8" w:rsidP="008F789F">
      <w:pPr>
        <w:widowControl w:val="0"/>
        <w:autoSpaceDE w:val="0"/>
        <w:autoSpaceDN w:val="0"/>
        <w:adjustRightInd w:val="0"/>
        <w:jc w:val="center"/>
        <w:rPr>
          <w:rFonts w:ascii="Arial Narrow" w:hAnsi="Arial Narrow" w:cs="Arial"/>
          <w:b/>
          <w:i/>
        </w:rPr>
      </w:pPr>
      <w:r>
        <w:rPr>
          <w:rFonts w:ascii="Arial Narrow" w:hAnsi="Arial Narrow" w:cs="Arial"/>
          <w:b/>
          <w:sz w:val="28"/>
          <w:szCs w:val="28"/>
        </w:rPr>
        <w:t>„</w:t>
      </w:r>
      <w:r w:rsidR="00E92F04" w:rsidRPr="00E92F04">
        <w:rPr>
          <w:rFonts w:ascii="Arial Narrow" w:hAnsi="Arial Narrow"/>
          <w:b/>
          <w:sz w:val="28"/>
          <w:szCs w:val="28"/>
        </w:rPr>
        <w:t xml:space="preserve">Prístrojová technika pre odvetvie </w:t>
      </w:r>
      <w:proofErr w:type="spellStart"/>
      <w:r w:rsidR="00E92F04" w:rsidRPr="00E92F04">
        <w:rPr>
          <w:rFonts w:ascii="Arial Narrow" w:hAnsi="Arial Narrow"/>
          <w:b/>
          <w:sz w:val="28"/>
          <w:szCs w:val="28"/>
        </w:rPr>
        <w:t>trasológie</w:t>
      </w:r>
      <w:proofErr w:type="spellEnd"/>
      <w:r>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lastRenderedPageBreak/>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69EBB578"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003036A5">
        <w:rPr>
          <w:rStyle w:val="Jemnzvraznenie"/>
          <w:rFonts w:ascii="Arial Narrow" w:hAnsi="Arial Narrow" w:cs="Arial"/>
          <w:b w:val="0"/>
          <w:iCs/>
          <w:sz w:val="22"/>
        </w:rPr>
        <w:t xml:space="preserve"> je možné nájsť na webovom sídle</w:t>
      </w:r>
      <w:r w:rsidRPr="00BB673C">
        <w:rPr>
          <w:rStyle w:val="Jemnzvraznenie"/>
          <w:rFonts w:ascii="Arial Narrow" w:hAnsi="Arial Narrow" w:cs="Arial"/>
          <w:b w:val="0"/>
          <w:iCs/>
          <w:sz w:val="22"/>
        </w:rPr>
        <w:t xml:space="preserve">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w:t>
      </w:r>
      <w:r w:rsidR="00E92F04">
        <w:rPr>
          <w:rStyle w:val="Jemnzvraznenie"/>
          <w:rFonts w:ascii="Arial Narrow" w:hAnsi="Arial Narrow" w:cs="Arial"/>
          <w:b w:val="0"/>
          <w:iCs/>
          <w:sz w:val="22"/>
          <w:lang w:val="sk-SK"/>
        </w:rPr>
        <w:t>7</w:t>
      </w:r>
      <w:r>
        <w:rPr>
          <w:rStyle w:val="Jemnzvraznenie"/>
          <w:rFonts w:ascii="Arial Narrow" w:hAnsi="Arial Narrow" w:cs="Arial"/>
          <w:b w:val="0"/>
          <w:iCs/>
          <w:sz w:val="22"/>
        </w:rPr>
        <w:t xml:space="preserve"> týchto súťažných podkladov.</w:t>
      </w:r>
    </w:p>
    <w:p w14:paraId="32EE17F9" w14:textId="6C0DD029"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w:t>
      </w:r>
      <w:r w:rsidR="003036A5">
        <w:rPr>
          <w:rFonts w:ascii="Arial Narrow" w:hAnsi="Arial Narrow"/>
          <w:lang w:val="sk-SK"/>
        </w:rPr>
        <w:t> </w:t>
      </w:r>
      <w:r>
        <w:rPr>
          <w:rFonts w:ascii="Arial Narrow" w:hAnsi="Arial Narrow"/>
          <w:lang w:val="sk-SK"/>
        </w:rPr>
        <w:t>ponuke</w:t>
      </w:r>
      <w:r w:rsidR="003036A5">
        <w:rPr>
          <w:rFonts w:ascii="Arial Narrow" w:hAnsi="Arial Narrow"/>
          <w:lang w:val="sk-SK"/>
        </w:rPr>
        <w:t xml:space="preserve"> </w:t>
      </w:r>
      <w:bookmarkStart w:id="0" w:name="_GoBack"/>
      <w:bookmarkEnd w:id="0"/>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49720F6A" w:rsidR="008F789F" w:rsidRPr="00E92F04" w:rsidRDefault="00CF3803" w:rsidP="008F789F">
    <w:pPr>
      <w:widowControl w:val="0"/>
      <w:autoSpaceDE w:val="0"/>
      <w:autoSpaceDN w:val="0"/>
      <w:adjustRightInd w:val="0"/>
      <w:rPr>
        <w:rFonts w:ascii="Arial Narrow" w:hAnsi="Arial Narrow"/>
        <w:b/>
        <w:sz w:val="18"/>
        <w:szCs w:val="18"/>
        <w:lang w:eastAsia="cs-CZ"/>
      </w:rPr>
    </w:pPr>
    <w:r w:rsidRPr="008F789F">
      <w:rPr>
        <w:rFonts w:ascii="Arial Narrow" w:hAnsi="Arial Narrow"/>
        <w:sz w:val="18"/>
        <w:szCs w:val="18"/>
      </w:rPr>
      <w:t>Súťažné podklady</w:t>
    </w:r>
    <w:r w:rsidRPr="00E92F04">
      <w:rPr>
        <w:rFonts w:ascii="Arial Narrow" w:hAnsi="Arial Narrow"/>
        <w:sz w:val="18"/>
        <w:szCs w:val="18"/>
      </w:rPr>
      <w:t xml:space="preserve">: </w:t>
    </w:r>
    <w:r w:rsidR="00E92F04" w:rsidRPr="00E92F04">
      <w:rPr>
        <w:rFonts w:ascii="Arial Narrow" w:hAnsi="Arial Narrow"/>
        <w:sz w:val="18"/>
        <w:szCs w:val="18"/>
      </w:rPr>
      <w:t>„</w:t>
    </w:r>
    <w:r w:rsidR="00E92F04" w:rsidRPr="00E92F04">
      <w:rPr>
        <w:rFonts w:ascii="Arial Narrow" w:hAnsi="Arial Narrow"/>
        <w:sz w:val="18"/>
        <w:szCs w:val="18"/>
      </w:rPr>
      <w:t xml:space="preserve">Prístrojová technika pre odvetvie </w:t>
    </w:r>
    <w:proofErr w:type="spellStart"/>
    <w:r w:rsidR="00E92F04" w:rsidRPr="00E92F04">
      <w:rPr>
        <w:rFonts w:ascii="Arial Narrow" w:hAnsi="Arial Narrow"/>
        <w:sz w:val="18"/>
        <w:szCs w:val="18"/>
      </w:rPr>
      <w:t>trasológie</w:t>
    </w:r>
    <w:proofErr w:type="spellEnd"/>
    <w:r w:rsidR="008F789F" w:rsidRPr="00E92F04">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036A5"/>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0CF8"/>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2F04"/>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ED4C-6A23-4D55-808B-975FE274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1275</Words>
  <Characters>7761</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2016-07-29T05:17:00Z</cp:lastPrinted>
  <dcterms:created xsi:type="dcterms:W3CDTF">2018-10-21T13:44:00Z</dcterms:created>
  <dcterms:modified xsi:type="dcterms:W3CDTF">2022-09-13T14:24:00Z</dcterms:modified>
</cp:coreProperties>
</file>