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Pr="0043436F" w:rsidRDefault="00032E8B" w:rsidP="00032E8B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8 súťažných podkladov</w:t>
      </w: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656871" w:rsidRDefault="00656871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  <w:r w:rsidRPr="00032E8B">
        <w:rPr>
          <w:rFonts w:ascii="Arial Narrow" w:hAnsi="Arial Narrow" w:cs="Arial"/>
          <w:sz w:val="22"/>
          <w:szCs w:val="22"/>
          <w:u w:val="single"/>
        </w:rPr>
        <w:t>Návrh na plnenie kritéria na vyhodnotenie ponúk pre časť 1:</w:t>
      </w: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2E8B" w:rsidRPr="00823D5D" w:rsidTr="003B4F2B">
        <w:tc>
          <w:tcPr>
            <w:tcW w:w="9210" w:type="dxa"/>
            <w:shd w:val="clear" w:color="auto" w:fill="D0CECE"/>
            <w:vAlign w:val="center"/>
          </w:tcPr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Návrh na plnenie kritéria na vyhodnotenie ponúk pre časť 1 </w:t>
            </w:r>
          </w:p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8"/>
        <w:gridCol w:w="850"/>
        <w:gridCol w:w="990"/>
        <w:gridCol w:w="1551"/>
        <w:gridCol w:w="1697"/>
      </w:tblGrid>
      <w:tr w:rsidR="00032E8B" w:rsidRPr="00A728B9" w:rsidTr="00656871">
        <w:trPr>
          <w:trHeight w:val="529"/>
        </w:trPr>
        <w:tc>
          <w:tcPr>
            <w:tcW w:w="2676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Cena v EUR bez DPH</w:t>
            </w: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Sadzba DPH           20%</w:t>
            </w: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Výška DPH</w:t>
            </w: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bez DPH</w:t>
            </w: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vrátane DPH</w:t>
            </w:r>
          </w:p>
        </w:tc>
      </w:tr>
      <w:tr w:rsidR="00032E8B" w:rsidRPr="00A728B9" w:rsidTr="00656871">
        <w:trPr>
          <w:trHeight w:val="623"/>
        </w:trPr>
        <w:tc>
          <w:tcPr>
            <w:tcW w:w="2676" w:type="dxa"/>
          </w:tcPr>
          <w:p w:rsidR="00032E8B" w:rsidRDefault="00032E8B" w:rsidP="00032E8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032E8B" w:rsidRPr="00032E8B" w:rsidRDefault="00032E8B" w:rsidP="00032E8B">
            <w:pPr>
              <w:rPr>
                <w:rFonts w:ascii="Arial Narrow" w:hAnsi="Arial Narrow"/>
                <w:sz w:val="18"/>
                <w:szCs w:val="14"/>
              </w:rPr>
            </w:pPr>
            <w:r w:rsidRPr="00032E8B">
              <w:rPr>
                <w:rFonts w:ascii="Arial Narrow" w:hAnsi="Arial Narrow"/>
                <w:b/>
                <w:sz w:val="22"/>
                <w:szCs w:val="14"/>
              </w:rPr>
              <w:t xml:space="preserve">Kritérium č. 1: </w:t>
            </w:r>
            <w:r w:rsidRPr="00032E8B">
              <w:rPr>
                <w:rFonts w:ascii="Arial Narrow" w:hAnsi="Arial Narrow"/>
                <w:sz w:val="22"/>
                <w:szCs w:val="14"/>
              </w:rPr>
              <w:t xml:space="preserve">Cena celej zostavy </w:t>
            </w: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32E8B" w:rsidRPr="00A728B9" w:rsidTr="009577CA">
        <w:trPr>
          <w:trHeight w:val="5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6"/>
              </w:rPr>
              <w:t>ÁNO/NIE</w:t>
            </w:r>
          </w:p>
        </w:tc>
      </w:tr>
      <w:tr w:rsidR="00032E8B" w:rsidRPr="00A728B9" w:rsidTr="009577CA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Default="00032E8B" w:rsidP="003B4F2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032E8B" w:rsidRPr="0032255D" w:rsidRDefault="00032E8B" w:rsidP="00032E8B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2: </w:t>
            </w:r>
            <w:r w:rsidRPr="0032255D">
              <w:rPr>
                <w:rFonts w:ascii="Arial Narrow" w:eastAsia="Calibri" w:hAnsi="Arial Narrow"/>
                <w:sz w:val="22"/>
              </w:rPr>
              <w:t>Náklon „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tilt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“ aspoň u jedného SPECT detektora minimálne </w:t>
            </w:r>
            <w:r w:rsidRPr="0032255D">
              <w:rPr>
                <w:rFonts w:ascii="Arial Narrow" w:eastAsia="Calibri" w:hAnsi="Arial Narrow"/>
                <w:sz w:val="22"/>
              </w:rPr>
              <w:sym w:font="Symbol" w:char="F0B1"/>
            </w:r>
            <w:r w:rsidRPr="0032255D">
              <w:rPr>
                <w:rFonts w:ascii="Arial Narrow" w:eastAsia="Calibri" w:hAnsi="Arial Narrow"/>
                <w:sz w:val="22"/>
              </w:rPr>
              <w:t xml:space="preserve"> 15</w:t>
            </w:r>
            <w:r w:rsidRPr="0032255D">
              <w:rPr>
                <w:rFonts w:ascii="Arial Narrow" w:eastAsia="Calibri" w:hAnsi="Arial Narrow"/>
                <w:sz w:val="22"/>
              </w:rPr>
              <w:sym w:font="Symbol" w:char="F0B0"/>
            </w:r>
          </w:p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9577CA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032E8B" w:rsidRDefault="00032E8B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3: </w:t>
            </w:r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Plne automatická modulácia prúdu anódy  v priebehu skenovania na základe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atenuácie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v reálnom čase podľa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topogramu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v osiach x, y a z (3D) a uhlovej pozície RTG lampy voči telu pacienta (4D) za účelom primeraného zníženia radiačnej záťaže pacienta počas CT vyšetrenia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9577CA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E8B" w:rsidRPr="00032E8B" w:rsidRDefault="00032E8B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Kritérium č. 4: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 xml:space="preserve">Systém poskytujúci štandardizovanú absolútnu reprodukovateľnú kvantifikáciu na základe 3 % NIST zdroja s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sym w:font="Symbol" w:char="F0A3"/>
            </w:r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10 % presnosťou pre </w:t>
            </w:r>
            <w:r w:rsidRPr="0032255D">
              <w:rPr>
                <w:rFonts w:ascii="Arial Narrow" w:eastAsia="Calibri" w:hAnsi="Arial Narrow" w:cs="Times New Roman"/>
                <w:sz w:val="22"/>
                <w:vertAlign w:val="superscript"/>
              </w:rPr>
              <w:t>131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>I a </w:t>
            </w:r>
            <w:r w:rsidRPr="0032255D">
              <w:rPr>
                <w:rFonts w:ascii="Arial Narrow" w:eastAsia="Calibri" w:hAnsi="Arial Narrow" w:cs="Times New Roman"/>
                <w:sz w:val="22"/>
                <w:vertAlign w:val="superscript"/>
              </w:rPr>
              <w:t>177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 xml:space="preserve">Lu pri použití HE a ME 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kolimátora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ako rutinnú súčasť klinickej akvizície v rámci</w:t>
            </w:r>
            <w:r w:rsidRPr="0032255D">
              <w:rPr>
                <w:rFonts w:ascii="Arial Narrow" w:hAnsi="Arial Narrow" w:cs="Times New Roman"/>
                <w:sz w:val="22"/>
              </w:rPr>
              <w:t xml:space="preserve">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>akvizičného príslušenstva a softvéru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9577CA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E8B" w:rsidRPr="00032E8B" w:rsidRDefault="00032E8B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4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5: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 xml:space="preserve">Systém umožňujúci zobrazenie kostí vo vysokom rozlíšení HD  s využitím zónovej mapy:  indexovanie každého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voxelu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v mu-mape s typom tkaniva, po ktorom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následuje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metóda vyhladzovania (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smoothing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method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), ktorá kombinuje diskrétne prahové hodnoty pre aspoň 5 rôznych základných tried: vzduch, tukové tkanivo, mäkké tkanivo,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kortikálna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kosť,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spongiózna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 xml:space="preserve"> kosť - </w:t>
            </w:r>
            <w:proofErr w:type="spellStart"/>
            <w:r w:rsidRPr="0032255D">
              <w:rPr>
                <w:rFonts w:ascii="Arial Narrow" w:eastAsia="Calibri" w:hAnsi="Arial Narrow" w:cs="Times New Roman"/>
                <w:sz w:val="22"/>
              </w:rPr>
              <w:t>xBone</w:t>
            </w:r>
            <w:proofErr w:type="spellEnd"/>
            <w:r w:rsidRPr="0032255D">
              <w:rPr>
                <w:rFonts w:ascii="Arial Narrow" w:eastAsia="Calibri" w:hAnsi="Arial Narrow" w:cs="Times New Roman"/>
                <w:sz w:val="22"/>
              </w:rPr>
              <w:t>, alebo ekvivalent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:rsidR="00032E8B" w:rsidRPr="00823D5D" w:rsidRDefault="00032E8B" w:rsidP="00032E8B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:rsidR="00032E8B" w:rsidRPr="00823D5D" w:rsidRDefault="00032E8B" w:rsidP="00032E8B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p w:rsidR="00A976C6" w:rsidRDefault="009577CA"/>
    <w:sectPr w:rsidR="00A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3"/>
    <w:rsid w:val="00032E8B"/>
    <w:rsid w:val="00150122"/>
    <w:rsid w:val="00352FA3"/>
    <w:rsid w:val="00656871"/>
    <w:rsid w:val="009577CA"/>
    <w:rsid w:val="009F334B"/>
    <w:rsid w:val="00CF2AA4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F5E9"/>
  <w15:chartTrackingRefBased/>
  <w15:docId w15:val="{022D75AA-593A-4F5E-97C5-893D12C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E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032E8B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odsek10ptodsadeny2x">
    <w:name w:val="16_odsek_10pt_odsadeny2x"/>
    <w:basedOn w:val="Normlny"/>
    <w:uiPriority w:val="99"/>
    <w:rsid w:val="00032E8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3</cp:revision>
  <dcterms:created xsi:type="dcterms:W3CDTF">2022-10-03T14:28:00Z</dcterms:created>
  <dcterms:modified xsi:type="dcterms:W3CDTF">2022-10-03T15:01:00Z</dcterms:modified>
</cp:coreProperties>
</file>