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4897"/>
        <w:gridCol w:w="2739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F83964">
              <w:rPr>
                <w:rFonts w:ascii="Arial" w:hAnsi="Arial" w:cs="Arial"/>
                <w:sz w:val="24"/>
              </w:rPr>
              <w:t>Ivanská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CF78D7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27790A67" w14:textId="77777777" w:rsidTr="00162A51">
        <w:trPr>
          <w:cantSplit/>
          <w:trHeight w:val="367"/>
        </w:trPr>
        <w:tc>
          <w:tcPr>
            <w:tcW w:w="799" w:type="dxa"/>
            <w:tcBorders>
              <w:left w:val="double" w:sz="4" w:space="0" w:color="auto"/>
            </w:tcBorders>
          </w:tcPr>
          <w:p w14:paraId="7728F3DC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2"/>
            <w:vMerge w:val="restart"/>
          </w:tcPr>
          <w:p w14:paraId="79202831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  <w:tcBorders>
              <w:right w:val="double" w:sz="4" w:space="0" w:color="auto"/>
            </w:tcBorders>
          </w:tcPr>
          <w:p w14:paraId="61B2E7F2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2F1C9D89" w14:textId="77777777" w:rsidTr="00162A51">
        <w:trPr>
          <w:cantSplit/>
          <w:trHeight w:val="358"/>
        </w:trPr>
        <w:tc>
          <w:tcPr>
            <w:tcW w:w="799" w:type="dxa"/>
            <w:tcBorders>
              <w:left w:val="double" w:sz="4" w:space="0" w:color="auto"/>
            </w:tcBorders>
          </w:tcPr>
          <w:p w14:paraId="6990E2F0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2"/>
            <w:vMerge/>
          </w:tcPr>
          <w:p w14:paraId="765F0300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  <w:tcBorders>
              <w:right w:val="double" w:sz="4" w:space="0" w:color="auto"/>
            </w:tcBorders>
          </w:tcPr>
          <w:p w14:paraId="360313D5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6FE56BF6" w14:textId="77777777" w:rsidTr="00162A51">
        <w:trPr>
          <w:cantSplit/>
          <w:trHeight w:val="761"/>
        </w:trPr>
        <w:tc>
          <w:tcPr>
            <w:tcW w:w="799" w:type="dxa"/>
            <w:tcBorders>
              <w:left w:val="double" w:sz="4" w:space="0" w:color="auto"/>
            </w:tcBorders>
          </w:tcPr>
          <w:p w14:paraId="77D44B5C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2"/>
            <w:vMerge/>
          </w:tcPr>
          <w:p w14:paraId="265C0A46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  <w:tcBorders>
              <w:right w:val="double" w:sz="4" w:space="0" w:color="auto"/>
            </w:tcBorders>
          </w:tcPr>
          <w:p w14:paraId="3402F107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C168A" w:rsidRPr="00F83964" w14:paraId="6FC3BFF9" w14:textId="77777777" w:rsidTr="00F311AC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19B8F287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 xml:space="preserve">ov 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p w14:paraId="03BB45C6" w14:textId="77777777" w:rsidR="007C168A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DD4801E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2EFB0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A79B656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4400EAD4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FDDF3EA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61BED97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5A294D0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3A214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17AE8B3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03101E3F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B59D16A" w14:textId="7FCD53AD" w:rsidR="00F1077D" w:rsidRPr="00F83964" w:rsidRDefault="00F1077D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4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gridSpan w:val="2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„CHLaZ</w:t>
      </w:r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CHLaZ,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CHLaZ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CHLaZ sú zamestnanci povinní používať iba predpísané a vhodné OOPP, pri manipulácii a skladovaní CHLaZ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KBÚ musí byť umiestnená na každom pracovisku, kde sa používa a manipuluje s CHLaZ,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CHLaZ</w:t>
      </w:r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>relievať do neoriginálnych nádob určených najmä na potravinárske účely (napr. PET fľaše od nealkoholických nápojov), kde by mohlo dôjsť k zámene a nechcenému požitiu CHLaZ.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CHLaZ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CHLaZ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skladovať nebezpečné CHLaZ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CHLaZ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r w:rsidR="00A407B5">
        <w:rPr>
          <w:rFonts w:ascii="Arial" w:hAnsi="Arial" w:cs="Arial"/>
          <w:b/>
          <w:bCs/>
        </w:rPr>
        <w:t>CHLaZ</w:t>
      </w:r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Mutagenita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rozbrusovacie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Z.z.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77777777" w:rsidR="00D57EAF" w:rsidRPr="00F83964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lastRenderedPageBreak/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lastRenderedPageBreak/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F7162DA" w:rsidR="002F1F65" w:rsidRDefault="002F1F65">
      <w:pPr>
        <w:rPr>
          <w:rFonts w:ascii="Arial" w:hAnsi="Arial" w:cs="Arial"/>
        </w:rPr>
      </w:pPr>
    </w:p>
    <w:sectPr w:rsidR="002F1F65" w:rsidSect="000A6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B867" w14:textId="77777777" w:rsidR="000F2E1A" w:rsidRDefault="000F2E1A" w:rsidP="00056682">
      <w:pPr>
        <w:spacing w:after="0" w:line="240" w:lineRule="auto"/>
      </w:pPr>
      <w:r>
        <w:separator/>
      </w:r>
    </w:p>
  </w:endnote>
  <w:endnote w:type="continuationSeparator" w:id="0">
    <w:p w14:paraId="38703628" w14:textId="77777777" w:rsidR="000F2E1A" w:rsidRDefault="000F2E1A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53BD" w14:textId="77777777" w:rsidR="005B5C2F" w:rsidRDefault="005B5C2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5DF8" w14:textId="77777777" w:rsidR="005B5C2F" w:rsidRDefault="005B5C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6596" w14:textId="77777777" w:rsidR="000F2E1A" w:rsidRDefault="000F2E1A" w:rsidP="00056682">
      <w:pPr>
        <w:spacing w:after="0" w:line="240" w:lineRule="auto"/>
      </w:pPr>
      <w:r>
        <w:separator/>
      </w:r>
    </w:p>
  </w:footnote>
  <w:footnote w:type="continuationSeparator" w:id="0">
    <w:p w14:paraId="15E03A4F" w14:textId="77777777" w:rsidR="000F2E1A" w:rsidRDefault="000F2E1A" w:rsidP="000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8D5B" w14:textId="77777777" w:rsidR="005B5C2F" w:rsidRDefault="005B5C2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2BD" w14:textId="407FCE7B" w:rsidR="0039298D" w:rsidRPr="00B628EF" w:rsidRDefault="0039298D" w:rsidP="000A688F">
    <w:pPr>
      <w:pStyle w:val="Hlavika"/>
      <w:jc w:val="right"/>
      <w:rPr>
        <w:sz w:val="20"/>
        <w:szCs w:val="20"/>
      </w:rPr>
    </w:pPr>
    <w:r w:rsidRPr="00B628EF">
      <w:rPr>
        <w:sz w:val="20"/>
        <w:szCs w:val="20"/>
      </w:rPr>
      <w:t xml:space="preserve">Príloha č. 3 </w:t>
    </w:r>
    <w:r w:rsidR="00251F25" w:rsidRPr="00251F25">
      <w:rPr>
        <w:sz w:val="20"/>
        <w:szCs w:val="20"/>
      </w:rPr>
      <w:t>Rámcov</w:t>
    </w:r>
    <w:r w:rsidR="00251F25">
      <w:rPr>
        <w:sz w:val="20"/>
        <w:szCs w:val="20"/>
      </w:rPr>
      <w:t>ej</w:t>
    </w:r>
    <w:r w:rsidR="00251F25" w:rsidRPr="00251F25">
      <w:rPr>
        <w:sz w:val="20"/>
        <w:szCs w:val="20"/>
      </w:rPr>
      <w:t xml:space="preserve"> zmluv</w:t>
    </w:r>
    <w:r w:rsidR="00251F25">
      <w:rPr>
        <w:sz w:val="20"/>
        <w:szCs w:val="20"/>
      </w:rPr>
      <w:t>y</w:t>
    </w:r>
    <w:r w:rsidR="00251F25" w:rsidRPr="00251F25">
      <w:rPr>
        <w:sz w:val="20"/>
        <w:szCs w:val="20"/>
      </w:rPr>
      <w:t xml:space="preserve"> </w:t>
    </w:r>
    <w:r w:rsidR="005B5C2F">
      <w:rPr>
        <w:sz w:val="20"/>
        <w:szCs w:val="20"/>
      </w:rPr>
      <w:t>o dielo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E802" w14:textId="77777777" w:rsidR="005B5C2F" w:rsidRDefault="005B5C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440550">
    <w:abstractNumId w:val="0"/>
  </w:num>
  <w:num w:numId="2" w16cid:durableId="1445077172">
    <w:abstractNumId w:val="21"/>
  </w:num>
  <w:num w:numId="3" w16cid:durableId="240263366">
    <w:abstractNumId w:val="19"/>
  </w:num>
  <w:num w:numId="4" w16cid:durableId="1276909722">
    <w:abstractNumId w:val="1"/>
  </w:num>
  <w:num w:numId="5" w16cid:durableId="434984993">
    <w:abstractNumId w:val="20"/>
  </w:num>
  <w:num w:numId="6" w16cid:durableId="934434200">
    <w:abstractNumId w:val="14"/>
  </w:num>
  <w:num w:numId="7" w16cid:durableId="834030735">
    <w:abstractNumId w:val="13"/>
  </w:num>
  <w:num w:numId="8" w16cid:durableId="1736932214">
    <w:abstractNumId w:val="15"/>
  </w:num>
  <w:num w:numId="9" w16cid:durableId="910969935">
    <w:abstractNumId w:val="6"/>
  </w:num>
  <w:num w:numId="10" w16cid:durableId="1371301617">
    <w:abstractNumId w:val="16"/>
  </w:num>
  <w:num w:numId="11" w16cid:durableId="659120829">
    <w:abstractNumId w:val="10"/>
  </w:num>
  <w:num w:numId="12" w16cid:durableId="91172985">
    <w:abstractNumId w:val="2"/>
  </w:num>
  <w:num w:numId="13" w16cid:durableId="811481725">
    <w:abstractNumId w:val="11"/>
  </w:num>
  <w:num w:numId="14" w16cid:durableId="1477650836">
    <w:abstractNumId w:val="3"/>
  </w:num>
  <w:num w:numId="15" w16cid:durableId="522086347">
    <w:abstractNumId w:val="7"/>
  </w:num>
  <w:num w:numId="16" w16cid:durableId="1583562398">
    <w:abstractNumId w:val="4"/>
  </w:num>
  <w:num w:numId="17" w16cid:durableId="1648626704">
    <w:abstractNumId w:val="17"/>
  </w:num>
  <w:num w:numId="18" w16cid:durableId="1802503718">
    <w:abstractNumId w:val="9"/>
  </w:num>
  <w:num w:numId="19" w16cid:durableId="281805457">
    <w:abstractNumId w:val="5"/>
  </w:num>
  <w:num w:numId="20" w16cid:durableId="420878031">
    <w:abstractNumId w:val="12"/>
  </w:num>
  <w:num w:numId="21" w16cid:durableId="712580993">
    <w:abstractNumId w:val="18"/>
  </w:num>
  <w:num w:numId="22" w16cid:durableId="1777600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A688F"/>
    <w:rsid w:val="000B1268"/>
    <w:rsid w:val="000B462B"/>
    <w:rsid w:val="000B7667"/>
    <w:rsid w:val="000C2B79"/>
    <w:rsid w:val="000D3ADD"/>
    <w:rsid w:val="000E684D"/>
    <w:rsid w:val="000F04F5"/>
    <w:rsid w:val="000F13F7"/>
    <w:rsid w:val="000F2E1A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0774A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51F25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298D"/>
    <w:rsid w:val="00393FD9"/>
    <w:rsid w:val="003B3C00"/>
    <w:rsid w:val="003B57B5"/>
    <w:rsid w:val="003B7FA7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B5C2F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C4E26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54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7F4A"/>
    <w:rsid w:val="008C340B"/>
    <w:rsid w:val="008D1B33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36B84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5E49"/>
    <w:rsid w:val="009D7C3D"/>
    <w:rsid w:val="009E3956"/>
    <w:rsid w:val="00A004A6"/>
    <w:rsid w:val="00A021B3"/>
    <w:rsid w:val="00A0530C"/>
    <w:rsid w:val="00A05361"/>
    <w:rsid w:val="00A05D72"/>
    <w:rsid w:val="00A07787"/>
    <w:rsid w:val="00A100B5"/>
    <w:rsid w:val="00A106D9"/>
    <w:rsid w:val="00A12856"/>
    <w:rsid w:val="00A1374F"/>
    <w:rsid w:val="00A22261"/>
    <w:rsid w:val="00A256B7"/>
    <w:rsid w:val="00A355A3"/>
    <w:rsid w:val="00A36364"/>
    <w:rsid w:val="00A407B5"/>
    <w:rsid w:val="00A55401"/>
    <w:rsid w:val="00A568DE"/>
    <w:rsid w:val="00A577E9"/>
    <w:rsid w:val="00A604A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28E7"/>
    <w:rsid w:val="00B538F0"/>
    <w:rsid w:val="00B53FBD"/>
    <w:rsid w:val="00B57EFE"/>
    <w:rsid w:val="00B62097"/>
    <w:rsid w:val="00B628EF"/>
    <w:rsid w:val="00B66A56"/>
    <w:rsid w:val="00B67D67"/>
    <w:rsid w:val="00B77F3D"/>
    <w:rsid w:val="00B86FE3"/>
    <w:rsid w:val="00B93929"/>
    <w:rsid w:val="00B95F7A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205F"/>
    <w:rsid w:val="00C663E3"/>
    <w:rsid w:val="00C66D7F"/>
    <w:rsid w:val="00C73B5B"/>
    <w:rsid w:val="00C749DB"/>
    <w:rsid w:val="00C806AD"/>
    <w:rsid w:val="00C82869"/>
    <w:rsid w:val="00C82B22"/>
    <w:rsid w:val="00C84738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3928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270A"/>
    <w:rsid w:val="00E11014"/>
    <w:rsid w:val="00E12591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077D"/>
    <w:rsid w:val="00F13F79"/>
    <w:rsid w:val="00F142B0"/>
    <w:rsid w:val="00F23131"/>
    <w:rsid w:val="00F26340"/>
    <w:rsid w:val="00F269E0"/>
    <w:rsid w:val="00F311AC"/>
    <w:rsid w:val="00F37192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Lúčna Michaela</cp:lastModifiedBy>
  <cp:revision>5</cp:revision>
  <dcterms:created xsi:type="dcterms:W3CDTF">2022-03-15T13:31:00Z</dcterms:created>
  <dcterms:modified xsi:type="dcterms:W3CDTF">2022-09-13T09:10:00Z</dcterms:modified>
</cp:coreProperties>
</file>