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32124" w14:textId="77777777" w:rsidR="007B72E7" w:rsidRPr="00924349" w:rsidRDefault="007B72E7" w:rsidP="007B72E7">
      <w:pPr>
        <w:pStyle w:val="wazza01"/>
        <w:tabs>
          <w:tab w:val="right" w:leader="dot" w:pos="9639"/>
        </w:tabs>
        <w:jc w:val="center"/>
        <w:rPr>
          <w:rFonts w:eastAsia="Arial"/>
          <w:color w:val="auto"/>
          <w:sz w:val="28"/>
          <w:szCs w:val="28"/>
          <w:u w:val="single"/>
        </w:rPr>
      </w:pPr>
      <w:bookmarkStart w:id="0" w:name="_Toc503097640"/>
      <w:bookmarkStart w:id="1" w:name="_Toc23961854"/>
      <w:r w:rsidRPr="00924349">
        <w:rPr>
          <w:rFonts w:eastAsia="Arial"/>
          <w:color w:val="auto"/>
          <w:sz w:val="28"/>
          <w:szCs w:val="28"/>
          <w:u w:val="single"/>
        </w:rPr>
        <w:t>Opis predmetu zákazky</w:t>
      </w:r>
      <w:bookmarkEnd w:id="0"/>
      <w:bookmarkEnd w:id="1"/>
    </w:p>
    <w:p w14:paraId="5A4B1314" w14:textId="77777777" w:rsidR="007B72E7" w:rsidRPr="007B72E7" w:rsidRDefault="007B72E7" w:rsidP="00726444">
      <w:pPr>
        <w:pStyle w:val="wazza01"/>
        <w:tabs>
          <w:tab w:val="right" w:leader="dot" w:pos="9639"/>
        </w:tabs>
        <w:spacing w:before="0"/>
        <w:jc w:val="center"/>
        <w:rPr>
          <w:rFonts w:eastAsia="Arial"/>
          <w:color w:val="auto"/>
          <w:sz w:val="28"/>
          <w:szCs w:val="28"/>
        </w:rPr>
      </w:pPr>
    </w:p>
    <w:p w14:paraId="0D27DE87" w14:textId="0BCCDF3A" w:rsidR="005F05E9" w:rsidRPr="005F05E9" w:rsidRDefault="00B505FF" w:rsidP="005F05E9">
      <w:pPr>
        <w:jc w:val="both"/>
        <w:rPr>
          <w:rFonts w:ascii="Arial" w:hAnsi="Arial" w:cs="Arial"/>
          <w:bCs/>
          <w:sz w:val="20"/>
          <w:szCs w:val="20"/>
        </w:rPr>
      </w:pPr>
      <w:r w:rsidRPr="00B505FF">
        <w:rPr>
          <w:rFonts w:ascii="Arial" w:hAnsi="Arial" w:cs="Arial"/>
          <w:bCs/>
          <w:sz w:val="20"/>
          <w:szCs w:val="20"/>
        </w:rPr>
        <w:t xml:space="preserve">Predmetom </w:t>
      </w:r>
      <w:r w:rsidR="00B41400">
        <w:rPr>
          <w:rFonts w:ascii="Arial" w:hAnsi="Arial" w:cs="Arial"/>
          <w:bCs/>
          <w:sz w:val="20"/>
          <w:szCs w:val="20"/>
        </w:rPr>
        <w:t xml:space="preserve">zákazky </w:t>
      </w:r>
      <w:r w:rsidRPr="00B505FF">
        <w:rPr>
          <w:rFonts w:ascii="Arial" w:hAnsi="Arial" w:cs="Arial"/>
          <w:bCs/>
          <w:sz w:val="20"/>
          <w:szCs w:val="20"/>
        </w:rPr>
        <w:t>je poskytovanie služieb pre prevádzku a údržbu informačných systémov</w:t>
      </w:r>
      <w:r w:rsidR="00726444">
        <w:rPr>
          <w:rFonts w:ascii="Arial" w:hAnsi="Arial" w:cs="Arial"/>
          <w:bCs/>
          <w:sz w:val="20"/>
          <w:szCs w:val="20"/>
        </w:rPr>
        <w:t xml:space="preserve"> </w:t>
      </w:r>
      <w:r w:rsidR="005E777B">
        <w:rPr>
          <w:rFonts w:ascii="Arial" w:hAnsi="Arial" w:cs="Arial"/>
          <w:bCs/>
          <w:sz w:val="20"/>
          <w:szCs w:val="20"/>
        </w:rPr>
        <w:t>mesta a organizácií</w:t>
      </w:r>
      <w:r w:rsidR="005E777B" w:rsidRPr="005E777B">
        <w:rPr>
          <w:rFonts w:ascii="Arial" w:hAnsi="Arial" w:cs="Arial"/>
          <w:bCs/>
          <w:sz w:val="20"/>
          <w:szCs w:val="20"/>
        </w:rPr>
        <w:t xml:space="preserve"> v jeho zriaďovateľskej pôsobnosti</w:t>
      </w:r>
      <w:r w:rsidRPr="00B505FF">
        <w:rPr>
          <w:rFonts w:ascii="Arial" w:hAnsi="Arial" w:cs="Arial"/>
          <w:bCs/>
          <w:sz w:val="20"/>
          <w:szCs w:val="20"/>
        </w:rPr>
        <w:t xml:space="preserve"> </w:t>
      </w:r>
      <w:r w:rsidR="00031849">
        <w:rPr>
          <w:rFonts w:ascii="Arial" w:hAnsi="Arial" w:cs="Arial"/>
          <w:bCs/>
          <w:sz w:val="20"/>
          <w:szCs w:val="20"/>
        </w:rPr>
        <w:t>od roku 2023</w:t>
      </w:r>
      <w:r w:rsidRPr="00B505FF">
        <w:rPr>
          <w:rFonts w:ascii="Arial" w:hAnsi="Arial" w:cs="Arial"/>
          <w:bCs/>
          <w:sz w:val="20"/>
          <w:szCs w:val="20"/>
        </w:rPr>
        <w:t xml:space="preserve">, </w:t>
      </w:r>
      <w:r w:rsidR="005F05E9" w:rsidRPr="005F05E9">
        <w:rPr>
          <w:rFonts w:ascii="Arial" w:hAnsi="Arial" w:cs="Arial"/>
          <w:bCs/>
          <w:sz w:val="20"/>
          <w:szCs w:val="20"/>
        </w:rPr>
        <w:t xml:space="preserve">informačného systému samosprávy (ďalej „CG ISS“), dokumentačného informačného systému  (ďalej len „CG DISS), geografického informačného systému (ďalej len „CG GISAM“), riešenia pre podporu </w:t>
      </w:r>
      <w:proofErr w:type="spellStart"/>
      <w:r w:rsidR="005F05E9" w:rsidRPr="005F05E9">
        <w:rPr>
          <w:rFonts w:ascii="Arial" w:hAnsi="Arial" w:cs="Arial"/>
          <w:bCs/>
          <w:sz w:val="20"/>
          <w:szCs w:val="20"/>
        </w:rPr>
        <w:t>eGovernmentu</w:t>
      </w:r>
      <w:proofErr w:type="spellEnd"/>
      <w:r w:rsidR="005F05E9" w:rsidRPr="005F05E9">
        <w:rPr>
          <w:rFonts w:ascii="Arial" w:hAnsi="Arial" w:cs="Arial"/>
          <w:bCs/>
          <w:sz w:val="20"/>
          <w:szCs w:val="20"/>
        </w:rPr>
        <w:t xml:space="preserve"> (ďalej len „CG </w:t>
      </w:r>
      <w:proofErr w:type="spellStart"/>
      <w:r w:rsidR="005F05E9" w:rsidRPr="005F05E9">
        <w:rPr>
          <w:rFonts w:ascii="Arial" w:hAnsi="Arial" w:cs="Arial"/>
          <w:bCs/>
          <w:sz w:val="20"/>
          <w:szCs w:val="20"/>
        </w:rPr>
        <w:t>eGOV</w:t>
      </w:r>
      <w:proofErr w:type="spellEnd"/>
      <w:r w:rsidR="005F05E9" w:rsidRPr="005F05E9">
        <w:rPr>
          <w:rFonts w:ascii="Arial" w:hAnsi="Arial" w:cs="Arial"/>
          <w:bCs/>
          <w:sz w:val="20"/>
          <w:szCs w:val="20"/>
        </w:rPr>
        <w:t xml:space="preserve">, CG </w:t>
      </w:r>
      <w:proofErr w:type="spellStart"/>
      <w:r w:rsidR="005F05E9" w:rsidRPr="005F05E9">
        <w:rPr>
          <w:rFonts w:ascii="Arial" w:hAnsi="Arial" w:cs="Arial"/>
          <w:bCs/>
          <w:sz w:val="20"/>
          <w:szCs w:val="20"/>
        </w:rPr>
        <w:t>DataMesta</w:t>
      </w:r>
      <w:proofErr w:type="spellEnd"/>
      <w:r w:rsidR="005F05E9" w:rsidRPr="005F05E9">
        <w:rPr>
          <w:rFonts w:ascii="Arial" w:hAnsi="Arial" w:cs="Arial"/>
          <w:bCs/>
          <w:sz w:val="20"/>
          <w:szCs w:val="20"/>
        </w:rPr>
        <w:t xml:space="preserve">“) spolu s integračným rozhraním v zmysle Dohody o integračnom zámere Mesta </w:t>
      </w:r>
      <w:r w:rsidR="005F05E9">
        <w:rPr>
          <w:rFonts w:ascii="Arial" w:hAnsi="Arial" w:cs="Arial"/>
          <w:bCs/>
          <w:sz w:val="20"/>
          <w:szCs w:val="20"/>
        </w:rPr>
        <w:t>Nitra</w:t>
      </w:r>
      <w:r w:rsidR="005F05E9" w:rsidRPr="005F05E9">
        <w:rPr>
          <w:rFonts w:ascii="Arial" w:hAnsi="Arial" w:cs="Arial"/>
          <w:bCs/>
          <w:sz w:val="20"/>
          <w:szCs w:val="20"/>
        </w:rPr>
        <w:t xml:space="preserve"> a NASES, a súvisiacich aktivít s cieľom zabezpečiť plnohodnotné využívanie dodaných produktov počas trvania zmluvy v nasledovnom členení:</w:t>
      </w:r>
    </w:p>
    <w:p w14:paraId="4D90A8F9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Údržba licencií dodaného licenčného softvéru</w:t>
      </w:r>
    </w:p>
    <w:p w14:paraId="41AF40AF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Update – údržba licencií dodaného aplikačného softvéru</w:t>
      </w:r>
    </w:p>
    <w:p w14:paraId="7B514673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Upgrade – Technické zhodnotenie dodaného aplikačného softvéru</w:t>
      </w:r>
    </w:p>
    <w:p w14:paraId="7808918D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 xml:space="preserve">Hot – </w:t>
      </w:r>
      <w:proofErr w:type="spellStart"/>
      <w:r w:rsidRPr="005F05E9">
        <w:rPr>
          <w:rFonts w:ascii="Arial" w:hAnsi="Arial" w:cs="Arial"/>
          <w:bCs/>
          <w:sz w:val="20"/>
          <w:szCs w:val="20"/>
        </w:rPr>
        <w:t>line</w:t>
      </w:r>
      <w:proofErr w:type="spellEnd"/>
      <w:r w:rsidRPr="005F05E9">
        <w:rPr>
          <w:rFonts w:ascii="Arial" w:hAnsi="Arial" w:cs="Arial"/>
          <w:bCs/>
          <w:sz w:val="20"/>
          <w:szCs w:val="20"/>
        </w:rPr>
        <w:t xml:space="preserve"> podpora</w:t>
      </w:r>
    </w:p>
    <w:p w14:paraId="7BC4BE16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Riadenie projektu</w:t>
      </w:r>
    </w:p>
    <w:p w14:paraId="45BD598A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Technická podpora</w:t>
      </w:r>
    </w:p>
    <w:p w14:paraId="0C20CD3E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Metodická podpora</w:t>
      </w:r>
    </w:p>
    <w:p w14:paraId="616E6949" w14:textId="77777777" w:rsid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 xml:space="preserve">Školenia/metodické dni </w:t>
      </w:r>
    </w:p>
    <w:p w14:paraId="63CA0456" w14:textId="77777777" w:rsidR="005F05E9" w:rsidRPr="005F05E9" w:rsidRDefault="005F05E9" w:rsidP="005F05E9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5F05E9">
        <w:rPr>
          <w:rFonts w:ascii="Arial" w:hAnsi="Arial" w:cs="Arial"/>
          <w:bCs/>
          <w:sz w:val="20"/>
          <w:szCs w:val="20"/>
        </w:rPr>
        <w:t>Bezpečnostná politika</w:t>
      </w:r>
    </w:p>
    <w:p w14:paraId="581549E2" w14:textId="77777777" w:rsidR="005F05E9" w:rsidRDefault="005F05E9" w:rsidP="00726444">
      <w:pPr>
        <w:jc w:val="both"/>
        <w:rPr>
          <w:rFonts w:ascii="Arial" w:hAnsi="Arial" w:cs="Arial"/>
          <w:bCs/>
          <w:sz w:val="20"/>
          <w:szCs w:val="20"/>
        </w:rPr>
      </w:pPr>
    </w:p>
    <w:p w14:paraId="43C0397E" w14:textId="77777777" w:rsidR="00B505FF" w:rsidRPr="00B505FF" w:rsidRDefault="00B505FF" w:rsidP="00B505FF">
      <w:pPr>
        <w:rPr>
          <w:rFonts w:ascii="Arial" w:hAnsi="Arial" w:cs="Arial"/>
          <w:bCs/>
          <w:sz w:val="20"/>
          <w:szCs w:val="20"/>
        </w:rPr>
      </w:pPr>
      <w:r w:rsidRPr="00B505FF">
        <w:rPr>
          <w:rFonts w:ascii="Arial" w:hAnsi="Arial" w:cs="Arial"/>
          <w:bCs/>
          <w:sz w:val="20"/>
          <w:szCs w:val="20"/>
        </w:rPr>
        <w:t>Na určenie rozsahu služieb sa v rámci tejto zmluvy používajú nasledovné skratky:</w:t>
      </w:r>
    </w:p>
    <w:p w14:paraId="406A812C" w14:textId="77777777" w:rsidR="00B505FF" w:rsidRPr="00B505FF" w:rsidRDefault="00B505FF" w:rsidP="00B505FF">
      <w:pPr>
        <w:rPr>
          <w:rFonts w:ascii="Arial" w:hAnsi="Arial" w:cs="Arial"/>
          <w:bCs/>
          <w:sz w:val="20"/>
          <w:szCs w:val="20"/>
        </w:rPr>
      </w:pPr>
      <w:r w:rsidRPr="00B505FF">
        <w:rPr>
          <w:rFonts w:ascii="Arial" w:hAnsi="Arial" w:cs="Arial"/>
          <w:bCs/>
          <w:sz w:val="20"/>
          <w:szCs w:val="20"/>
        </w:rPr>
        <w:tab/>
        <w:t>1 ČH – človekohodina = 60 min</w:t>
      </w:r>
    </w:p>
    <w:p w14:paraId="50EA4C20" w14:textId="77777777" w:rsidR="00B505FF" w:rsidRPr="00B505FF" w:rsidRDefault="00B505FF" w:rsidP="00B505FF">
      <w:pPr>
        <w:rPr>
          <w:rFonts w:ascii="Arial" w:hAnsi="Arial" w:cs="Arial"/>
          <w:bCs/>
          <w:sz w:val="20"/>
          <w:szCs w:val="20"/>
        </w:rPr>
      </w:pPr>
      <w:r w:rsidRPr="00B505FF">
        <w:rPr>
          <w:rFonts w:ascii="Arial" w:hAnsi="Arial" w:cs="Arial"/>
          <w:bCs/>
          <w:sz w:val="20"/>
          <w:szCs w:val="20"/>
        </w:rPr>
        <w:tab/>
        <w:t>1 ČD – človekodeň = 8 ČH</w:t>
      </w:r>
    </w:p>
    <w:p w14:paraId="47774AFB" w14:textId="77777777" w:rsidR="007B72E7" w:rsidRPr="007B72E7" w:rsidRDefault="00B505FF" w:rsidP="00B505FF">
      <w:pPr>
        <w:rPr>
          <w:rFonts w:ascii="Arial" w:hAnsi="Arial" w:cs="Arial"/>
          <w:sz w:val="20"/>
          <w:szCs w:val="20"/>
        </w:rPr>
      </w:pPr>
      <w:r w:rsidRPr="00B505FF">
        <w:rPr>
          <w:rFonts w:ascii="Arial" w:hAnsi="Arial" w:cs="Arial"/>
          <w:bCs/>
          <w:sz w:val="20"/>
          <w:szCs w:val="20"/>
        </w:rPr>
        <w:t xml:space="preserve">(ďalej v texte len „podpora“).  </w:t>
      </w:r>
    </w:p>
    <w:p w14:paraId="4684537A" w14:textId="77777777" w:rsidR="007B72E7" w:rsidRPr="007B72E7" w:rsidRDefault="007B72E7" w:rsidP="007B72E7">
      <w:pPr>
        <w:pStyle w:val="Nadpis2"/>
        <w:keepNext w:val="0"/>
        <w:numPr>
          <w:ilvl w:val="1"/>
          <w:numId w:val="0"/>
        </w:numPr>
        <w:spacing w:before="120" w:line="240" w:lineRule="auto"/>
        <w:jc w:val="both"/>
        <w:rPr>
          <w:rFonts w:cs="Arial"/>
          <w:b w:val="0"/>
          <w:smallCaps w:val="0"/>
          <w:szCs w:val="20"/>
        </w:rPr>
      </w:pPr>
      <w:r w:rsidRPr="007B72E7">
        <w:rPr>
          <w:rFonts w:cs="Arial"/>
          <w:b w:val="0"/>
          <w:smallCaps w:val="0"/>
          <w:szCs w:val="20"/>
        </w:rPr>
        <w:t>Ročná podpora pozostáva z nižšie uvedených činností:</w:t>
      </w:r>
    </w:p>
    <w:p w14:paraId="5D83566C" w14:textId="77777777" w:rsidR="00726444" w:rsidRDefault="00726444" w:rsidP="007B72E7">
      <w:pPr>
        <w:rPr>
          <w:rStyle w:val="Odstavec-zvraznen"/>
          <w:rFonts w:ascii="Arial" w:hAnsi="Arial" w:cs="Arial"/>
          <w:sz w:val="20"/>
          <w:szCs w:val="20"/>
        </w:rPr>
      </w:pPr>
    </w:p>
    <w:p w14:paraId="129744AE" w14:textId="77777777" w:rsidR="005F05E9" w:rsidRDefault="005F05E9" w:rsidP="007B72E7">
      <w:pPr>
        <w:rPr>
          <w:rStyle w:val="Odstavec-zvraznen"/>
          <w:rFonts w:ascii="Arial" w:hAnsi="Arial" w:cs="Arial"/>
          <w:sz w:val="20"/>
          <w:szCs w:val="20"/>
        </w:rPr>
      </w:pPr>
    </w:p>
    <w:p w14:paraId="503279B6" w14:textId="77777777" w:rsidR="007B72E7" w:rsidRPr="007B72E7" w:rsidRDefault="005F05E9" w:rsidP="007B72E7">
      <w:pPr>
        <w:rPr>
          <w:rStyle w:val="Odstavec-zvraznen"/>
          <w:rFonts w:ascii="Arial" w:hAnsi="Arial" w:cs="Arial"/>
          <w:sz w:val="20"/>
          <w:szCs w:val="20"/>
        </w:rPr>
      </w:pPr>
      <w:r>
        <w:rPr>
          <w:rStyle w:val="Odstavec-zvraznen"/>
          <w:rFonts w:ascii="Arial" w:hAnsi="Arial" w:cs="Arial"/>
          <w:sz w:val="20"/>
          <w:szCs w:val="20"/>
        </w:rPr>
        <w:t>Č</w:t>
      </w:r>
      <w:r w:rsidR="007B72E7" w:rsidRPr="007B72E7">
        <w:rPr>
          <w:rStyle w:val="Odstavec-zvraznen"/>
          <w:rFonts w:ascii="Arial" w:hAnsi="Arial" w:cs="Arial"/>
          <w:sz w:val="20"/>
          <w:szCs w:val="20"/>
        </w:rPr>
        <w:t>asť 1. - Údržba licencií dodaného licenčného softvéru</w:t>
      </w:r>
    </w:p>
    <w:p w14:paraId="3B74254B" w14:textId="08E447D0" w:rsidR="007B72E7" w:rsidRDefault="007B72E7" w:rsidP="007B72E7">
      <w:pPr>
        <w:pStyle w:val="Odstavec"/>
        <w:rPr>
          <w:rFonts w:ascii="Arial" w:hAnsi="Arial"/>
          <w:sz w:val="20"/>
          <w:szCs w:val="20"/>
          <w:lang w:val="sk-SK"/>
        </w:rPr>
      </w:pPr>
      <w:r w:rsidRPr="007B72E7">
        <w:rPr>
          <w:rFonts w:ascii="Arial" w:hAnsi="Arial"/>
          <w:sz w:val="20"/>
          <w:szCs w:val="20"/>
          <w:lang w:val="sk-SK"/>
        </w:rPr>
        <w:t>Aktualizácia verzií licenčného softvéru ORACLE v termínoch vydania a podľa pravidiel autorskej spoločnosti.</w:t>
      </w:r>
    </w:p>
    <w:p w14:paraId="38A3AD43" w14:textId="7A3AADBE" w:rsidR="00D13B27" w:rsidRPr="00D13B27" w:rsidRDefault="00D13B27" w:rsidP="007B72E7">
      <w:pPr>
        <w:pStyle w:val="Odstavec"/>
        <w:rPr>
          <w:rFonts w:ascii="Arial" w:hAnsi="Arial"/>
          <w:sz w:val="20"/>
          <w:szCs w:val="20"/>
          <w:lang w:val="sk-SK"/>
        </w:rPr>
      </w:pPr>
      <w:r w:rsidRPr="00D13B27">
        <w:rPr>
          <w:rFonts w:ascii="Arial" w:hAnsi="Arial"/>
          <w:sz w:val="20"/>
          <w:szCs w:val="20"/>
          <w:lang w:val="sk-SK"/>
        </w:rPr>
        <w:t>Ročný licenčný poplatok za využívanie eFormCREATOR</w:t>
      </w:r>
      <w:bookmarkStart w:id="2" w:name="_GoBack"/>
      <w:bookmarkEnd w:id="2"/>
    </w:p>
    <w:p w14:paraId="71C7707B" w14:textId="77777777" w:rsid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</w:p>
    <w:p w14:paraId="0B330E68" w14:textId="77777777" w:rsidR="007B72E7" w:rsidRP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  <w:r w:rsidRPr="007B72E7">
        <w:rPr>
          <w:rStyle w:val="Odstavec-zvraznen"/>
          <w:rFonts w:ascii="Arial" w:hAnsi="Arial" w:cs="Arial"/>
          <w:sz w:val="20"/>
          <w:szCs w:val="20"/>
        </w:rPr>
        <w:t>Časť 2. - UPDATE – Údržba licencií dodaného aplikačného softvéru</w:t>
      </w:r>
    </w:p>
    <w:p w14:paraId="40BC58AA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Priebežné vykonávanie zmien vyplývajúcich zo všeobecne platnej legislatívy, ktoré priamo súvisí s funkciami príslušného modulu aplikačného softvéru</w:t>
      </w:r>
    </w:p>
    <w:p w14:paraId="14A24408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Zaisťovanie kompatibility aplikačného softvéru s novými verziami operačného systému</w:t>
      </w:r>
    </w:p>
    <w:p w14:paraId="3018AB51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Zaisťovanie kompatibility integračného rozhrania voči Ústrednému portálu verejnej správy a centrálnym registrom FO,PO a adries</w:t>
      </w:r>
    </w:p>
    <w:p w14:paraId="3D71160C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Oprava chýb aplikačného softvéru vo forme kumulatívnych zmien a nových verzií</w:t>
      </w:r>
    </w:p>
    <w:p w14:paraId="3667991C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Kontrola implementácie nových verzií a opráv</w:t>
      </w:r>
    </w:p>
    <w:p w14:paraId="3F699D57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Poplatok za používanie licencií v súlade s Autorským zákonom.</w:t>
      </w:r>
    </w:p>
    <w:p w14:paraId="51C5E819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Zapracovanie opisu zmien na dokumentácie k aplikačnému softvéru.</w:t>
      </w:r>
    </w:p>
    <w:p w14:paraId="3065EA97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Zoznam  modulov aplikačného softvéru a počet licencií, ktorých sa týka UPDATE:</w:t>
      </w:r>
    </w:p>
    <w:p w14:paraId="50E55EB9" w14:textId="77777777" w:rsidR="007B72E7" w:rsidRPr="007B72E7" w:rsidRDefault="007B72E7" w:rsidP="007B72E7">
      <w:pPr>
        <w:pStyle w:val="Normlnysozarkami"/>
        <w:ind w:left="1134" w:hanging="357"/>
        <w:rPr>
          <w:rFonts w:cs="Arial"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6338"/>
        <w:gridCol w:w="835"/>
        <w:gridCol w:w="936"/>
      </w:tblGrid>
      <w:tr w:rsidR="005E777B" w:rsidRPr="005E777B" w14:paraId="1C969338" w14:textId="77777777" w:rsidTr="005E777B">
        <w:trPr>
          <w:trHeight w:val="255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6FBE1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</w:pPr>
            <w:proofErr w:type="spellStart"/>
            <w:r w:rsidRPr="005E777B"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  <w:t>Podsystem</w:t>
            </w:r>
            <w:proofErr w:type="spellEnd"/>
          </w:p>
        </w:tc>
        <w:tc>
          <w:tcPr>
            <w:tcW w:w="3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BDB6A5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  <w:t xml:space="preserve">Predmet /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  <w:t>Nazov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8C69F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  <w:t>Rozsah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CA366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color w:val="FFFFFF"/>
                <w:sz w:val="18"/>
                <w:szCs w:val="20"/>
              </w:rPr>
              <w:t>Jednotka</w:t>
            </w:r>
          </w:p>
        </w:tc>
      </w:tr>
      <w:tr w:rsidR="005E777B" w:rsidRPr="005E777B" w14:paraId="67955363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7D8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24C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Dokumenty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13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696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51C68F5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E03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9E3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Domy a byty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68D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72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499BEAFB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7E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F5D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Kataster nehnuteľností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7A9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C6A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279976D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1D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94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Kataster nehnuteľností - archív importov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4B3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F51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63087FF8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5AD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A9F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Obyvatelia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797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7D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5FABF00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08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5FF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Podnikatelia a prevádzky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38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03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2547C3B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F84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195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Správa údajov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962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CED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71A065E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A0A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E98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Súpisné a orientačné čísla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BA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48A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581C461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EB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9A8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Voľby (VO1 - VO4)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651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4F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5FBBFED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83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858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Správa CG ISS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093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C6E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5087937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CE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BAD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Rozšírené vyhľadávanie a zoradenie v rámci systému CG ISS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6A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EF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054FDD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3B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63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Šablóny CG ISS - základná technológia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587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38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401D8C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E0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DD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Šablóny CG ISS - vytvorenie kurzora pre 1 modul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19B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4F7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BF052B8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0B3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F4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Porovnanie MM,DN a KN  dát v CG ISS s dátami katastra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8C3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B7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4A8E9C2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1B2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B8B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Import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vgi</w:t>
            </w:r>
            <w:proofErr w:type="spellEnd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oracle</w:t>
            </w:r>
            <w:proofErr w:type="spell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E16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A9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0275CDA7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2E5A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16A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C3F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60A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547C4998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3C5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BI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743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BI základný komponent (vrátane 5 pohľadov demografia, zmluvy, banka, faktúry, objednávky)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FD7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24A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3CBA3C3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37E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005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BI Registratúra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F3A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22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2A6EB2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689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947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BI Rozpočet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B15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FFB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9DECF2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E37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A1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BI Dane a poplatky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C3C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0F4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0767F74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C1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66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BI Lustrácia osoby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3F7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E9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C576CB5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FD4A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D6F3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4A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C62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045633A9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5D1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CG GISAM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B5E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Demografia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955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F63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A7D4DD0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9D2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DB4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Názvoslovie a orientácia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F5D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E20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F4424EA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1D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C12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Správa CG GISAM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DB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14F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545F8A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E3C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EB3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Kataster nehnuteľností (CG GISAM)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7B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4A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5333452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6A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43A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Majetok mesta (CG GISAM)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32F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15E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02D5B2B6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095D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1BF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8AD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A8E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6CC4686B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F3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DISS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5BD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DISS - WFM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6B4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354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5C7CA8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B98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004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DISS - Riadenie podaní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B9F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333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DCACB78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3E5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58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Zverejňovanie na CUET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D74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9C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6278A50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52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5F7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Integračný modul na IAM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CD3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C28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C2742E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EDA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5AF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Zaručená konverzia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9A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91B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1C76F5E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2E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6FA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Listinný rovnopis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EE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02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4BB0DD31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537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FC8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Integračný modul na eDESK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99A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27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151776CE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7B1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F67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Registratúra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66F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A20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41F8619B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04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C330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66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85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54C3A0C8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5A2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EKON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0F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Automatické párovanie úhrad (DN, PO, EF)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4B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96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0935210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FA5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963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Banka a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Homebanking</w:t>
            </w:r>
            <w:proofErr w:type="spell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242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F53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60AC68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9F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8E3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BAR CODE (Čiarový kód) - čítanie v module EP Pokladňa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72A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F3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11EF6E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2DA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BFE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Dávkové doplnenie zdrojov financovania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D9E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DC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282E05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D3D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888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Dotácie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B0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D33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3C33E032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FE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546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Exekúcie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BB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F9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719B791A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C03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01D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Fakturácia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42A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1E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38E6A1D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E0A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D9B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Miestne dane - Daň z nehnuteľností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E6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8AD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E8998C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58C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691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Miestne dane a poplatok za KO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63F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AAB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038C48A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0A1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1C7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Objednávky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7C2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171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134F80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A23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3D9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Platobné poukazy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C6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90E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777D2C3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5A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054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Platobný výmer - tlač na poštovú poukážku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4BC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37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1C76941A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6D1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B71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Pokladňa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A4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3F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5985E24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5AA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F4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Pokladňa - bezhotovostné úhrady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557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061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F4E9C5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746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368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Poštové poukážky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C6F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C58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870E33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6B1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B8F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Rozpočet a prístupové práva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7A2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A4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3CD8584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6A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254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Sklad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45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91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3822A57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95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20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Správne poplatky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CB6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BD2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6A656B8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46C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E5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Účtovníctvo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775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FA4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62B716C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53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91E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Zmluvy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08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0B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5D2639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98E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89C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Daň z nehnuteľnosti – tlač čiarových kódov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8B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0FA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789EE1EE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520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A20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Miestne poplatky – tlač čiarových kódov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43E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FE4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24473F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616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15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Stravné lístky - evidencia, generovanie a odber (EP, PM)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946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1C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4AC4663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BC0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245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Majetok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69A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16C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7BD80F22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613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7AA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ORG_Ekonomika</w:t>
            </w:r>
            <w:proofErr w:type="spellEnd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-ISS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46A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E0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ORG MULTI</w:t>
            </w:r>
          </w:p>
        </w:tc>
      </w:tr>
      <w:tr w:rsidR="005E777B" w:rsidRPr="005E777B" w14:paraId="16520625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9D5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7B3C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71E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0B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40C29854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6C9E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EVID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DC9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Mestská polícia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611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FD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2E0A6D7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993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D6D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Odpady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5D6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46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A12391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DA2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C9E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Stavebné činnosti (SC1, SC2, SC3)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9F6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A7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7C83780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7DE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8F6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Školstvo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B6B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E5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13E4D99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E43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B7A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Verejné obstarávanie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02F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AD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4FC8803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CA5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978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WS 3 - integrácia s REGOB - lustrácia vozidiel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444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12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52FF305C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3F5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5DB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Hrobové miesta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49E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33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30D3D8C2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11E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055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Priestupky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B17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04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5BF723D5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49B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70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Priestupky - rozšírená evidencia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464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13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640DB7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883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2D5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eDemokracia</w:t>
            </w:r>
            <w:proofErr w:type="spell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9B5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892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6A12DF7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E5F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24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Mestská polícia -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MaMP</w:t>
            </w:r>
            <w:proofErr w:type="spell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239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38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A37940" w:rsidRPr="005E777B" w14:paraId="36606E4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49B1" w14:textId="77777777" w:rsidR="00A37940" w:rsidRPr="005E777B" w:rsidRDefault="00A37940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F025E" w14:textId="77777777" w:rsidR="00A37940" w:rsidRPr="005E777B" w:rsidRDefault="00A37940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B41400">
              <w:rPr>
                <w:rFonts w:ascii="Arial CE" w:hAnsi="Arial CE" w:cs="Arial CE"/>
                <w:b/>
                <w:bCs/>
                <w:sz w:val="20"/>
                <w:szCs w:val="20"/>
              </w:rPr>
              <w:t>Parkovacie karty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7563" w14:textId="77777777" w:rsidR="00A37940" w:rsidRPr="005E777B" w:rsidRDefault="00A37940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3B5F" w14:textId="77777777" w:rsidR="00A37940" w:rsidRPr="005E777B" w:rsidRDefault="00A37940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78C90237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4733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C3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7E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58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7176382B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DE5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ISS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418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WS 1 - integrácia s REGOB - zmenová dávka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283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A5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2DBB72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088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056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WS 2 - integrácia s REGOB - informácie o osobe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5FF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959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03783DB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041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FE0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Návrh na začatie EX z daňovej agendy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52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DE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18F631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64F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91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Integrácia na RFO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C8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51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401678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D14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6B6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Integrácia na RPO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7F5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77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8C6819E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0A6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9D8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Integrácia na RA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3AC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0D1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1F58C9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83E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332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Integrácia na KN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4184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5E9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FAC5BB6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1AE6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E38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ORG_Správa</w:t>
            </w:r>
            <w:proofErr w:type="spell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F3E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B4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ORG MULTI</w:t>
            </w:r>
          </w:p>
        </w:tc>
      </w:tr>
      <w:tr w:rsidR="005E777B" w:rsidRPr="005E777B" w14:paraId="5B25D431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2033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F82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CFC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D8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54DB905F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439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KANC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4E3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Mestské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zastupitelstvo</w:t>
            </w:r>
            <w:proofErr w:type="spell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E4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D8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EBEFBFF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6A2D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5C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73F6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5B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2CC5299B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22B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PaM</w:t>
            </w:r>
            <w:proofErr w:type="spellEnd"/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2EA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ISCP - Štvrťročný výkaz o cene práce ISCP 1-04 (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Trexima</w:t>
            </w:r>
            <w:proofErr w:type="spellEnd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9FA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B1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15770CB1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F4E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1FD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Cestovné príkazy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5F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EDC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9AFE514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9F85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7426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D6E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5AE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41B177B5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5D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SV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A6D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Sociálne veci - kuratela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D74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A9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4BFC4C4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3E5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2C1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Sociálne veci - osobitný príjemca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D60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CE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33BA18B3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3F8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3F2B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Sociálne veci - prípady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35E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9B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5DD467A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7F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009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Sociálne veci - žiadosti o byty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7FF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11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MULTI</w:t>
            </w:r>
          </w:p>
        </w:tc>
      </w:tr>
      <w:tr w:rsidR="005E777B" w:rsidRPr="005E777B" w14:paraId="059A034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AA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75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ORG_SV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C6D8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ED0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ORG MULTI</w:t>
            </w:r>
          </w:p>
        </w:tc>
      </w:tr>
      <w:tr w:rsidR="005E777B" w:rsidRPr="005E777B" w14:paraId="75E77277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96D7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5EDD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3D4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91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0B382E31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43A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WEB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FD5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Kancelária prvého kontaktu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7C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60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54A18DD3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B85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81D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Manažérsky modul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7FA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1D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68D629AD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CDB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AFB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Rezervácia stránok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DF95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F8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4AFC949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EA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B43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Úlohy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751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449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095D588F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8474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2BF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CG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eGOVernment</w:t>
            </w:r>
            <w:proofErr w:type="spellEnd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- Všeobecná zóna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8D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1D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6E12012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9B0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976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CG </w:t>
            </w: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eGOVernment</w:t>
            </w:r>
            <w:proofErr w:type="spellEnd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- Privátna zóna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1F6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83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3AA87B5E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27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C3A8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CG Portál ISS (Ročná podpora)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E3DD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7B5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45B12B40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8E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C0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FormFiller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A97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DFE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01C228A1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602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9CF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spellStart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eGOVernment</w:t>
            </w:r>
            <w:proofErr w:type="spellEnd"/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UET,CUET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D74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411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2036F967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63E9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96B3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DMS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0C3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D37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56820A69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9B1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984D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CG WebGIS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A0C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3A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A37940" w:rsidRPr="005E777B" w14:paraId="5CAD543A" w14:textId="77777777" w:rsidTr="005E777B">
        <w:trPr>
          <w:trHeight w:val="255"/>
        </w:trPr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64D43" w14:textId="77777777" w:rsidR="00A37940" w:rsidRPr="005E777B" w:rsidRDefault="00A37940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EEB7E" w14:textId="77777777" w:rsidR="00A37940" w:rsidRPr="005E777B" w:rsidRDefault="00A37940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Parkovanie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06AE" w14:textId="77777777" w:rsidR="00A37940" w:rsidRPr="005E777B" w:rsidRDefault="00A37940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2D1B" w14:textId="77777777" w:rsidR="00A37940" w:rsidRPr="005E777B" w:rsidRDefault="00A37940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  <w:tr w:rsidR="005E777B" w:rsidRPr="005E777B" w14:paraId="19FA3542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12CF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4B98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C922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E43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394C24E3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411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MZDY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C27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ORG_PM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90A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89F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ORG MULTI</w:t>
            </w:r>
          </w:p>
        </w:tc>
      </w:tr>
      <w:tr w:rsidR="005E777B" w:rsidRPr="005E777B" w14:paraId="42D25D7D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C3C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967B" w14:textId="77777777" w:rsidR="005E777B" w:rsidRPr="005E777B" w:rsidRDefault="005E777B" w:rsidP="005E777B">
            <w:pPr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0FA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86B3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E777B" w:rsidRPr="005E777B" w14:paraId="3BB44241" w14:textId="77777777" w:rsidTr="005E777B">
        <w:trPr>
          <w:trHeight w:val="255"/>
        </w:trPr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963CC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Elektronizácia</w:t>
            </w:r>
          </w:p>
        </w:tc>
        <w:tc>
          <w:tcPr>
            <w:tcW w:w="3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455A" w14:textId="77777777" w:rsidR="005E777B" w:rsidRPr="005E777B" w:rsidRDefault="005E777B" w:rsidP="005E777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b/>
                <w:bCs/>
                <w:sz w:val="20"/>
                <w:szCs w:val="20"/>
              </w:rPr>
              <w:t>Integračné rozhranie COMM ISS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F6909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41DB" w14:textId="77777777" w:rsidR="005E777B" w:rsidRPr="005E777B" w:rsidRDefault="005E777B" w:rsidP="005E777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5E777B">
              <w:rPr>
                <w:rFonts w:ascii="Arial CE" w:hAnsi="Arial CE" w:cs="Arial CE"/>
                <w:sz w:val="20"/>
                <w:szCs w:val="20"/>
              </w:rPr>
              <w:t>APP</w:t>
            </w:r>
          </w:p>
        </w:tc>
      </w:tr>
    </w:tbl>
    <w:p w14:paraId="0D5E8D56" w14:textId="77777777" w:rsidR="007B72E7" w:rsidRPr="007B72E7" w:rsidRDefault="007B72E7" w:rsidP="007B72E7">
      <w:pPr>
        <w:pStyle w:val="Normlnysozarkami"/>
        <w:ind w:left="1134" w:hanging="357"/>
        <w:rPr>
          <w:rFonts w:cs="Arial"/>
          <w:sz w:val="20"/>
        </w:rPr>
      </w:pPr>
    </w:p>
    <w:p w14:paraId="7F60C7EC" w14:textId="77777777" w:rsidR="00B505FF" w:rsidRPr="00B505FF" w:rsidRDefault="00B505FF" w:rsidP="00B505FF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505FF">
        <w:rPr>
          <w:rFonts w:ascii="Arial" w:hAnsi="Arial" w:cs="Arial"/>
          <w:sz w:val="20"/>
          <w:szCs w:val="20"/>
          <w:lang w:eastAsia="en-US"/>
        </w:rPr>
        <w:t>Pozn.: NU: „named user“ (pomenovaný používateľ), ANU – znamená licencia pre pomenovaného správcu</w:t>
      </w:r>
      <w:r w:rsidR="00726444">
        <w:rPr>
          <w:rFonts w:ascii="Arial" w:hAnsi="Arial" w:cs="Arial"/>
          <w:sz w:val="20"/>
          <w:szCs w:val="20"/>
          <w:lang w:eastAsia="en-US"/>
        </w:rPr>
        <w:t>, MULTI: multi</w:t>
      </w:r>
      <w:r w:rsidRPr="00B505FF">
        <w:rPr>
          <w:rFonts w:ascii="Arial" w:hAnsi="Arial" w:cs="Arial"/>
          <w:sz w:val="20"/>
          <w:szCs w:val="20"/>
          <w:lang w:eastAsia="en-US"/>
        </w:rPr>
        <w:t xml:space="preserve">licencia </w:t>
      </w:r>
      <w:r w:rsidR="00726444">
        <w:rPr>
          <w:rFonts w:ascii="Arial" w:hAnsi="Arial" w:cs="Arial"/>
          <w:sz w:val="20"/>
          <w:szCs w:val="20"/>
          <w:lang w:eastAsia="en-US"/>
        </w:rPr>
        <w:t>(ľubovoľný počet používateľov)</w:t>
      </w:r>
    </w:p>
    <w:p w14:paraId="3EE2A4F7" w14:textId="77777777" w:rsidR="007B72E7" w:rsidRPr="007B72E7" w:rsidRDefault="007B72E7" w:rsidP="007B72E7">
      <w:pPr>
        <w:pStyle w:val="Normlnysozarkami"/>
        <w:ind w:firstLine="0"/>
        <w:rPr>
          <w:rFonts w:cs="Arial"/>
          <w:sz w:val="20"/>
        </w:rPr>
      </w:pPr>
    </w:p>
    <w:p w14:paraId="17DF77DE" w14:textId="77777777" w:rsidR="007B72E7" w:rsidRPr="007B72E7" w:rsidRDefault="007B72E7" w:rsidP="007B72E7">
      <w:pPr>
        <w:rPr>
          <w:rFonts w:ascii="Arial" w:hAnsi="Arial" w:cs="Arial"/>
          <w:sz w:val="20"/>
          <w:szCs w:val="20"/>
        </w:rPr>
      </w:pPr>
    </w:p>
    <w:p w14:paraId="730634D8" w14:textId="77777777" w:rsidR="007B72E7" w:rsidRPr="007B72E7" w:rsidRDefault="005F05E9" w:rsidP="007B72E7">
      <w:pPr>
        <w:rPr>
          <w:rStyle w:val="Odstavec-zvraznen"/>
          <w:rFonts w:ascii="Arial" w:hAnsi="Arial" w:cs="Arial"/>
          <w:sz w:val="20"/>
          <w:szCs w:val="20"/>
        </w:rPr>
      </w:pPr>
      <w:r>
        <w:rPr>
          <w:rStyle w:val="Odstavec-zvraznen"/>
          <w:rFonts w:ascii="Arial" w:hAnsi="Arial" w:cs="Arial"/>
          <w:sz w:val="20"/>
          <w:szCs w:val="20"/>
        </w:rPr>
        <w:t>Časť 3</w:t>
      </w:r>
      <w:r w:rsidR="007B72E7" w:rsidRPr="007B72E7">
        <w:rPr>
          <w:rStyle w:val="Odstavec-zvraznen"/>
          <w:rFonts w:ascii="Arial" w:hAnsi="Arial" w:cs="Arial"/>
          <w:sz w:val="20"/>
          <w:szCs w:val="20"/>
        </w:rPr>
        <w:t xml:space="preserve"> - UPGRADE – Technické zhodnotenie dodaného aplikačného softvéru</w:t>
      </w:r>
    </w:p>
    <w:p w14:paraId="50264152" w14:textId="77777777" w:rsidR="005F05E9" w:rsidRPr="005F05E9" w:rsidRDefault="005F05E9" w:rsidP="005F05E9">
      <w:pPr>
        <w:pStyle w:val="Odstavec"/>
        <w:rPr>
          <w:rFonts w:ascii="Arial" w:hAnsi="Arial"/>
          <w:sz w:val="20"/>
          <w:szCs w:val="20"/>
          <w:lang w:val="sk-SK"/>
        </w:rPr>
      </w:pPr>
      <w:r w:rsidRPr="005F05E9">
        <w:rPr>
          <w:rFonts w:ascii="Arial" w:hAnsi="Arial"/>
          <w:sz w:val="20"/>
          <w:szCs w:val="20"/>
          <w:lang w:val="sk-SK"/>
        </w:rPr>
        <w:t>Zapracovanie špecifických požiadaviek – špecifickou požiadavkou sa rozumie požiadavka, ktorá sa realizuje na podnet mesta a bude zabezpečovať spracovanie údajov podľa jeho postupov a návrhov, ktoré sú rozdielne od algoritmov dodávaných a zapracovaných do aplikačného softvéru, ktoré sa chápu ako štandardné.</w:t>
      </w:r>
    </w:p>
    <w:p w14:paraId="66A4D48F" w14:textId="77777777" w:rsidR="005F05E9" w:rsidRDefault="005F05E9" w:rsidP="005F05E9">
      <w:pPr>
        <w:pStyle w:val="Odstavec"/>
        <w:rPr>
          <w:rFonts w:ascii="Arial" w:hAnsi="Arial"/>
          <w:sz w:val="20"/>
          <w:szCs w:val="20"/>
          <w:lang w:val="sk-SK"/>
        </w:rPr>
      </w:pPr>
      <w:r w:rsidRPr="005F05E9">
        <w:rPr>
          <w:rFonts w:ascii="Arial" w:hAnsi="Arial"/>
          <w:sz w:val="20"/>
          <w:szCs w:val="20"/>
          <w:lang w:val="sk-SK"/>
        </w:rPr>
        <w:t>Špecifické analytické a programátorské práce, ktoré priamo nezasahujú do jednotlivých aplikácií, ale súvisia s prácou s nimi /napr. návrh a programovanie konverzného programu a pod./.</w:t>
      </w:r>
    </w:p>
    <w:p w14:paraId="5C7B4FC2" w14:textId="77777777" w:rsidR="007B72E7" w:rsidRPr="005F05E9" w:rsidRDefault="007B72E7" w:rsidP="005F05E9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5F05E9">
        <w:rPr>
          <w:rFonts w:ascii="Arial" w:hAnsi="Arial"/>
          <w:b/>
          <w:sz w:val="20"/>
          <w:szCs w:val="20"/>
          <w:lang w:val="sk-SK"/>
        </w:rPr>
        <w:t>Rozsah</w:t>
      </w:r>
      <w:r w:rsidR="005F05E9">
        <w:rPr>
          <w:rFonts w:ascii="Arial" w:hAnsi="Arial"/>
          <w:b/>
          <w:sz w:val="20"/>
          <w:szCs w:val="20"/>
          <w:lang w:val="sk-SK"/>
        </w:rPr>
        <w:t>: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 </w:t>
      </w:r>
      <w:r w:rsidR="005E777B" w:rsidRPr="005F05E9">
        <w:rPr>
          <w:rFonts w:ascii="Arial" w:hAnsi="Arial"/>
          <w:b/>
          <w:sz w:val="20"/>
          <w:szCs w:val="20"/>
          <w:lang w:val="sk-SK"/>
        </w:rPr>
        <w:t>200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ČH/rok</w:t>
      </w:r>
    </w:p>
    <w:p w14:paraId="01AFAF34" w14:textId="77777777" w:rsidR="00154A6D" w:rsidRDefault="00154A6D" w:rsidP="007B72E7">
      <w:pPr>
        <w:rPr>
          <w:rStyle w:val="Odstavec-zvraznen"/>
          <w:rFonts w:ascii="Arial" w:hAnsi="Arial" w:cs="Arial"/>
          <w:sz w:val="20"/>
          <w:szCs w:val="20"/>
        </w:rPr>
      </w:pPr>
    </w:p>
    <w:p w14:paraId="4BE11CAE" w14:textId="77777777" w:rsidR="007B72E7" w:rsidRP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  <w:r w:rsidRPr="007B72E7">
        <w:rPr>
          <w:rStyle w:val="Odstavec-zvraznen"/>
          <w:rFonts w:ascii="Arial" w:hAnsi="Arial" w:cs="Arial"/>
          <w:sz w:val="20"/>
          <w:szCs w:val="20"/>
        </w:rPr>
        <w:t xml:space="preserve">Časť 4. - </w:t>
      </w:r>
      <w:proofErr w:type="spellStart"/>
      <w:r w:rsidRPr="007B72E7">
        <w:rPr>
          <w:rStyle w:val="Odstavec-zvraznen"/>
          <w:rFonts w:ascii="Arial" w:hAnsi="Arial" w:cs="Arial"/>
          <w:sz w:val="20"/>
          <w:szCs w:val="20"/>
        </w:rPr>
        <w:t>Hotline</w:t>
      </w:r>
      <w:proofErr w:type="spellEnd"/>
      <w:r w:rsidRPr="007B72E7">
        <w:rPr>
          <w:rStyle w:val="Odstavec-zvraznen"/>
          <w:rFonts w:ascii="Arial" w:hAnsi="Arial" w:cs="Arial"/>
          <w:sz w:val="20"/>
          <w:szCs w:val="20"/>
        </w:rPr>
        <w:t xml:space="preserve"> podpora</w:t>
      </w:r>
    </w:p>
    <w:p w14:paraId="1616214C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Telefonická podpora  v čase od 8:00 do 16:00 na tel. čísle</w:t>
      </w:r>
      <w:r>
        <w:rPr>
          <w:rFonts w:cs="Arial"/>
          <w:sz w:val="20"/>
        </w:rPr>
        <w:t xml:space="preserve"> </w:t>
      </w:r>
      <w:r w:rsidR="005E777B" w:rsidRPr="005F05E9">
        <w:rPr>
          <w:rFonts w:cs="Arial"/>
          <w:sz w:val="20"/>
          <w:highlight w:val="yellow"/>
        </w:rPr>
        <w:t>XXXXXXX</w:t>
      </w:r>
      <w:r w:rsidRPr="005F05E9">
        <w:rPr>
          <w:rFonts w:cs="Arial"/>
          <w:sz w:val="20"/>
          <w:highlight w:val="yellow"/>
        </w:rPr>
        <w:t xml:space="preserve"> (doplní uchádzač)</w:t>
      </w:r>
      <w:r w:rsidRPr="007B72E7">
        <w:rPr>
          <w:rFonts w:cs="Arial"/>
          <w:sz w:val="20"/>
        </w:rPr>
        <w:t xml:space="preserve"> </w:t>
      </w:r>
    </w:p>
    <w:p w14:paraId="6A08222B" w14:textId="77777777" w:rsidR="007B72E7" w:rsidRPr="007B72E7" w:rsidRDefault="00391E72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>
        <w:rPr>
          <w:rFonts w:cs="Arial"/>
          <w:sz w:val="20"/>
        </w:rPr>
        <w:t>Vzdialená správa</w:t>
      </w:r>
    </w:p>
    <w:p w14:paraId="5513C95A" w14:textId="77777777" w:rsidR="007B72E7" w:rsidRPr="005F05E9" w:rsidRDefault="007B72E7" w:rsidP="007B72E7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5F05E9">
        <w:rPr>
          <w:rFonts w:ascii="Arial" w:hAnsi="Arial"/>
          <w:b/>
          <w:sz w:val="20"/>
          <w:szCs w:val="20"/>
          <w:lang w:val="sk-SK"/>
        </w:rPr>
        <w:t xml:space="preserve">Rozsah:  </w:t>
      </w:r>
      <w:r w:rsidR="005F05E9" w:rsidRPr="005F05E9">
        <w:rPr>
          <w:rFonts w:ascii="Arial" w:hAnsi="Arial"/>
          <w:b/>
          <w:sz w:val="20"/>
          <w:szCs w:val="20"/>
          <w:lang w:val="sk-SK"/>
        </w:rPr>
        <w:t>200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ČH /rok</w:t>
      </w:r>
    </w:p>
    <w:p w14:paraId="73205397" w14:textId="77777777" w:rsidR="005F05E9" w:rsidRPr="007B72E7" w:rsidRDefault="005F05E9" w:rsidP="007B72E7">
      <w:pPr>
        <w:pStyle w:val="Odstavec"/>
        <w:rPr>
          <w:rFonts w:ascii="Arial" w:hAnsi="Arial"/>
          <w:sz w:val="20"/>
          <w:szCs w:val="20"/>
          <w:lang w:val="sk-SK"/>
        </w:rPr>
      </w:pPr>
    </w:p>
    <w:p w14:paraId="3A33B627" w14:textId="77777777" w:rsidR="007B72E7" w:rsidRP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  <w:r w:rsidRPr="007B72E7">
        <w:rPr>
          <w:rStyle w:val="Odstavec-zvraznen"/>
          <w:rFonts w:ascii="Arial" w:hAnsi="Arial" w:cs="Arial"/>
          <w:sz w:val="20"/>
          <w:szCs w:val="20"/>
        </w:rPr>
        <w:t>Časť 5. - Riadenie projektu</w:t>
      </w:r>
    </w:p>
    <w:p w14:paraId="6CDFB807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Príprava a koordinácia aktivít súvisiacich s plnením špecifických požiadaviek UPGRADE</w:t>
      </w:r>
    </w:p>
    <w:p w14:paraId="5DA3D7C8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Príprava a koordinácia aktivít súvisiacich s integráciou aplikačného softvéru na okolité systému</w:t>
      </w:r>
    </w:p>
    <w:p w14:paraId="7199FB94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Príprava a koordinácia metodických dní a školení pre zákazníka.</w:t>
      </w:r>
    </w:p>
    <w:p w14:paraId="3B555A7F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color w:val="000000"/>
          <w:sz w:val="20"/>
        </w:rPr>
        <w:t>Aktualizácia dokumentácie súvisiacej s informačnými systémami , ktoré sú predmetom zákazky</w:t>
      </w:r>
    </w:p>
    <w:p w14:paraId="547D8C2F" w14:textId="77777777" w:rsidR="007B72E7" w:rsidRPr="005F05E9" w:rsidRDefault="007B72E7" w:rsidP="007B72E7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5F05E9">
        <w:rPr>
          <w:rFonts w:ascii="Arial" w:hAnsi="Arial"/>
          <w:b/>
          <w:sz w:val="20"/>
          <w:szCs w:val="20"/>
          <w:lang w:val="sk-SK"/>
        </w:rPr>
        <w:t>Rozsah</w:t>
      </w:r>
      <w:r w:rsidR="005F05E9">
        <w:rPr>
          <w:rFonts w:ascii="Arial" w:hAnsi="Arial"/>
          <w:b/>
          <w:sz w:val="20"/>
          <w:szCs w:val="20"/>
          <w:lang w:val="sk-SK"/>
        </w:rPr>
        <w:t>: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</w:t>
      </w:r>
      <w:r w:rsidR="005F05E9" w:rsidRPr="005F05E9">
        <w:rPr>
          <w:rFonts w:ascii="Arial" w:hAnsi="Arial"/>
          <w:b/>
          <w:sz w:val="20"/>
          <w:szCs w:val="20"/>
          <w:lang w:val="sk-SK"/>
        </w:rPr>
        <w:t>128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Č</w:t>
      </w:r>
      <w:r w:rsidR="005F05E9" w:rsidRPr="005F05E9">
        <w:rPr>
          <w:rFonts w:ascii="Arial" w:hAnsi="Arial"/>
          <w:b/>
          <w:sz w:val="20"/>
          <w:szCs w:val="20"/>
          <w:lang w:val="sk-SK"/>
        </w:rPr>
        <w:t>H</w:t>
      </w:r>
      <w:r w:rsidRPr="005F05E9">
        <w:rPr>
          <w:rFonts w:ascii="Arial" w:hAnsi="Arial"/>
          <w:b/>
          <w:sz w:val="20"/>
          <w:szCs w:val="20"/>
          <w:lang w:val="sk-SK"/>
        </w:rPr>
        <w:t>/rok</w:t>
      </w:r>
    </w:p>
    <w:p w14:paraId="6F77BCF1" w14:textId="77777777" w:rsidR="007B72E7" w:rsidRPr="007B72E7" w:rsidRDefault="007B72E7" w:rsidP="007B72E7">
      <w:pPr>
        <w:pStyle w:val="Odstavec"/>
        <w:rPr>
          <w:rFonts w:ascii="Arial" w:hAnsi="Arial"/>
          <w:sz w:val="20"/>
          <w:szCs w:val="20"/>
          <w:lang w:val="sk-SK"/>
        </w:rPr>
      </w:pPr>
    </w:p>
    <w:p w14:paraId="5F984988" w14:textId="77777777" w:rsidR="007B72E7" w:rsidRP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  <w:r w:rsidRPr="007B72E7">
        <w:rPr>
          <w:rStyle w:val="Odstavec-zvraznen"/>
          <w:rFonts w:ascii="Arial" w:hAnsi="Arial" w:cs="Arial"/>
          <w:sz w:val="20"/>
          <w:szCs w:val="20"/>
        </w:rPr>
        <w:t>Časť 6. - Technická podpora</w:t>
      </w:r>
    </w:p>
    <w:p w14:paraId="7049DA78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Profylaktika</w:t>
      </w:r>
    </w:p>
    <w:p w14:paraId="5C4F154B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Databáza a dáta</w:t>
      </w:r>
    </w:p>
    <w:p w14:paraId="60F0C712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Operačný systém a systémové prostriedky</w:t>
      </w:r>
    </w:p>
    <w:p w14:paraId="1011DBCD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Licenčný a aplikačný softvér</w:t>
      </w:r>
    </w:p>
    <w:p w14:paraId="182A0E48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Hardvérové vybavenie a sieť</w:t>
      </w:r>
    </w:p>
    <w:p w14:paraId="2072AC96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Udržiavanie testovacej databázy</w:t>
      </w:r>
    </w:p>
    <w:p w14:paraId="6A53B475" w14:textId="77777777" w:rsidR="007B72E7" w:rsidRPr="005F05E9" w:rsidRDefault="007B72E7" w:rsidP="007B72E7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5F05E9">
        <w:rPr>
          <w:rFonts w:ascii="Arial" w:hAnsi="Arial"/>
          <w:b/>
          <w:sz w:val="20"/>
          <w:szCs w:val="20"/>
          <w:lang w:val="sk-SK"/>
        </w:rPr>
        <w:t>Rozsah</w:t>
      </w:r>
      <w:r w:rsidR="005F05E9" w:rsidRPr="005F05E9">
        <w:rPr>
          <w:rFonts w:ascii="Arial" w:hAnsi="Arial"/>
          <w:b/>
          <w:sz w:val="20"/>
          <w:szCs w:val="20"/>
          <w:lang w:val="sk-SK"/>
        </w:rPr>
        <w:t>: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 </w:t>
      </w:r>
      <w:r w:rsidR="005F05E9" w:rsidRPr="005F05E9">
        <w:rPr>
          <w:rFonts w:ascii="Arial" w:hAnsi="Arial"/>
          <w:b/>
          <w:sz w:val="20"/>
          <w:szCs w:val="20"/>
          <w:lang w:val="sk-SK"/>
        </w:rPr>
        <w:t xml:space="preserve">4 </w:t>
      </w:r>
      <w:r w:rsidRPr="005F05E9">
        <w:rPr>
          <w:rFonts w:ascii="Arial" w:hAnsi="Arial"/>
          <w:b/>
          <w:sz w:val="20"/>
          <w:szCs w:val="20"/>
          <w:lang w:val="sk-SK"/>
        </w:rPr>
        <w:t>ČD/rok</w:t>
      </w:r>
    </w:p>
    <w:p w14:paraId="283ECEA9" w14:textId="77777777" w:rsid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</w:p>
    <w:p w14:paraId="0C8B014A" w14:textId="77777777" w:rsidR="007B72E7" w:rsidRP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  <w:r w:rsidRPr="007B72E7">
        <w:rPr>
          <w:rStyle w:val="Odstavec-zvraznen"/>
          <w:rFonts w:ascii="Arial" w:hAnsi="Arial" w:cs="Arial"/>
          <w:sz w:val="20"/>
          <w:szCs w:val="20"/>
        </w:rPr>
        <w:t>Časť 7. - Metodická podpora</w:t>
      </w:r>
    </w:p>
    <w:p w14:paraId="4BBD29D5" w14:textId="77777777" w:rsidR="007B72E7" w:rsidRPr="007B72E7" w:rsidRDefault="007B72E7" w:rsidP="007B72E7">
      <w:pPr>
        <w:pStyle w:val="Odstavec"/>
        <w:rPr>
          <w:rFonts w:ascii="Arial" w:hAnsi="Arial"/>
          <w:sz w:val="20"/>
          <w:szCs w:val="20"/>
          <w:lang w:val="sk-SK"/>
        </w:rPr>
      </w:pPr>
      <w:r w:rsidRPr="007B72E7">
        <w:rPr>
          <w:rFonts w:ascii="Arial" w:hAnsi="Arial"/>
          <w:sz w:val="20"/>
          <w:szCs w:val="20"/>
          <w:lang w:val="sk-SK"/>
        </w:rPr>
        <w:t>Osobné konzultácie pracovníka so zamestnancami mesta za účelom riešenia konkrétnych otázok súvisiacich s využívaním informačného systému samosprávy.</w:t>
      </w:r>
    </w:p>
    <w:p w14:paraId="32FAA1D4" w14:textId="77777777" w:rsidR="007B72E7" w:rsidRPr="005F05E9" w:rsidRDefault="007B72E7" w:rsidP="007B72E7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5F05E9">
        <w:rPr>
          <w:rFonts w:ascii="Arial" w:hAnsi="Arial"/>
          <w:b/>
          <w:sz w:val="20"/>
          <w:szCs w:val="20"/>
          <w:lang w:val="sk-SK"/>
        </w:rPr>
        <w:t>Rozsah</w:t>
      </w:r>
      <w:r w:rsidR="005F05E9">
        <w:rPr>
          <w:rFonts w:ascii="Arial" w:hAnsi="Arial"/>
          <w:b/>
          <w:sz w:val="20"/>
          <w:szCs w:val="20"/>
          <w:lang w:val="sk-SK"/>
        </w:rPr>
        <w:t>:</w:t>
      </w:r>
      <w:r w:rsidRPr="005F05E9">
        <w:rPr>
          <w:rFonts w:ascii="Arial" w:hAnsi="Arial"/>
          <w:b/>
          <w:sz w:val="20"/>
          <w:szCs w:val="20"/>
          <w:lang w:val="sk-SK"/>
        </w:rPr>
        <w:t xml:space="preserve"> </w:t>
      </w:r>
      <w:r w:rsidR="005F05E9" w:rsidRPr="005F05E9">
        <w:rPr>
          <w:rFonts w:ascii="Arial" w:hAnsi="Arial"/>
          <w:b/>
          <w:sz w:val="20"/>
          <w:szCs w:val="20"/>
          <w:lang w:val="sk-SK"/>
        </w:rPr>
        <w:t xml:space="preserve">18 </w:t>
      </w:r>
      <w:r w:rsidRPr="005F05E9">
        <w:rPr>
          <w:rFonts w:ascii="Arial" w:hAnsi="Arial"/>
          <w:b/>
          <w:sz w:val="20"/>
          <w:szCs w:val="20"/>
          <w:lang w:val="sk-SK"/>
        </w:rPr>
        <w:t>ČD/rok</w:t>
      </w:r>
    </w:p>
    <w:p w14:paraId="541F0680" w14:textId="77777777" w:rsidR="007B72E7" w:rsidRDefault="007B72E7" w:rsidP="007B72E7">
      <w:pPr>
        <w:pStyle w:val="Odstavec"/>
        <w:rPr>
          <w:rFonts w:ascii="Arial" w:hAnsi="Arial"/>
          <w:sz w:val="20"/>
          <w:szCs w:val="20"/>
          <w:lang w:val="sk-SK"/>
        </w:rPr>
      </w:pPr>
    </w:p>
    <w:p w14:paraId="539D7BE4" w14:textId="77777777" w:rsidR="005A6779" w:rsidRDefault="005A6779" w:rsidP="007B72E7">
      <w:pPr>
        <w:pStyle w:val="Odstavec"/>
        <w:rPr>
          <w:rFonts w:ascii="Arial" w:hAnsi="Arial"/>
          <w:sz w:val="20"/>
          <w:szCs w:val="20"/>
          <w:lang w:val="sk-SK"/>
        </w:rPr>
      </w:pPr>
    </w:p>
    <w:p w14:paraId="252ABA17" w14:textId="77777777" w:rsidR="005A6779" w:rsidRDefault="005A6779" w:rsidP="007B72E7">
      <w:pPr>
        <w:pStyle w:val="Odstavec"/>
        <w:rPr>
          <w:rFonts w:ascii="Arial" w:hAnsi="Arial"/>
          <w:sz w:val="20"/>
          <w:szCs w:val="20"/>
          <w:lang w:val="sk-SK"/>
        </w:rPr>
      </w:pPr>
    </w:p>
    <w:p w14:paraId="45493717" w14:textId="77777777" w:rsidR="00A95459" w:rsidRDefault="00A95459" w:rsidP="007B72E7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A95459">
        <w:rPr>
          <w:rFonts w:ascii="Arial" w:hAnsi="Arial"/>
          <w:b/>
          <w:sz w:val="20"/>
          <w:szCs w:val="20"/>
          <w:lang w:val="sk-SK"/>
        </w:rPr>
        <w:t xml:space="preserve">Časť 8. </w:t>
      </w:r>
      <w:r w:rsidR="00B505FF">
        <w:rPr>
          <w:rFonts w:ascii="Arial" w:hAnsi="Arial"/>
          <w:b/>
          <w:sz w:val="20"/>
          <w:szCs w:val="20"/>
          <w:lang w:val="sk-SK"/>
        </w:rPr>
        <w:t>–</w:t>
      </w:r>
      <w:r w:rsidRPr="00A95459">
        <w:rPr>
          <w:rFonts w:ascii="Arial" w:hAnsi="Arial"/>
          <w:b/>
          <w:sz w:val="20"/>
          <w:szCs w:val="20"/>
          <w:lang w:val="sk-SK"/>
        </w:rPr>
        <w:t xml:space="preserve"> Školenia</w:t>
      </w:r>
      <w:r w:rsidR="00B505FF">
        <w:rPr>
          <w:rFonts w:ascii="Arial" w:hAnsi="Arial"/>
          <w:b/>
          <w:sz w:val="20"/>
          <w:szCs w:val="20"/>
          <w:lang w:val="sk-SK"/>
        </w:rPr>
        <w:t>/metodické dni</w:t>
      </w:r>
    </w:p>
    <w:p w14:paraId="24D337FC" w14:textId="77777777" w:rsidR="00B505FF" w:rsidRPr="00B505FF" w:rsidRDefault="00B505FF" w:rsidP="00B505FF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B505FF">
        <w:rPr>
          <w:rFonts w:cs="Arial"/>
          <w:sz w:val="20"/>
        </w:rPr>
        <w:t>Odborné školenie modulov aplikačného softvéru.</w:t>
      </w:r>
    </w:p>
    <w:p w14:paraId="56179517" w14:textId="77777777" w:rsidR="00B505FF" w:rsidRPr="00B505FF" w:rsidRDefault="00B505FF" w:rsidP="00B505FF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B505FF">
        <w:rPr>
          <w:rFonts w:cs="Arial"/>
          <w:sz w:val="20"/>
        </w:rPr>
        <w:t>Účasť na odborných metodických dňoch.</w:t>
      </w:r>
    </w:p>
    <w:p w14:paraId="61BF6553" w14:textId="77777777" w:rsidR="00B505FF" w:rsidRPr="005F05E9" w:rsidRDefault="00B505FF" w:rsidP="00B505FF">
      <w:pPr>
        <w:pStyle w:val="Normlnysozarkami"/>
        <w:overflowPunct/>
        <w:autoSpaceDE/>
        <w:autoSpaceDN/>
        <w:adjustRightInd/>
        <w:spacing w:after="60"/>
        <w:ind w:firstLine="0"/>
        <w:jc w:val="left"/>
        <w:textAlignment w:val="auto"/>
        <w:rPr>
          <w:rFonts w:cs="Arial"/>
          <w:b/>
          <w:sz w:val="20"/>
        </w:rPr>
      </w:pPr>
      <w:r w:rsidRPr="005F05E9">
        <w:rPr>
          <w:rFonts w:cs="Arial"/>
          <w:b/>
          <w:sz w:val="20"/>
        </w:rPr>
        <w:t>Rozsah</w:t>
      </w:r>
      <w:r w:rsidR="005F05E9" w:rsidRPr="005F05E9">
        <w:rPr>
          <w:rFonts w:cs="Arial"/>
          <w:b/>
          <w:sz w:val="20"/>
        </w:rPr>
        <w:t>:</w:t>
      </w:r>
      <w:r w:rsidRPr="005F05E9">
        <w:rPr>
          <w:rFonts w:cs="Arial"/>
          <w:b/>
          <w:sz w:val="20"/>
        </w:rPr>
        <w:t xml:space="preserve"> </w:t>
      </w:r>
      <w:r w:rsidR="00391E72" w:rsidRPr="005F05E9">
        <w:rPr>
          <w:rFonts w:cs="Arial"/>
          <w:b/>
          <w:sz w:val="20"/>
        </w:rPr>
        <w:t>6</w:t>
      </w:r>
      <w:r w:rsidR="005F05E9" w:rsidRPr="005F05E9">
        <w:rPr>
          <w:rFonts w:cs="Arial"/>
          <w:b/>
          <w:sz w:val="20"/>
        </w:rPr>
        <w:t>0</w:t>
      </w:r>
      <w:r w:rsidR="00391E72" w:rsidRPr="005F05E9">
        <w:rPr>
          <w:rFonts w:cs="Arial"/>
          <w:b/>
          <w:sz w:val="20"/>
        </w:rPr>
        <w:t xml:space="preserve"> osôb</w:t>
      </w:r>
      <w:r w:rsidRPr="005F05E9">
        <w:rPr>
          <w:rFonts w:cs="Arial"/>
          <w:b/>
          <w:sz w:val="20"/>
        </w:rPr>
        <w:t>/rok</w:t>
      </w:r>
    </w:p>
    <w:p w14:paraId="069F166B" w14:textId="77777777" w:rsidR="00A95459" w:rsidRPr="007B72E7" w:rsidRDefault="00A95459" w:rsidP="007B72E7">
      <w:pPr>
        <w:pStyle w:val="Odstavec"/>
        <w:rPr>
          <w:rFonts w:ascii="Arial" w:hAnsi="Arial"/>
          <w:sz w:val="20"/>
          <w:szCs w:val="20"/>
          <w:lang w:val="sk-SK"/>
        </w:rPr>
      </w:pPr>
    </w:p>
    <w:p w14:paraId="202BC49D" w14:textId="77777777" w:rsidR="007B72E7" w:rsidRPr="007B72E7" w:rsidRDefault="007B72E7" w:rsidP="007B72E7">
      <w:pPr>
        <w:rPr>
          <w:rStyle w:val="Odstavec-zvraznen"/>
          <w:rFonts w:ascii="Arial" w:hAnsi="Arial" w:cs="Arial"/>
          <w:sz w:val="20"/>
          <w:szCs w:val="20"/>
        </w:rPr>
      </w:pPr>
      <w:r w:rsidRPr="007B72E7">
        <w:rPr>
          <w:rStyle w:val="Odstavec-zvraznen"/>
          <w:rFonts w:ascii="Arial" w:hAnsi="Arial" w:cs="Arial"/>
          <w:sz w:val="20"/>
          <w:szCs w:val="20"/>
        </w:rPr>
        <w:t xml:space="preserve">Časť </w:t>
      </w:r>
      <w:r w:rsidR="00A95459">
        <w:rPr>
          <w:rStyle w:val="Odstavec-zvraznen"/>
          <w:rFonts w:ascii="Arial" w:hAnsi="Arial" w:cs="Arial"/>
          <w:sz w:val="20"/>
          <w:szCs w:val="20"/>
        </w:rPr>
        <w:t>9</w:t>
      </w:r>
      <w:r w:rsidRPr="007B72E7">
        <w:rPr>
          <w:rStyle w:val="Odstavec-zvraznen"/>
          <w:rFonts w:ascii="Arial" w:hAnsi="Arial" w:cs="Arial"/>
          <w:sz w:val="20"/>
          <w:szCs w:val="20"/>
        </w:rPr>
        <w:t>. - Bezpečnostná politika</w:t>
      </w:r>
    </w:p>
    <w:p w14:paraId="4A228849" w14:textId="77777777" w:rsidR="007B72E7" w:rsidRPr="007B72E7" w:rsidRDefault="007B72E7" w:rsidP="007B72E7">
      <w:pPr>
        <w:pStyle w:val="Normlnysozarkami"/>
        <w:numPr>
          <w:ilvl w:val="0"/>
          <w:numId w:val="1"/>
        </w:numPr>
        <w:overflowPunct/>
        <w:autoSpaceDE/>
        <w:autoSpaceDN/>
        <w:adjustRightInd/>
        <w:spacing w:after="60"/>
        <w:ind w:left="1134" w:hanging="357"/>
        <w:jc w:val="left"/>
        <w:textAlignment w:val="auto"/>
        <w:rPr>
          <w:rFonts w:cs="Arial"/>
          <w:sz w:val="20"/>
        </w:rPr>
      </w:pPr>
      <w:r w:rsidRPr="007B72E7">
        <w:rPr>
          <w:rFonts w:cs="Arial"/>
          <w:sz w:val="20"/>
        </w:rPr>
        <w:t>Aktualizácia dokumentu: Plán zálohy a obnovy informačných systémov, ktoré sú predmetom zmluvy</w:t>
      </w:r>
    </w:p>
    <w:p w14:paraId="29D33CC6" w14:textId="77777777" w:rsidR="007B72E7" w:rsidRPr="005F05E9" w:rsidRDefault="007B72E7" w:rsidP="007B72E7">
      <w:pPr>
        <w:pStyle w:val="Odstavec"/>
        <w:rPr>
          <w:rFonts w:ascii="Arial" w:hAnsi="Arial"/>
          <w:b/>
          <w:sz w:val="20"/>
          <w:szCs w:val="20"/>
          <w:lang w:val="sk-SK"/>
        </w:rPr>
      </w:pPr>
      <w:r w:rsidRPr="005F05E9">
        <w:rPr>
          <w:rFonts w:ascii="Arial" w:hAnsi="Arial"/>
          <w:b/>
          <w:sz w:val="20"/>
          <w:szCs w:val="20"/>
          <w:lang w:val="sk-SK"/>
        </w:rPr>
        <w:t>Rozsah: 1 x ročne</w:t>
      </w:r>
    </w:p>
    <w:p w14:paraId="27CF531F" w14:textId="77777777" w:rsidR="007B72E7" w:rsidRPr="007B72E7" w:rsidRDefault="007B72E7" w:rsidP="007B72E7">
      <w:pPr>
        <w:pStyle w:val="wazza01"/>
        <w:tabs>
          <w:tab w:val="right" w:leader="dot" w:pos="9639"/>
        </w:tabs>
        <w:jc w:val="left"/>
        <w:rPr>
          <w:rFonts w:eastAsia="Arial"/>
          <w:sz w:val="28"/>
          <w:szCs w:val="28"/>
        </w:rPr>
      </w:pPr>
    </w:p>
    <w:p w14:paraId="57B481E9" w14:textId="77777777" w:rsidR="00443EA4" w:rsidRPr="007B72E7" w:rsidRDefault="00443EA4">
      <w:pPr>
        <w:rPr>
          <w:rFonts w:ascii="Arial" w:hAnsi="Arial" w:cs="Arial"/>
        </w:rPr>
      </w:pPr>
    </w:p>
    <w:sectPr w:rsidR="00443EA4" w:rsidRPr="007B72E7" w:rsidSect="00B4140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7CF2C" w14:textId="77777777" w:rsidR="006745DB" w:rsidRDefault="006745DB" w:rsidP="00C574EA">
      <w:r>
        <w:separator/>
      </w:r>
    </w:p>
  </w:endnote>
  <w:endnote w:type="continuationSeparator" w:id="0">
    <w:p w14:paraId="44659F0E" w14:textId="77777777" w:rsidR="006745DB" w:rsidRDefault="006745DB" w:rsidP="00C5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EB04" w14:textId="77777777" w:rsidR="006745DB" w:rsidRDefault="006745DB" w:rsidP="00C574EA">
      <w:r>
        <w:separator/>
      </w:r>
    </w:p>
  </w:footnote>
  <w:footnote w:type="continuationSeparator" w:id="0">
    <w:p w14:paraId="6485ED17" w14:textId="77777777" w:rsidR="006745DB" w:rsidRDefault="006745DB" w:rsidP="00C5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5984" w14:textId="091AA079" w:rsidR="00B41400" w:rsidRDefault="00B41400">
    <w:pPr>
      <w:pStyle w:val="Hlavika"/>
    </w:pPr>
    <w:r>
      <w:t>Príloha č. 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0F17"/>
    <w:multiLevelType w:val="hybridMultilevel"/>
    <w:tmpl w:val="1374B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57DB1"/>
    <w:multiLevelType w:val="hybridMultilevel"/>
    <w:tmpl w:val="AAB21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0357B"/>
    <w:multiLevelType w:val="hybridMultilevel"/>
    <w:tmpl w:val="17BA841A"/>
    <w:lvl w:ilvl="0" w:tplc="551A4918">
      <w:start w:val="2"/>
      <w:numFmt w:val="bullet"/>
      <w:pStyle w:val="Popis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2E7"/>
    <w:rsid w:val="00006B49"/>
    <w:rsid w:val="00031849"/>
    <w:rsid w:val="00154A6D"/>
    <w:rsid w:val="001C4FAF"/>
    <w:rsid w:val="00391E72"/>
    <w:rsid w:val="00443EA4"/>
    <w:rsid w:val="005A6779"/>
    <w:rsid w:val="005E777B"/>
    <w:rsid w:val="005F05E9"/>
    <w:rsid w:val="006745DB"/>
    <w:rsid w:val="00726444"/>
    <w:rsid w:val="007B72E7"/>
    <w:rsid w:val="0087401A"/>
    <w:rsid w:val="00924349"/>
    <w:rsid w:val="009A370D"/>
    <w:rsid w:val="00A37940"/>
    <w:rsid w:val="00A95459"/>
    <w:rsid w:val="00B23E05"/>
    <w:rsid w:val="00B40DE6"/>
    <w:rsid w:val="00B41400"/>
    <w:rsid w:val="00B505FF"/>
    <w:rsid w:val="00C574EA"/>
    <w:rsid w:val="00D13B27"/>
    <w:rsid w:val="00D2108F"/>
    <w:rsid w:val="00D570F0"/>
    <w:rsid w:val="00EA32D6"/>
    <w:rsid w:val="00F6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E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B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qFormat/>
    <w:rsid w:val="007B72E7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mallCaps/>
      <w:sz w:val="20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Kapitola 2 Char"/>
    <w:basedOn w:val="Predvolenpsmoodseku"/>
    <w:link w:val="Nadpis2"/>
    <w:rsid w:val="007B72E7"/>
    <w:rPr>
      <w:rFonts w:ascii="Arial" w:eastAsia="Times New Roman" w:hAnsi="Arial" w:cs="Times New Roman"/>
      <w:b/>
      <w:bCs/>
      <w:smallCaps/>
      <w:sz w:val="20"/>
      <w:szCs w:val="30"/>
      <w:lang w:eastAsia="sk-SK"/>
    </w:rPr>
  </w:style>
  <w:style w:type="paragraph" w:styleId="Popis">
    <w:name w:val="caption"/>
    <w:basedOn w:val="Normlny"/>
    <w:next w:val="Normlny"/>
    <w:qFormat/>
    <w:rsid w:val="007B72E7"/>
    <w:pPr>
      <w:numPr>
        <w:numId w:val="1"/>
      </w:numPr>
      <w:tabs>
        <w:tab w:val="right" w:leader="dot" w:pos="10080"/>
      </w:tabs>
      <w:ind w:left="0" w:firstLine="0"/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wazza01">
    <w:name w:val="wazza_01"/>
    <w:qFormat/>
    <w:rsid w:val="007B72E7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Normlnysozarkami">
    <w:name w:val="Normal Indent"/>
    <w:basedOn w:val="Normlny"/>
    <w:rsid w:val="007B72E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character" w:customStyle="1" w:styleId="Odstavec-zvraznen">
    <w:name w:val="Odstavec - zvýraznený"/>
    <w:rsid w:val="007B72E7"/>
    <w:rPr>
      <w:b/>
      <w:bCs/>
    </w:rPr>
  </w:style>
  <w:style w:type="paragraph" w:customStyle="1" w:styleId="Odstavec">
    <w:name w:val="Odstavec"/>
    <w:basedOn w:val="Normlny"/>
    <w:link w:val="OdstavecChar"/>
    <w:qFormat/>
    <w:rsid w:val="007B72E7"/>
    <w:pPr>
      <w:spacing w:before="60" w:after="120"/>
      <w:jc w:val="both"/>
    </w:pPr>
    <w:rPr>
      <w:rFonts w:cs="Arial"/>
      <w:sz w:val="22"/>
      <w:lang w:val="en-US" w:eastAsia="en-US"/>
    </w:rPr>
  </w:style>
  <w:style w:type="character" w:customStyle="1" w:styleId="OdstavecChar">
    <w:name w:val="Odstavec Char"/>
    <w:link w:val="Odstavec"/>
    <w:rsid w:val="007B72E7"/>
    <w:rPr>
      <w:rFonts w:ascii="Times New Roman" w:eastAsia="Times New Roman" w:hAnsi="Times New Roman" w:cs="Arial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B505F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574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4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7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74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1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40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FC1669CFC9F4C9EB3FA40F1C56174" ma:contentTypeVersion="11" ma:contentTypeDescription="Umožňuje vytvoriť nový dokument." ma:contentTypeScope="" ma:versionID="09da0f01542f2a4009995d893c33282f">
  <xsd:schema xmlns:xsd="http://www.w3.org/2001/XMLSchema" xmlns:xs="http://www.w3.org/2001/XMLSchema" xmlns:p="http://schemas.microsoft.com/office/2006/metadata/properties" xmlns:ns2="8b720ccf-624d-4bf1-8ef6-8cd37b21644e" xmlns:ns3="913e4618-adb1-4b1a-b7a1-9949c85dedbc" targetNamespace="http://schemas.microsoft.com/office/2006/metadata/properties" ma:root="true" ma:fieldsID="25479301ea71865ed2917eaf0655b3c6" ns2:_="" ns3:_="">
    <xsd:import namespace="8b720ccf-624d-4bf1-8ef6-8cd37b21644e"/>
    <xsd:import namespace="913e4618-adb1-4b1a-b7a1-9949c85de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0ccf-624d-4bf1-8ef6-8cd37b21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e4618-adb1-4b1a-b7a1-9949c85de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2994-A17E-4242-8C0E-04B0B48CF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31CCB-CFF1-4503-BAA8-D82CD0C01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38B6F-210C-4905-BFE6-28A39A6C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0ccf-624d-4bf1-8ef6-8cd37b21644e"/>
    <ds:schemaRef ds:uri="913e4618-adb1-4b1a-b7a1-9949c85de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2022-05-10T10:23:00Z</dcterms:created>
  <dcterms:modified xsi:type="dcterms:W3CDTF">2022-10-07T10:54:00Z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0x01010050AFC1669CFC9F4C9EB3FA40F1C56174</vt:lpwstr>
  </property>
</Properties>
</file>