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7940AB41" w14:textId="708BD33B" w:rsidR="00E10433" w:rsidRPr="00AE16F4" w:rsidRDefault="00EC42D7" w:rsidP="00EC42D7">
      <w:pPr>
        <w:tabs>
          <w:tab w:val="left" w:pos="5387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   </w:t>
      </w:r>
      <w:r w:rsidR="002712F0"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A74BDD" w:rsidRPr="00A74BDD">
        <w:rPr>
          <w:rFonts w:ascii="Cambria" w:hAnsi="Cambria"/>
          <w:sz w:val="22"/>
          <w:szCs w:val="22"/>
          <w:lang w:val="sk-SK"/>
        </w:rPr>
        <w:t>NBS1-000-076-747</w:t>
      </w:r>
    </w:p>
    <w:p w14:paraId="40F6DCF7" w14:textId="783F829E" w:rsidR="00B66DB9" w:rsidRPr="00AE16F4" w:rsidRDefault="00EC42D7" w:rsidP="00EC42D7">
      <w:pPr>
        <w:tabs>
          <w:tab w:val="left" w:pos="5529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</w:t>
      </w:r>
      <w:r w:rsidR="00B66DB9" w:rsidRPr="00AE16F4">
        <w:rPr>
          <w:rFonts w:ascii="Cambria" w:hAnsi="Cambria"/>
          <w:sz w:val="22"/>
          <w:szCs w:val="22"/>
          <w:lang w:val="sk-SK"/>
        </w:rPr>
        <w:t>Číslo záznamu:</w:t>
      </w:r>
      <w:r w:rsidR="001F5339">
        <w:rPr>
          <w:rFonts w:ascii="Cambria" w:hAnsi="Cambria"/>
          <w:sz w:val="22"/>
          <w:szCs w:val="22"/>
          <w:lang w:val="sk-SK"/>
        </w:rPr>
        <w:t xml:space="preserve"> </w:t>
      </w:r>
      <w:r w:rsidR="00630DAB" w:rsidRPr="00630DAB">
        <w:rPr>
          <w:rFonts w:ascii="Cambria" w:hAnsi="Cambria"/>
          <w:sz w:val="22"/>
          <w:szCs w:val="22"/>
          <w:lang w:val="sk-SK"/>
        </w:rPr>
        <w:t>100-000-405-960</w:t>
      </w:r>
    </w:p>
    <w:p w14:paraId="5987CF6A" w14:textId="7CB14EF2" w:rsidR="005F4847" w:rsidRPr="00AE16F4" w:rsidRDefault="00EC42D7" w:rsidP="00EC42D7">
      <w:pPr>
        <w:tabs>
          <w:tab w:val="left" w:pos="5245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                                                                                                                         </w:t>
      </w:r>
      <w:r w:rsidR="005F4847"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A74BDD">
        <w:rPr>
          <w:rFonts w:ascii="Cambria" w:hAnsi="Cambria"/>
          <w:sz w:val="22"/>
          <w:szCs w:val="22"/>
          <w:lang w:val="sk-SK"/>
        </w:rPr>
        <w:t>17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 w:rsidR="00A74BDD">
        <w:rPr>
          <w:rFonts w:ascii="Cambria" w:hAnsi="Cambria"/>
          <w:sz w:val="22"/>
          <w:szCs w:val="22"/>
          <w:lang w:val="sk-SK"/>
        </w:rPr>
        <w:t>1</w:t>
      </w:r>
      <w:r w:rsidR="00F95786">
        <w:rPr>
          <w:rFonts w:ascii="Cambria" w:hAnsi="Cambria"/>
          <w:sz w:val="22"/>
          <w:szCs w:val="22"/>
          <w:lang w:val="sk-SK"/>
        </w:rPr>
        <w:t>0.</w:t>
      </w:r>
      <w:r>
        <w:rPr>
          <w:rFonts w:ascii="Cambria" w:hAnsi="Cambria"/>
          <w:sz w:val="22"/>
          <w:szCs w:val="22"/>
          <w:lang w:val="sk-SK"/>
        </w:rPr>
        <w:t>202</w:t>
      </w:r>
      <w:r w:rsidR="00432DE7">
        <w:rPr>
          <w:rFonts w:ascii="Cambria" w:hAnsi="Cambria"/>
          <w:sz w:val="22"/>
          <w:szCs w:val="22"/>
          <w:lang w:val="sk-SK"/>
        </w:rPr>
        <w:t>2</w:t>
      </w:r>
    </w:p>
    <w:p w14:paraId="4A2CEDA0" w14:textId="77777777" w:rsidR="004865D1" w:rsidRPr="00AE16F4" w:rsidRDefault="004865D1" w:rsidP="00EE0D3D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AE16F4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73618D73" w:rsidR="001B469A" w:rsidRPr="00DE4362" w:rsidRDefault="00B23E2A" w:rsidP="00DE4362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DE4362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 w:rsidRPr="00DE4362">
        <w:rPr>
          <w:rFonts w:ascii="Cambria" w:hAnsi="Cambria"/>
          <w:color w:val="000000"/>
          <w:sz w:val="22"/>
          <w:szCs w:val="22"/>
          <w:lang w:val="sk-SK"/>
        </w:rPr>
        <w:t>v oznámení o vyhlásení verejného obstarávania</w:t>
      </w:r>
      <w:r w:rsidR="00527AC3" w:rsidRPr="00DE4362">
        <w:rPr>
          <w:rFonts w:ascii="Cambria" w:hAnsi="Cambria"/>
          <w:color w:val="000000"/>
          <w:sz w:val="22"/>
          <w:szCs w:val="22"/>
          <w:lang w:val="sk-SK"/>
        </w:rPr>
        <w:t xml:space="preserve">, v súťažných podkladoch alebo v inej sprievodnej dokumentácii </w:t>
      </w:r>
      <w:r w:rsidR="00923673" w:rsidRPr="00DE4362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 w:rsidRPr="00DE4362">
        <w:rPr>
          <w:rFonts w:ascii="Cambria" w:hAnsi="Cambria"/>
          <w:sz w:val="22"/>
          <w:szCs w:val="22"/>
          <w:lang w:val="sk-SK"/>
        </w:rPr>
        <w:t>48</w:t>
      </w:r>
      <w:r w:rsidR="000D6E7E" w:rsidRPr="00DE4362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DE4362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DE4362" w:rsidRDefault="002D543C" w:rsidP="00DE4362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794853E9" w:rsidR="00E6446D" w:rsidRPr="00DE4362" w:rsidRDefault="00E6446D" w:rsidP="00DE4362">
      <w:pPr>
        <w:jc w:val="both"/>
        <w:rPr>
          <w:rFonts w:ascii="Cambria" w:hAnsi="Cambria"/>
          <w:sz w:val="22"/>
          <w:szCs w:val="22"/>
          <w:lang w:val="sk-SK"/>
        </w:rPr>
      </w:pPr>
      <w:r w:rsidRPr="00DE4362">
        <w:rPr>
          <w:rFonts w:ascii="Cambria" w:hAnsi="Cambria"/>
          <w:sz w:val="22"/>
          <w:szCs w:val="22"/>
          <w:lang w:val="sk-SK"/>
        </w:rPr>
        <w:t>Verejný obstarávateľ, Národná banka Slovenska so sídlom Imricha Karvaša 1, 813 25 Bratislava (ďalej len „verejný obstarávateľ</w:t>
      </w:r>
      <w:bookmarkStart w:id="0" w:name="_Hlk75852783"/>
      <w:r w:rsidRPr="00DE4362">
        <w:rPr>
          <w:rFonts w:ascii="Cambria" w:hAnsi="Cambria"/>
          <w:sz w:val="22"/>
          <w:szCs w:val="22"/>
          <w:lang w:val="sk-SK"/>
        </w:rPr>
        <w:t>“</w:t>
      </w:r>
      <w:bookmarkEnd w:id="0"/>
      <w:r w:rsidRPr="00DE4362">
        <w:rPr>
          <w:rFonts w:ascii="Cambria" w:hAnsi="Cambria"/>
          <w:sz w:val="22"/>
          <w:szCs w:val="22"/>
          <w:lang w:val="sk-SK"/>
        </w:rPr>
        <w:t>)</w:t>
      </w:r>
      <w:r w:rsidR="00F65D06" w:rsidRPr="00DE4362">
        <w:rPr>
          <w:rFonts w:ascii="Cambria" w:hAnsi="Cambria"/>
          <w:sz w:val="22"/>
          <w:szCs w:val="22"/>
          <w:lang w:val="sk-SK"/>
        </w:rPr>
        <w:t>,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obdržal dňa </w:t>
      </w:r>
      <w:r w:rsidR="00A74BDD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13</w:t>
      </w:r>
      <w:r w:rsidR="0040653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A74BDD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1</w:t>
      </w:r>
      <w:r w:rsidR="0040653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0.2022 </w:t>
      </w:r>
      <w:r w:rsidRPr="00DE4362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DE4362">
        <w:rPr>
          <w:rFonts w:ascii="Cambria" w:hAnsi="Cambria"/>
          <w:sz w:val="22"/>
          <w:szCs w:val="22"/>
          <w:lang w:val="sk-SK"/>
        </w:rPr>
        <w:t>nformácií uvedených v súťažných podkladoch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Pr="00DE4362">
        <w:rPr>
          <w:rFonts w:ascii="Cambria" w:hAnsi="Cambria"/>
          <w:sz w:val="22"/>
          <w:szCs w:val="22"/>
          <w:lang w:val="sk-SK"/>
        </w:rPr>
        <w:t>v </w:t>
      </w:r>
      <w:r w:rsidR="00C44A15" w:rsidRPr="00DE4362">
        <w:rPr>
          <w:rFonts w:ascii="Cambria" w:hAnsi="Cambria"/>
          <w:sz w:val="22"/>
          <w:szCs w:val="22"/>
          <w:lang w:val="sk-SK"/>
        </w:rPr>
        <w:t xml:space="preserve"> </w:t>
      </w:r>
      <w:r w:rsidR="00A74BDD" w:rsidRPr="00DE4362">
        <w:rPr>
          <w:rFonts w:ascii="Cambria" w:hAnsi="Cambria"/>
          <w:sz w:val="22"/>
          <w:szCs w:val="22"/>
          <w:lang w:val="sk-SK"/>
        </w:rPr>
        <w:t xml:space="preserve">nadlimitnej zákazke s názvom „Transformácia podporných služieb“ uverejnenej v Ú. v. EÚ/S 192 dňa 05.10.2022 pod číslom 2022/S 192-544237 a vo vestníku 217/2022 pod číslom 42696-MSS dňa 6. 10. 2022 </w:t>
      </w:r>
      <w:r w:rsidRPr="00DE4362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DE4362">
        <w:rPr>
          <w:rFonts w:ascii="Cambria" w:hAnsi="Cambria"/>
          <w:sz w:val="22"/>
          <w:szCs w:val="22"/>
          <w:lang w:val="sk-SK"/>
        </w:rPr>
        <w:t>ť</w:t>
      </w:r>
      <w:r w:rsidRPr="00DE4362">
        <w:rPr>
          <w:rFonts w:ascii="Cambria" w:hAnsi="Cambria"/>
          <w:sz w:val="22"/>
          <w:szCs w:val="22"/>
          <w:lang w:val="sk-SK"/>
        </w:rPr>
        <w:t xml:space="preserve"> o vysvetlenie“)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Pr="00DE4362" w:rsidRDefault="00003D8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1399331C" w:rsidR="00E6446D" w:rsidRPr="00DE4362" w:rsidRDefault="00E6446D" w:rsidP="00DE4362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DE4362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DE4362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verejný obstarávateľ v súlade s ustanovením </w:t>
      </w:r>
      <w:r w:rsidR="00C44A15" w:rsidRPr="00DE4362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DE4362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DE4362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DE4362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Pr="00DE4362" w:rsidRDefault="006E6AB0" w:rsidP="00DE436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74A24DFA" w:rsidR="005845D2" w:rsidRPr="00DE4362" w:rsidRDefault="005845D2" w:rsidP="00DE436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432DE7" w:rsidRPr="00DE4362">
        <w:rPr>
          <w:rFonts w:ascii="Cambria" w:hAnsi="Cambria"/>
          <w:b/>
          <w:sz w:val="22"/>
          <w:szCs w:val="22"/>
          <w:u w:val="single"/>
          <w:lang w:val="sk-SK"/>
        </w:rPr>
        <w:t>1</w:t>
      </w: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4E3AD1EB" w14:textId="1733CFFC" w:rsidR="00A74BDD" w:rsidRPr="00DE4362" w:rsidRDefault="00A74BDD" w:rsidP="00DE4362">
      <w:pPr>
        <w:jc w:val="both"/>
        <w:rPr>
          <w:rFonts w:ascii="Cambria" w:hAnsi="Cambria"/>
          <w:sz w:val="22"/>
          <w:szCs w:val="22"/>
          <w:lang w:val="sk-SK"/>
        </w:rPr>
      </w:pPr>
      <w:r w:rsidRPr="00DE4362">
        <w:rPr>
          <w:rFonts w:ascii="Cambria" w:hAnsi="Cambria"/>
          <w:sz w:val="22"/>
          <w:szCs w:val="22"/>
          <w:lang w:val="sk-SK"/>
        </w:rPr>
        <w:t>V súťažných podkladoch na predmet zákazky: Transformácia podporných služieb v časti 35.1.2.1.2 požaduje verejný obstarávateľ, aby uchádzač predložil pri kľúčovom expertovi č. 2 - Senior Procesný analytik údaje, z ktorých je identifikovateľné a preukázateľné splnenie okrem iného: "je držiteľom platného certifikát v oblasti procesného riadenia Lean Management minimálne na úrovni Lean Expert alebo iný obdobný ekvivalent (Six Sigma Blakck Belt a pod.)".</w:t>
      </w:r>
    </w:p>
    <w:p w14:paraId="50831AFB" w14:textId="4193F166" w:rsidR="00EB695E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sz w:val="22"/>
          <w:szCs w:val="22"/>
          <w:lang w:val="sk-SK"/>
        </w:rPr>
        <w:t>Považuje verejný obstarávateľ za obdobný ekvivalent aj certifikát Manažéra procesného riadenia na úrovni Profesionál? Uvedený certifikát, je vydaný Slovenskou asociáciou procesného riadenia (SAPRIA) a preukazuje vykonanie písomnej a praktickej skúšky z analýzy a modelovania procesov organizácie, z riadenia a zlepšovania výkonnosti procesov podľa štandardov SCBPM-P/2006, pričom úroveň Profesionál je najvyššia možná úroveň, t.j. vyššia ako základná úroveň.</w:t>
      </w:r>
    </w:p>
    <w:p w14:paraId="00C0313D" w14:textId="461FACB6" w:rsidR="00EB695E" w:rsidRPr="00DE4362" w:rsidRDefault="005845D2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4831A519" w14:textId="4F8B07F3" w:rsidR="00A74BDD" w:rsidRPr="00DE4362" w:rsidRDefault="00DE4362" w:rsidP="00DE4362">
      <w:pPr>
        <w:jc w:val="both"/>
        <w:rPr>
          <w:rFonts w:ascii="Cambria" w:hAnsi="Cambria"/>
          <w:sz w:val="22"/>
          <w:szCs w:val="22"/>
          <w:lang w:val="sk-SK" w:eastAsia="sk-SK"/>
        </w:rPr>
      </w:pPr>
      <w:r w:rsidRPr="00DE4362">
        <w:rPr>
          <w:rFonts w:ascii="Cambria" w:hAnsi="Cambria"/>
          <w:sz w:val="22"/>
          <w:szCs w:val="22"/>
          <w:lang w:val="sk-SK" w:eastAsia="sk-SK"/>
        </w:rPr>
        <w:t>Podľa údajov o procese certifikácie Slovenskej asociácie procesného riadenia, ktoré sú uvedene na web stránke organizácie (</w:t>
      </w:r>
      <w:hyperlink r:id="rId10" w:history="1">
        <w:r w:rsidRPr="00DE4362">
          <w:rPr>
            <w:rStyle w:val="Hyperlink"/>
            <w:rFonts w:ascii="Cambria" w:hAnsi="Cambria"/>
            <w:sz w:val="22"/>
            <w:szCs w:val="22"/>
            <w:lang w:val="sk-SK" w:eastAsia="sk-SK"/>
          </w:rPr>
          <w:t>https://sapria.sk/sk/organizacie/certifikacia-procesnych-manazerov</w:t>
        </w:r>
      </w:hyperlink>
      <w:r w:rsidRPr="00DE4362">
        <w:rPr>
          <w:rFonts w:ascii="Cambria" w:hAnsi="Cambria"/>
          <w:sz w:val="22"/>
          <w:szCs w:val="22"/>
          <w:lang w:val="sk-SK" w:eastAsia="sk-SK"/>
        </w:rPr>
        <w:t xml:space="preserve"> ), komplexnú expertnú end-to-end znalosť modelovania a implementácie procesného modelu je možné formálne dosiahnuť len certifikáciou na úrovni „– Professional,“. Verejný obstarávateľ uzná platný certifikát SCBPM Professional ako ekvivalent platného certifikátu </w:t>
      </w:r>
      <w:r w:rsidRPr="00DE4362">
        <w:rPr>
          <w:rFonts w:ascii="Cambria" w:hAnsi="Cambria"/>
          <w:sz w:val="22"/>
          <w:szCs w:val="22"/>
          <w:lang w:val="sk-SK" w:eastAsia="sk-SK"/>
        </w:rPr>
        <w:br/>
        <w:t>v oblasti procesného riadenia na úrovni Expert, ktorý je požadovaný pri kľúčovom expertovi č. 2 – Senior procesný analytik,  pričom týmto rozširuje príkladný výpočet ekvivalentov uvedených certifikátov.</w:t>
      </w:r>
    </w:p>
    <w:p w14:paraId="1394CF0E" w14:textId="77777777" w:rsidR="00DE4362" w:rsidRPr="00DE4362" w:rsidRDefault="00DE4362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2B2C34C1" w14:textId="5ECA66B4" w:rsidR="00A74BDD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Otázka č. 2:</w:t>
      </w:r>
    </w:p>
    <w:p w14:paraId="7B5AD20B" w14:textId="5A7DF7FF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DE4362">
        <w:rPr>
          <w:rFonts w:ascii="Cambria" w:hAnsi="Cambria"/>
          <w:bCs/>
          <w:sz w:val="22"/>
          <w:szCs w:val="22"/>
          <w:lang w:val="sk-SK"/>
        </w:rPr>
        <w:t>V súťažných podkladoch na predmet zákazky: Transformácia podporných služieb v časti 35.1.2.1.2 požaduje verejný obstarávateľ, aby uchádzač predložil pri kľúčovom expertovi č. 2 - Senior Procesný analytik údaje, z ktorých je identifikovateľné a preukázateľné splnenie okrem iného: "je držiteľom platného certifikát v oblasti procesného riadenia Lean Management minimálne na úrovni Lean Expert alebo iný obdobný ekvivalent (Six Sigma Blakck Belt a pod.)".</w:t>
      </w:r>
    </w:p>
    <w:p w14:paraId="6638E75B" w14:textId="77777777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30107589" w14:textId="77777777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DE4362">
        <w:rPr>
          <w:rFonts w:ascii="Cambria" w:hAnsi="Cambria"/>
          <w:bCs/>
          <w:sz w:val="22"/>
          <w:szCs w:val="22"/>
          <w:lang w:val="sk-SK"/>
        </w:rPr>
        <w:lastRenderedPageBreak/>
        <w:t xml:space="preserve">Považuje verejný obstarávateľ za obdobný ekvivalent aj kombináciu certifikátu certifikátu Manažéra procesného riadenia na úrovni Profesionál a Six Sigma Green Belt? Prvý uvedený certifikát, je vydaný Slovenskou asociáciou procesného riadenia (SAPRIA) a preukazuje vykonanie písomnej a praktickej skúšky z analýzy a modelovania procesov organizácie, z riadenia </w:t>
      </w:r>
    </w:p>
    <w:p w14:paraId="0279DCB1" w14:textId="77777777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DE4362">
        <w:rPr>
          <w:rFonts w:ascii="Cambria" w:hAnsi="Cambria"/>
          <w:bCs/>
          <w:sz w:val="22"/>
          <w:szCs w:val="22"/>
          <w:lang w:val="sk-SK"/>
        </w:rPr>
        <w:t xml:space="preserve">a zlepšovania výkonnosti procesov podľa štandardov SCBPM-P/2006, pričom úroveň Profesionál je  najvyššia  možná  úroveň,  t.j. vyššia a ko základná úroveň. Druhý uvedený certifikát preukazuje </w:t>
      </w:r>
    </w:p>
    <w:p w14:paraId="69531634" w14:textId="77777777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DE4362">
        <w:rPr>
          <w:rFonts w:ascii="Cambria" w:hAnsi="Cambria"/>
          <w:bCs/>
          <w:sz w:val="22"/>
          <w:szCs w:val="22"/>
          <w:lang w:val="sk-SK"/>
        </w:rPr>
        <w:t>aj znalosť Lean manažmentu v zmysle Six Sigma.</w:t>
      </w:r>
    </w:p>
    <w:p w14:paraId="574557E6" w14:textId="78B71486" w:rsidR="00A74BDD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Odpoveď:</w:t>
      </w:r>
    </w:p>
    <w:p w14:paraId="7809184E" w14:textId="1E203B0A" w:rsidR="00DE4362" w:rsidRPr="00DE4362" w:rsidRDefault="00DE4362" w:rsidP="00DE4362">
      <w:pPr>
        <w:jc w:val="both"/>
        <w:rPr>
          <w:rFonts w:ascii="Cambria" w:hAnsi="Cambria"/>
          <w:sz w:val="22"/>
          <w:szCs w:val="22"/>
          <w:lang w:val="sk-SK" w:eastAsia="sk-SK"/>
        </w:rPr>
      </w:pPr>
      <w:bookmarkStart w:id="1" w:name="_Hlk116650819"/>
      <w:r w:rsidRPr="00DE4362">
        <w:rPr>
          <w:rFonts w:ascii="Cambria" w:hAnsi="Cambria"/>
          <w:sz w:val="22"/>
          <w:szCs w:val="22"/>
          <w:lang w:val="sk-SK" w:eastAsia="sk-SK"/>
        </w:rPr>
        <w:t>Podľa údajov o procese certifikácie Slovenskej asociácie procesného riadenia, ktoré sú uvedene na web stránke organizácie (</w:t>
      </w:r>
      <w:hyperlink r:id="rId11" w:history="1">
        <w:r w:rsidRPr="00DE4362">
          <w:rPr>
            <w:rStyle w:val="Hyperlink"/>
            <w:rFonts w:ascii="Cambria" w:hAnsi="Cambria"/>
            <w:sz w:val="22"/>
            <w:szCs w:val="22"/>
            <w:lang w:val="sk-SK" w:eastAsia="sk-SK"/>
          </w:rPr>
          <w:t>https://sapria.sk/sk/organizacie/certifikacia-procesnych-manazerov</w:t>
        </w:r>
      </w:hyperlink>
      <w:r w:rsidRPr="00DE4362">
        <w:rPr>
          <w:rFonts w:ascii="Cambria" w:hAnsi="Cambria"/>
          <w:sz w:val="22"/>
          <w:szCs w:val="22"/>
          <w:lang w:val="sk-SK" w:eastAsia="sk-SK"/>
        </w:rPr>
        <w:t xml:space="preserve"> ), komplexnú expertnú end-to-end znalosť modelovania a implementácie procesného modelu je možné formálne dosiahnuť len certifikáciou na úrovni „– Professional,“. Verejný obstarávateľ uzná platný certifikát SCBPM Professional ako ekvivalent platného certifikátu </w:t>
      </w:r>
      <w:r w:rsidRPr="00DE4362">
        <w:rPr>
          <w:rFonts w:ascii="Cambria" w:hAnsi="Cambria"/>
          <w:sz w:val="22"/>
          <w:szCs w:val="22"/>
          <w:lang w:val="sk-SK" w:eastAsia="sk-SK"/>
        </w:rPr>
        <w:br/>
        <w:t xml:space="preserve">v oblasti procesného riadenia na úrovni Expert, ktorý je požadovaný pri kľúčovom expertovi č. 2 – Senior procesný analytik,  pričom týmto rozširuje príkladný výpočet ekvivalentov uvedených certifikátov. </w:t>
      </w:r>
      <w:bookmarkEnd w:id="1"/>
      <w:r w:rsidRPr="00DE4362">
        <w:rPr>
          <w:rFonts w:ascii="Cambria" w:hAnsi="Cambria"/>
          <w:sz w:val="22"/>
          <w:szCs w:val="22"/>
          <w:lang w:val="sk-SK" w:eastAsia="sk-SK"/>
        </w:rPr>
        <w:t>Na základe vyššie uvedených skutočnosti nie je potrebné pre splnenie podmienok účasti uvedených v časti 35.1.2.1.2 súťažných podkladov predloženie aj certifikátu na úrovni Six Sigma Green Belt.</w:t>
      </w:r>
    </w:p>
    <w:p w14:paraId="229B5C55" w14:textId="3D31E1E6" w:rsidR="00A74BDD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5110134C" w14:textId="39F0084E" w:rsidR="00A74BDD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2D6256" w:rsidRPr="00DE4362">
        <w:rPr>
          <w:rFonts w:ascii="Cambria" w:hAnsi="Cambria"/>
          <w:b/>
          <w:sz w:val="22"/>
          <w:szCs w:val="22"/>
          <w:u w:val="single"/>
          <w:lang w:val="sk-SK"/>
        </w:rPr>
        <w:t>3</w:t>
      </w: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6CFE4D16" w14:textId="487B6BCE" w:rsidR="002D6256" w:rsidRPr="00DE4362" w:rsidRDefault="002D6256" w:rsidP="00DE4362">
      <w:pPr>
        <w:jc w:val="both"/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V súťažných podkladoch na predmet zákazky: Transformácia podporných služieb </w:t>
      </w: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br/>
        <w:t xml:space="preserve">v časti 35.1.2.1.4 požaduje verejný obstarávateľ, aby uchádzač predložil pri kľúčovom expertovi č. 4 - Senior produktový manažér  údaje,   z ktorých je   identifikovateľné  a preukázateľné splnenie </w:t>
      </w:r>
    </w:p>
    <w:p w14:paraId="72E02738" w14:textId="77777777" w:rsidR="002D6256" w:rsidRPr="00DE4362" w:rsidRDefault="002D6256" w:rsidP="00DE4362">
      <w:pPr>
        <w:jc w:val="both"/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>nasledujúcich požiadaviek:</w:t>
      </w:r>
    </w:p>
    <w:p w14:paraId="1C4D94A5" w14:textId="77777777" w:rsidR="002D6256" w:rsidRPr="00DE4362" w:rsidRDefault="002D6256" w:rsidP="00DE4362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mbria" w:hAnsi="Cambria" w:cs="Arial"/>
          <w:sz w:val="22"/>
          <w:szCs w:val="22"/>
          <w:lang w:val="sk-SK"/>
        </w:rPr>
      </w:pPr>
      <w:r w:rsidRPr="00DE4362">
        <w:rPr>
          <w:rFonts w:ascii="Cambria" w:hAnsi="Cambria" w:cs="Arial"/>
          <w:sz w:val="22"/>
          <w:szCs w:val="22"/>
          <w:lang w:val="sk-SK"/>
        </w:rPr>
        <w:t>má ukončené vysokoškolské vzdelanie minimálne 2. stupňa; túto podmienku účasti uchádzač preukáže kópiou dokladu o požadovanom vzdelaní;</w:t>
      </w:r>
    </w:p>
    <w:p w14:paraId="674C36CF" w14:textId="77777777" w:rsidR="002D6256" w:rsidRPr="00DE4362" w:rsidRDefault="002D6256" w:rsidP="00DE4362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mbria" w:hAnsi="Cambria" w:cs="Arial"/>
          <w:sz w:val="22"/>
          <w:szCs w:val="22"/>
          <w:lang w:val="sk-SK"/>
        </w:rPr>
      </w:pPr>
      <w:r w:rsidRPr="00DE4362">
        <w:rPr>
          <w:rFonts w:ascii="Cambria" w:hAnsi="Cambria" w:cs="Arial"/>
          <w:sz w:val="22"/>
          <w:szCs w:val="22"/>
          <w:lang w:val="sk-SK"/>
        </w:rPr>
        <w:t>má minimálne 10 rokov odbornej praxe, z toho minimálne 5 rokov v oblasti produktového manažmentu na pozícii riadiaceho pracovníka alebo senior produktového experta v projekte; túto podmienku účasti uchádzač preukáže profesijným životopisom;</w:t>
      </w:r>
    </w:p>
    <w:p w14:paraId="71DF9E3B" w14:textId="77777777" w:rsidR="002D6256" w:rsidRPr="00DE4362" w:rsidRDefault="002D6256" w:rsidP="00DE4362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mbria" w:hAnsi="Cambria" w:cs="Arial"/>
          <w:sz w:val="22"/>
          <w:szCs w:val="22"/>
          <w:lang w:val="sk-SK"/>
        </w:rPr>
      </w:pPr>
      <w:bookmarkStart w:id="2" w:name="_Hlk111724703"/>
      <w:r w:rsidRPr="00DE4362">
        <w:rPr>
          <w:rFonts w:ascii="Cambria" w:hAnsi="Cambria" w:cs="Arial"/>
          <w:sz w:val="22"/>
          <w:szCs w:val="22"/>
          <w:lang w:val="sk-SK"/>
        </w:rPr>
        <w:t>má minimálne jednu osobnú praktickú skúsenosť s realizáciou projektu   transformácie procesov v organizácii, ktorá zamestnáva aspoň 500 zamestnancov a  /transformácia procesov sa týkala minimálne 10 % jej pracovníkov, na pozícii produktového garanta/ experta pre produktový manažment za predchádzajúce 3 roky od vyhlásenia verejného obstarávania; túto podmienku účasti uchádzač preukáže profesijným životopisom;</w:t>
      </w:r>
    </w:p>
    <w:bookmarkEnd w:id="2"/>
    <w:p w14:paraId="2AC62104" w14:textId="77777777" w:rsidR="002D6256" w:rsidRPr="00DE4362" w:rsidRDefault="002D6256" w:rsidP="00DE4362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mbria" w:hAnsi="Cambria" w:cs="Arial"/>
          <w:sz w:val="22"/>
          <w:szCs w:val="22"/>
          <w:lang w:val="sk-SK"/>
        </w:rPr>
      </w:pPr>
      <w:r w:rsidRPr="00DE4362">
        <w:rPr>
          <w:rFonts w:ascii="Cambria" w:hAnsi="Cambria" w:cs="Arial"/>
          <w:sz w:val="22"/>
          <w:szCs w:val="22"/>
          <w:lang w:val="sk-SK"/>
        </w:rPr>
        <w:t xml:space="preserve">má znalosť anglického jazyka minimálne na úrovni B2 podľa Spoločného európskeho referenčného rámca pre jazykové znalosti; túto podmienku účasti uchádzač preukáže čestným vyhlásením. </w:t>
      </w:r>
    </w:p>
    <w:p w14:paraId="0DED595E" w14:textId="77777777" w:rsidR="002D6256" w:rsidRPr="00DE4362" w:rsidRDefault="002D6256" w:rsidP="00DE4362">
      <w:pPr>
        <w:jc w:val="both"/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>Zároveň v návrhu Zmluvy na dodanie diela – Transformácia podporných služieb NBS č. C-NBS1-000-076-078 v Prílohe 2 – Zoznam expertov zhotoviteľa určených na plnenie zmluvy a požiadavky na ich odbornú spôsobilosť je pre Kľúčového experta č. 4 – Senior produktový manažér, o. i. uvedené: „Expert musí spĺňať nasledujúce minimálne požiadavky:</w:t>
      </w:r>
    </w:p>
    <w:p w14:paraId="658A267D" w14:textId="77777777" w:rsidR="002D6256" w:rsidRPr="00DE4362" w:rsidRDefault="002D6256" w:rsidP="00DE4362">
      <w:pPr>
        <w:tabs>
          <w:tab w:val="left" w:pos="426"/>
        </w:tabs>
        <w:jc w:val="both"/>
        <w:rPr>
          <w:rFonts w:ascii="Cambria" w:eastAsiaTheme="minorHAnsi" w:hAnsi="Cambria" w:cs="Arial"/>
          <w:sz w:val="22"/>
          <w:szCs w:val="22"/>
          <w:lang w:val="sk-SK"/>
        </w:rPr>
      </w:pP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•    </w:t>
      </w:r>
      <w:r w:rsidRPr="00DE4362">
        <w:rPr>
          <w:rFonts w:ascii="Cambria" w:eastAsiaTheme="minorHAnsi" w:hAnsi="Cambria" w:cs="Arial"/>
          <w:sz w:val="22"/>
          <w:szCs w:val="22"/>
          <w:lang w:val="sk-SK"/>
        </w:rPr>
        <w:t>má ukončené vysokoškolské vzdelanie minimálne 2. stupňa; túto podmienku účasti uchádzač preukáže kópiou dokladu o požadovanom vzdelaní;</w:t>
      </w:r>
    </w:p>
    <w:p w14:paraId="7FF38437" w14:textId="77777777" w:rsidR="002D6256" w:rsidRPr="00DE4362" w:rsidRDefault="002D6256" w:rsidP="00DE4362">
      <w:pPr>
        <w:jc w:val="both"/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>• má minimálne 10 rokov odbornej praxe, z toho minimálne 5 rokov v oblasti projektového riadenia v projektoch ako projektový manažér; preukáže profesijným životopisom.</w:t>
      </w:r>
      <w:r w:rsidRPr="00DE4362">
        <w:rPr>
          <w:rFonts w:ascii="Cambria" w:eastAsiaTheme="minorHAnsi" w:hAnsi="Cambria" w:cs="Open Sans"/>
          <w:color w:val="333333"/>
          <w:sz w:val="22"/>
          <w:szCs w:val="22"/>
          <w:lang w:val="sk-SK"/>
        </w:rPr>
        <w:br/>
      </w: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>• je držiteľom platného certifikátu v oblasti projektového riadenia minimálne na úrovni PRINCE 2 Practitioner alebo iný obdobný ekvivalent (certifikát IPMA stupeň B, PMI CAPM na porovnateľnej  úrovni  ako   Prince 2  Practitioner);  túto   podmienku účasti   uchádzač preukáže</w:t>
      </w:r>
    </w:p>
    <w:p w14:paraId="3C242705" w14:textId="77777777" w:rsidR="002D6256" w:rsidRPr="00DE4362" w:rsidRDefault="002D6256" w:rsidP="00DE4362">
      <w:pPr>
        <w:jc w:val="both"/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>kópiou certifikátu.</w:t>
      </w:r>
    </w:p>
    <w:p w14:paraId="51F9BA2A" w14:textId="77777777" w:rsidR="002D6256" w:rsidRPr="00DE4362" w:rsidRDefault="002D6256" w:rsidP="00DE4362">
      <w:pPr>
        <w:jc w:val="both"/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</w:pP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t>• má minimálne jednu osobnú praktickú skúsenosť s riadením projektu migrácie/transformácie procesov v organizácii, ktorá zamestnáva aspoň 500 zamestnancov a migrácia/transformácia procesov sa týkala minimálne 10% jej pracovníkov, na pozícii projektového manažéra, prípadne v pozícii tzv. quality assurance manažéra za predchádzajúce 3 roky od vyhlásenia verejného obstarávania; túto podmienku účasti uchádzač u experta preukáže profesijným životopisom.</w:t>
      </w:r>
      <w:r w:rsidRPr="00DE4362">
        <w:rPr>
          <w:rFonts w:ascii="Cambria" w:eastAsiaTheme="minorHAnsi" w:hAnsi="Cambria" w:cs="Open Sans"/>
          <w:color w:val="333333"/>
          <w:sz w:val="22"/>
          <w:szCs w:val="22"/>
          <w:lang w:val="sk-SK"/>
        </w:rPr>
        <w:br/>
      </w:r>
      <w:r w:rsidRPr="00DE4362">
        <w:rPr>
          <w:rFonts w:ascii="Cambria" w:eastAsiaTheme="minorHAnsi" w:hAnsi="Cambria" w:cs="Open Sans"/>
          <w:color w:val="333333"/>
          <w:sz w:val="22"/>
          <w:szCs w:val="22"/>
          <w:shd w:val="clear" w:color="auto" w:fill="FFFFFF"/>
          <w:lang w:val="sk-SK"/>
        </w:rPr>
        <w:lastRenderedPageBreak/>
        <w:t>• má znalosť anglického jazyka minimálne na úrovni B2 podľa Spoločného európskeho referenčného rámca pre jazykové znalosti; preukazuje čestným vyhlásením.“</w:t>
      </w:r>
    </w:p>
    <w:p w14:paraId="7467C4CE" w14:textId="77777777" w:rsidR="002D6256" w:rsidRPr="00DE4362" w:rsidRDefault="002D6256" w:rsidP="00DE4362">
      <w:pPr>
        <w:jc w:val="both"/>
        <w:rPr>
          <w:rFonts w:ascii="Cambria" w:eastAsiaTheme="minorHAnsi" w:hAnsi="Cambria" w:cstheme="minorBidi"/>
          <w:sz w:val="22"/>
          <w:szCs w:val="22"/>
          <w:lang w:val="sk-SK"/>
        </w:rPr>
      </w:pPr>
    </w:p>
    <w:p w14:paraId="4BF61416" w14:textId="77777777" w:rsidR="002D6256" w:rsidRPr="00DE4362" w:rsidRDefault="002D6256" w:rsidP="00DE4362">
      <w:pPr>
        <w:jc w:val="both"/>
        <w:rPr>
          <w:rFonts w:ascii="Cambria" w:eastAsiaTheme="minorHAnsi" w:hAnsi="Cambria" w:cstheme="minorBidi"/>
          <w:sz w:val="22"/>
          <w:szCs w:val="22"/>
          <w:lang w:val="sk-SK"/>
        </w:rPr>
      </w:pP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t>Požaduje verejný obstarávateľ naplnenie požiadaviek na odbornú spôsobilosť Kľúčového experta č. 4 – Senior produktový manažér podľa súťažných podkladov na predmet zákazky: Transformácia podporných služieb v časti 35.1.2.1.4 alebo podľa návrhu Zmluvy na dodanie diela – Transformácia podporných služieb NBS č. C-NBS1-000-076-078 v Prílohe 2 – Zoznam expertov zhotoviteľa určených na plnenie zmluvy a požiadavky na ich odbornú spôsobilosť?</w:t>
      </w:r>
    </w:p>
    <w:p w14:paraId="056D17D2" w14:textId="77777777" w:rsidR="00A74BDD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Odpoveď:</w:t>
      </w:r>
    </w:p>
    <w:p w14:paraId="2260E985" w14:textId="0D177AD9" w:rsidR="000B6AFE" w:rsidRPr="00DE4362" w:rsidRDefault="00AA7C0F" w:rsidP="00DE4362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bCs/>
          <w:sz w:val="22"/>
          <w:szCs w:val="22"/>
          <w:lang w:val="sk-SK"/>
        </w:rPr>
        <w:t>Verejný obstarávateľ si týmto dovoľuje uviesť, že má požiadavky na odbornú spôsobilosť Kľúčového experta č. 4 – Senior produktový manažér podľa znenia súťažných podkladov k predmetnej zákazke uvedené v bode 35.1.2.1.4 súťažných podkladov a</w:t>
      </w:r>
      <w:r w:rsidR="00EC081C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 preto upravuje text </w:t>
      </w:r>
      <w:r w:rsidR="00EC081C" w:rsidRPr="00DE4362">
        <w:rPr>
          <w:rFonts w:ascii="Cambria" w:eastAsiaTheme="minorHAnsi" w:hAnsi="Cambria" w:cstheme="minorBidi"/>
          <w:sz w:val="22"/>
          <w:szCs w:val="22"/>
          <w:lang w:val="sk-SK"/>
        </w:rPr>
        <w:t xml:space="preserve">v Prílohe 2 </w:t>
      </w:r>
      <w:r w:rsidR="00EC081C" w:rsidRPr="00DE4362">
        <w:rPr>
          <w:rFonts w:ascii="Cambria" w:hAnsi="Cambria"/>
          <w:bCs/>
          <w:sz w:val="22"/>
          <w:szCs w:val="22"/>
          <w:lang w:val="sk-SK"/>
        </w:rPr>
        <w:t>–</w:t>
      </w:r>
      <w:r w:rsidR="00EC081C" w:rsidRPr="00DE4362">
        <w:rPr>
          <w:rFonts w:ascii="Cambria" w:eastAsiaTheme="minorHAnsi" w:hAnsi="Cambria" w:cstheme="minorBidi"/>
          <w:sz w:val="22"/>
          <w:szCs w:val="22"/>
          <w:lang w:val="sk-SK"/>
        </w:rPr>
        <w:t xml:space="preserve"> Zoznam expertov zhotoviteľa určených na plnenie zmluvy </w:t>
      </w:r>
      <w:r w:rsidR="00EC081C">
        <w:rPr>
          <w:rFonts w:ascii="Cambria" w:eastAsiaTheme="minorHAnsi" w:hAnsi="Cambria" w:cstheme="minorBidi"/>
          <w:sz w:val="22"/>
          <w:szCs w:val="22"/>
          <w:lang w:val="sk-SK"/>
        </w:rPr>
        <w:t xml:space="preserve"> </w:t>
      </w: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t>NBS č. C-NBS1-000-076-078 požiadavk</w:t>
      </w:r>
      <w:r w:rsidR="00EC081C">
        <w:rPr>
          <w:rFonts w:ascii="Cambria" w:eastAsiaTheme="minorHAnsi" w:hAnsi="Cambria" w:cstheme="minorBidi"/>
          <w:sz w:val="22"/>
          <w:szCs w:val="22"/>
          <w:lang w:val="sk-SK"/>
        </w:rPr>
        <w:t>y</w:t>
      </w: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t xml:space="preserve"> na odbornú spôsobilosť </w:t>
      </w:r>
      <w:r w:rsidRPr="00DE4362">
        <w:rPr>
          <w:rFonts w:ascii="Cambria" w:hAnsi="Cambria"/>
          <w:bCs/>
          <w:sz w:val="22"/>
          <w:szCs w:val="22"/>
          <w:lang w:val="sk-SK"/>
        </w:rPr>
        <w:t>Kľúčového experta č. 4 – Senior produktový manažér, a to tak, že sú súladné s tými, ktoré sú uvedené v bode 35.1.2.1.4 súťažných podkladov, pričom znejú:</w:t>
      </w:r>
      <w:r w:rsidRPr="00DE4362">
        <w:rPr>
          <w:rFonts w:ascii="Cambria" w:hAnsi="Cambria"/>
          <w:bCs/>
          <w:i/>
          <w:iCs/>
          <w:sz w:val="22"/>
          <w:szCs w:val="22"/>
          <w:lang w:val="sk-SK"/>
        </w:rPr>
        <w:t xml:space="preserve"> </w:t>
      </w:r>
      <w:r w:rsidR="000B6AFE" w:rsidRPr="00DE4362">
        <w:rPr>
          <w:rFonts w:ascii="Cambria" w:hAnsi="Cambria"/>
          <w:bCs/>
          <w:i/>
          <w:iCs/>
          <w:sz w:val="22"/>
          <w:szCs w:val="22"/>
          <w:lang w:val="sk-SK"/>
        </w:rPr>
        <w:t>„...</w:t>
      </w:r>
      <w:r w:rsidR="000B6AFE" w:rsidRPr="00DE4362">
        <w:rPr>
          <w:rFonts w:ascii="Cambria" w:hAnsi="Cambria" w:cstheme="minorHAnsi"/>
          <w:i/>
          <w:iCs/>
          <w:color w:val="000000"/>
          <w:sz w:val="22"/>
          <w:szCs w:val="22"/>
          <w:lang w:val="sk-SK"/>
        </w:rPr>
        <w:t xml:space="preserve">Expert musí spĺňať nasledujúce minimálne požiadavky: </w:t>
      </w:r>
    </w:p>
    <w:p w14:paraId="7AEB649C" w14:textId="2327F26F" w:rsidR="000B6AFE" w:rsidRPr="00DE4362" w:rsidRDefault="000B6AFE" w:rsidP="00DE43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 w:cstheme="minorHAnsi"/>
          <w:i/>
          <w:iCs/>
          <w:color w:val="000000"/>
        </w:rPr>
      </w:pPr>
      <w:r w:rsidRPr="00DE4362">
        <w:rPr>
          <w:rFonts w:ascii="Cambria" w:hAnsi="Cambria" w:cstheme="minorHAnsi"/>
          <w:i/>
          <w:iCs/>
          <w:color w:val="000000"/>
        </w:rPr>
        <w:t xml:space="preserve">má ukončené vysokoškolské vzdelanie min. 2. stupňa; preukazuje kópiou dokladu </w:t>
      </w:r>
      <w:r w:rsidR="00DE4362" w:rsidRPr="00DE4362">
        <w:rPr>
          <w:rFonts w:ascii="Cambria" w:hAnsi="Cambria" w:cstheme="minorHAnsi"/>
          <w:i/>
          <w:iCs/>
          <w:color w:val="000000"/>
        </w:rPr>
        <w:br/>
      </w:r>
      <w:r w:rsidRPr="00DE4362">
        <w:rPr>
          <w:rFonts w:ascii="Cambria" w:hAnsi="Cambria" w:cstheme="minorHAnsi"/>
          <w:i/>
          <w:iCs/>
          <w:color w:val="000000"/>
        </w:rPr>
        <w:t>o požadovanom vzdelaní.</w:t>
      </w:r>
    </w:p>
    <w:p w14:paraId="337FB7F3" w14:textId="77777777" w:rsidR="000B6AFE" w:rsidRPr="00DE4362" w:rsidRDefault="000B6AFE" w:rsidP="00DE43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 w:cstheme="minorHAnsi"/>
          <w:i/>
          <w:iCs/>
          <w:color w:val="000000"/>
        </w:rPr>
      </w:pPr>
      <w:r w:rsidRPr="00DE4362">
        <w:rPr>
          <w:rFonts w:ascii="Cambria" w:hAnsi="Cambria" w:cstheme="minorHAnsi"/>
          <w:i/>
          <w:iCs/>
          <w:color w:val="000000"/>
        </w:rPr>
        <w:t>má minimálne 10 rokov odbornej praxe, z toho minimálne 5 rokov v oblasti produktového manažmentu na pozícii riadiaceho pracovníka alebo senior produktového experta v projekte; túto podmienku preukazuje profesijným životopisom</w:t>
      </w:r>
    </w:p>
    <w:p w14:paraId="45C0A1BF" w14:textId="77777777" w:rsidR="000B6AFE" w:rsidRPr="00DE4362" w:rsidRDefault="000B6AFE" w:rsidP="00DE43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 w:cstheme="minorHAnsi"/>
          <w:i/>
          <w:iCs/>
          <w:color w:val="000000"/>
        </w:rPr>
      </w:pPr>
      <w:r w:rsidRPr="00DE4362">
        <w:rPr>
          <w:rFonts w:ascii="Cambria" w:hAnsi="Cambria" w:cstheme="minorHAnsi"/>
          <w:i/>
          <w:iCs/>
          <w:color w:val="000000"/>
        </w:rPr>
        <w:t>má minimálne jednu osobnú praktickú skúsenosť s realizáciou projektu   transformácie procesov v organizácii, ktorá zamestnáva aspoň 500 zamestnancov a  /transformácia procesov sa týkala minimálne 10 % jej pracovníkov, na pozícii produktového garanta/ experta pre produktový manažment za predchádzajúce 3 roky od vyhlásenia verejného obstarávania; túto podmienku účasti uchádzač preukáže profesijným životopisom;</w:t>
      </w:r>
    </w:p>
    <w:p w14:paraId="0A09E645" w14:textId="77777777" w:rsidR="000B6AFE" w:rsidRPr="00DE4362" w:rsidRDefault="000B6AFE" w:rsidP="00DE43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 w:cstheme="minorHAnsi"/>
          <w:i/>
          <w:iCs/>
          <w:color w:val="000000"/>
        </w:rPr>
      </w:pPr>
      <w:r w:rsidRPr="00DE4362">
        <w:rPr>
          <w:rFonts w:ascii="Cambria" w:hAnsi="Cambria" w:cstheme="minorHAnsi"/>
          <w:i/>
          <w:iCs/>
          <w:color w:val="000000"/>
        </w:rPr>
        <w:t xml:space="preserve">má znalosť anglického jazyka minimálne na úrovni B2 podľa Spoločného európskeho referenčného rámca pre jazykové znalosti; preukazuje čestným vyhlásením. </w:t>
      </w:r>
    </w:p>
    <w:p w14:paraId="38D39C4A" w14:textId="77777777" w:rsidR="000B6AFE" w:rsidRPr="00DE4362" w:rsidRDefault="000B6AFE" w:rsidP="00DE4362">
      <w:pPr>
        <w:tabs>
          <w:tab w:val="left" w:pos="284"/>
        </w:tabs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</w:p>
    <w:p w14:paraId="3DB41729" w14:textId="20148AD3" w:rsidR="00A74BDD" w:rsidRPr="00DE4362" w:rsidRDefault="000B6AFE" w:rsidP="00DE4362">
      <w:pPr>
        <w:tabs>
          <w:tab w:val="left" w:pos="284"/>
        </w:tabs>
        <w:jc w:val="both"/>
        <w:rPr>
          <w:rFonts w:ascii="Cambria" w:hAnsi="Cambria" w:cs="Arial"/>
          <w:i/>
          <w:iCs/>
          <w:sz w:val="22"/>
          <w:szCs w:val="22"/>
          <w:lang w:val="sk-SK"/>
        </w:rPr>
      </w:pPr>
      <w:r w:rsidRPr="00DE4362">
        <w:rPr>
          <w:rFonts w:ascii="Cambria" w:hAnsi="Cambria" w:cs="Arial"/>
          <w:i/>
          <w:iCs/>
          <w:sz w:val="22"/>
          <w:szCs w:val="22"/>
          <w:lang w:val="sk-SK"/>
        </w:rPr>
        <w:t>Kľúčový expert č. 4 je zodpovedný za vytvorenie komplexného produktového portfólia pre podporné služby, jeho zmluvného rámca (vrátene regulácie danej verejným obstarávaním) a detailných popisov jednotlivých služieb, vrátane cien, technických parametrov a rozhraní na jednotlivé procesy.”</w:t>
      </w:r>
      <w:r w:rsidR="00AA7C0F" w:rsidRPr="00DE4362">
        <w:rPr>
          <w:rFonts w:ascii="Cambria" w:hAnsi="Cambria"/>
          <w:i/>
          <w:iCs/>
          <w:sz w:val="22"/>
          <w:szCs w:val="22"/>
          <w:lang w:val="sk-SK"/>
        </w:rPr>
        <w:t xml:space="preserve"> </w:t>
      </w:r>
    </w:p>
    <w:p w14:paraId="359EA365" w14:textId="77777777" w:rsidR="001B6EDD" w:rsidRPr="00DE4362" w:rsidRDefault="001B6E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771138F7" w14:textId="22B93122" w:rsidR="00A74BDD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2D6256" w:rsidRPr="00DE4362">
        <w:rPr>
          <w:rFonts w:ascii="Cambria" w:hAnsi="Cambria"/>
          <w:b/>
          <w:sz w:val="22"/>
          <w:szCs w:val="22"/>
          <w:u w:val="single"/>
          <w:lang w:val="sk-SK"/>
        </w:rPr>
        <w:t>4</w:t>
      </w: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041F1872" w14:textId="77777777" w:rsidR="002D6256" w:rsidRPr="00DE4362" w:rsidRDefault="002D6256" w:rsidP="00DE4362">
      <w:pPr>
        <w:jc w:val="both"/>
        <w:rPr>
          <w:rFonts w:ascii="Cambria" w:eastAsiaTheme="minorHAnsi" w:hAnsi="Cambria" w:cstheme="minorBidi"/>
          <w:sz w:val="22"/>
          <w:szCs w:val="22"/>
          <w:lang w:val="sk-SK"/>
        </w:rPr>
      </w:pP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t>V súťažných podkladoch, v časti 37.9 Pravidlá na uplatnenie kritérií uviedol verejný obstarávateľ, “Maximálny počet akceptovateľných osobných praktických skúseností (PSE) kľúčových expertov je 1 na kľúčového experta.”</w:t>
      </w:r>
    </w:p>
    <w:p w14:paraId="37F97E6B" w14:textId="77777777" w:rsidR="002D6256" w:rsidRPr="00DE4362" w:rsidRDefault="002D6256" w:rsidP="00DE4362">
      <w:pPr>
        <w:jc w:val="both"/>
        <w:rPr>
          <w:rFonts w:ascii="Cambria" w:eastAsiaTheme="minorHAnsi" w:hAnsi="Cambria" w:cstheme="minorBidi"/>
          <w:sz w:val="22"/>
          <w:szCs w:val="22"/>
          <w:lang w:val="sk-SK"/>
        </w:rPr>
      </w:pP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t>Znamená to že bude započítaná max. jedna skúsenosť na experta? V rámci vyhodnotenia bude však potrebné akceptovať viac skúsenosti pre dosiahnutie vyššieho hodnotenia.</w:t>
      </w:r>
    </w:p>
    <w:p w14:paraId="390969F5" w14:textId="59D4895C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3932AF8D" w14:textId="4506FFF6" w:rsidR="00A74BDD" w:rsidRPr="00DE4362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Odpoveď:</w:t>
      </w:r>
    </w:p>
    <w:p w14:paraId="38964D3F" w14:textId="43EE5637" w:rsidR="00CC7F6A" w:rsidRPr="00DE4362" w:rsidRDefault="00CC7F6A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DE4362">
        <w:rPr>
          <w:rFonts w:ascii="Cambria" w:hAnsi="Cambria"/>
          <w:bCs/>
          <w:sz w:val="22"/>
          <w:szCs w:val="22"/>
          <w:lang w:val="sk-SK"/>
        </w:rPr>
        <w:t>V zmysle bodu 37.9 Pravidlá na uplatnenie kritérií časti A.3 KRITÉRIÁ NA VYHODNOTENIE PONÚK A PRAVIDLÁ ICH UPLATNENIA súťažných podkladov verejný obstarávateľ taxatívne stanovil</w:t>
      </w:r>
      <w:r w:rsidRPr="00DE4362">
        <w:rPr>
          <w:rFonts w:ascii="Cambria" w:hAnsi="Cambria"/>
          <w:bCs/>
          <w:i/>
          <w:iCs/>
          <w:sz w:val="22"/>
          <w:szCs w:val="22"/>
          <w:lang w:val="sk-SK"/>
        </w:rPr>
        <w:t>: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DE4362">
        <w:rPr>
          <w:rFonts w:ascii="Cambria" w:hAnsi="Cambria"/>
          <w:b/>
          <w:i/>
          <w:iCs/>
          <w:sz w:val="22"/>
          <w:szCs w:val="22"/>
          <w:lang w:val="sk-SK"/>
        </w:rPr>
        <w:t xml:space="preserve">„Maximálny počet </w:t>
      </w:r>
      <w:bookmarkStart w:id="3" w:name="_Hlk116631080"/>
      <w:r w:rsidRPr="00DE4362">
        <w:rPr>
          <w:rFonts w:ascii="Cambria" w:hAnsi="Cambria"/>
          <w:b/>
          <w:i/>
          <w:iCs/>
          <w:sz w:val="22"/>
          <w:szCs w:val="22"/>
          <w:lang w:val="sk-SK"/>
        </w:rPr>
        <w:t xml:space="preserve">akceptovateľných osobných praktických skúseností (PSE) kľúčových expertov </w:t>
      </w:r>
      <w:bookmarkEnd w:id="3"/>
      <w:r w:rsidRPr="00DE4362">
        <w:rPr>
          <w:rFonts w:ascii="Cambria" w:hAnsi="Cambria"/>
          <w:b/>
          <w:i/>
          <w:iCs/>
          <w:sz w:val="22"/>
          <w:szCs w:val="22"/>
          <w:lang w:val="sk-SK"/>
        </w:rPr>
        <w:t>je 1 na kľúčového experta</w:t>
      </w:r>
      <w:r w:rsidRPr="00DE4362">
        <w:rPr>
          <w:rFonts w:ascii="Cambria" w:hAnsi="Cambria"/>
          <w:bCs/>
          <w:sz w:val="22"/>
          <w:szCs w:val="22"/>
          <w:lang w:val="sk-SK"/>
        </w:rPr>
        <w:t>.“ Z tohto dôvodu pri vyhodnocovaní ponúk na základe kritéria č. 2 nebude akceptovať ďalšie osobné praktické skúseností kľúčových expertov.</w:t>
      </w:r>
    </w:p>
    <w:p w14:paraId="08DDA41D" w14:textId="39EDAEFF" w:rsidR="002D6256" w:rsidRPr="00DE4362" w:rsidRDefault="002D6256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171B87B6" w14:textId="0A9F96CA" w:rsidR="002D6256" w:rsidRPr="00DE4362" w:rsidRDefault="002D6256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CC7F6A" w:rsidRPr="00DE4362">
        <w:rPr>
          <w:rFonts w:ascii="Cambria" w:hAnsi="Cambria"/>
          <w:b/>
          <w:sz w:val="22"/>
          <w:szCs w:val="22"/>
          <w:u w:val="single"/>
          <w:lang w:val="sk-SK"/>
        </w:rPr>
        <w:t>5</w:t>
      </w: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53F9C431" w14:textId="77777777" w:rsidR="002D6256" w:rsidRPr="00DE4362" w:rsidRDefault="002D6256" w:rsidP="00DE4362">
      <w:pPr>
        <w:jc w:val="both"/>
        <w:rPr>
          <w:rFonts w:ascii="Cambria" w:eastAsiaTheme="minorHAnsi" w:hAnsi="Cambria" w:cstheme="minorBidi"/>
          <w:sz w:val="22"/>
          <w:szCs w:val="22"/>
          <w:lang w:val="sk-SK"/>
        </w:rPr>
      </w:pP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t>V súťažných podkladoch, v časti 37.9 Pravidlá na uplatnenie kritérií uviedol verejný obstarávateľ, “Celková bodová hodnota (CBH) pre výpočet hodnoty kritéria č. 2 danej ponuky je súčet bodov priradených kľúčovým expertom č. 1 až č. 6.”</w:t>
      </w:r>
    </w:p>
    <w:p w14:paraId="2FE86006" w14:textId="77777777" w:rsidR="002D6256" w:rsidRPr="00DE4362" w:rsidRDefault="002D6256" w:rsidP="00DE4362">
      <w:pPr>
        <w:jc w:val="both"/>
        <w:rPr>
          <w:rFonts w:ascii="Cambria" w:eastAsiaTheme="minorHAnsi" w:hAnsi="Cambria" w:cstheme="minorBidi"/>
          <w:sz w:val="22"/>
          <w:szCs w:val="22"/>
          <w:lang w:val="sk-SK"/>
        </w:rPr>
      </w:pP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t>Pri premenných CBHnávrh i a CBHmax - však už nie je jednoznačné kto a akým spôsobom ich určí.</w:t>
      </w:r>
    </w:p>
    <w:p w14:paraId="211385E1" w14:textId="00B87FF4" w:rsidR="002D6256" w:rsidRPr="00DE4362" w:rsidRDefault="002D6256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DE4362">
        <w:rPr>
          <w:rFonts w:ascii="Cambria" w:eastAsiaTheme="minorHAnsi" w:hAnsi="Cambria" w:cstheme="minorBidi"/>
          <w:sz w:val="22"/>
          <w:szCs w:val="22"/>
          <w:lang w:val="sk-SK"/>
        </w:rPr>
        <w:lastRenderedPageBreak/>
        <w:t>Mohol by Verejný obstarávateľ pre vylúčenie pochybností uviesť modelový príklad výpočtu hodnotenia, akým spôsobom majú byť určené tieto hodnoty v ponuke?</w:t>
      </w:r>
    </w:p>
    <w:p w14:paraId="0503CF06" w14:textId="1D10E2FB" w:rsidR="002D6256" w:rsidRPr="00DE4362" w:rsidRDefault="002D6256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Odpoveď:</w:t>
      </w:r>
    </w:p>
    <w:p w14:paraId="2BE07527" w14:textId="448DAA69" w:rsidR="00EB5A3F" w:rsidRPr="00DE4362" w:rsidRDefault="00EB5A3F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DE4362">
        <w:rPr>
          <w:rFonts w:ascii="Cambria" w:hAnsi="Cambria"/>
          <w:bCs/>
          <w:sz w:val="22"/>
          <w:szCs w:val="22"/>
          <w:lang w:val="sk-SK"/>
        </w:rPr>
        <w:t xml:space="preserve">V zmysle bodov  </w:t>
      </w:r>
      <w:bookmarkStart w:id="4" w:name="_Hlk116631405"/>
      <w:r w:rsidRPr="00DE4362">
        <w:rPr>
          <w:rFonts w:ascii="Cambria" w:hAnsi="Cambria"/>
          <w:bCs/>
          <w:sz w:val="22"/>
          <w:szCs w:val="22"/>
          <w:lang w:val="sk-SK"/>
        </w:rPr>
        <w:t xml:space="preserve">35.1.2.1.1 </w:t>
      </w:r>
      <w:bookmarkEnd w:id="4"/>
      <w:r w:rsidRPr="00DE4362">
        <w:rPr>
          <w:rFonts w:ascii="Cambria" w:hAnsi="Cambria"/>
          <w:bCs/>
          <w:sz w:val="22"/>
          <w:szCs w:val="22"/>
          <w:lang w:val="sk-SK"/>
        </w:rPr>
        <w:t xml:space="preserve">až </w:t>
      </w:r>
      <w:r w:rsidRPr="00DE4362">
        <w:rPr>
          <w:rFonts w:ascii="Cambria" w:hAnsi="Cambria"/>
          <w:bCs/>
          <w:sz w:val="22"/>
          <w:szCs w:val="22"/>
          <w:lang w:val="sk-SK"/>
        </w:rPr>
        <w:tab/>
        <w:t>35.1.2.1.6 súťažných podkladov uchádzač preukazuje ako jednu z podmienok účasti:  „</w:t>
      </w:r>
      <w:r w:rsidRPr="00DE4362">
        <w:rPr>
          <w:rFonts w:ascii="Cambria" w:hAnsi="Cambria"/>
          <w:b/>
          <w:i/>
          <w:iCs/>
          <w:sz w:val="22"/>
          <w:szCs w:val="22"/>
          <w:lang w:val="sk-SK"/>
        </w:rPr>
        <w:t xml:space="preserve">má minimálne jednu osobnú praktickú skúsenosť s realizáciou projektu   transformácie procesov v organizácii, ............ </w:t>
      </w:r>
      <w:bookmarkStart w:id="5" w:name="_Hlk116632049"/>
      <w:r w:rsidRPr="00DE4362">
        <w:rPr>
          <w:rFonts w:ascii="Cambria" w:hAnsi="Cambria"/>
          <w:b/>
          <w:i/>
          <w:iCs/>
          <w:sz w:val="22"/>
          <w:szCs w:val="22"/>
          <w:lang w:val="sk-SK"/>
        </w:rPr>
        <w:t>za predchádzajúce 3 roky od vyhlásenia verejného obstarávania</w:t>
      </w:r>
      <w:bookmarkEnd w:id="5"/>
      <w:r w:rsidRPr="00DE4362">
        <w:rPr>
          <w:rFonts w:ascii="Cambria" w:hAnsi="Cambria"/>
          <w:b/>
          <w:i/>
          <w:iCs/>
          <w:sz w:val="22"/>
          <w:szCs w:val="22"/>
          <w:lang w:val="sk-SK"/>
        </w:rPr>
        <w:t>; túto podmienku účasti uchádzač preukáže profesijným životopisom;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“. 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>V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 </w:t>
      </w:r>
      <w:bookmarkStart w:id="6" w:name="_Hlk116632125"/>
      <w:r w:rsidRPr="00DE4362">
        <w:rPr>
          <w:rFonts w:ascii="Cambria" w:hAnsi="Cambria"/>
          <w:bCs/>
          <w:sz w:val="22"/>
          <w:szCs w:val="22"/>
          <w:lang w:val="sk-SK"/>
        </w:rPr>
        <w:t>profesijných životopiso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>ch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 kľúčových expertov </w:t>
      </w:r>
      <w:bookmarkEnd w:id="6"/>
      <w:r w:rsidRPr="00DE4362">
        <w:rPr>
          <w:rFonts w:ascii="Cambria" w:hAnsi="Cambria"/>
          <w:bCs/>
          <w:sz w:val="22"/>
          <w:szCs w:val="22"/>
          <w:lang w:val="sk-SK"/>
        </w:rPr>
        <w:t xml:space="preserve">uchádzač uvedie ďalšiu osobnú praktickú skúsenosť 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 xml:space="preserve">kľúčových expertov 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spĺňajúcu všetky náležitosti príslušnej osobnú praktickú 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skúsenosť 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 xml:space="preserve">jednotlivých  kľúčových expertoch podľa bodov  35.1.2.1.1 až 35.1.2.1.6 súťažných podkladov </w:t>
      </w:r>
      <w:r w:rsidR="008A5D99" w:rsidRPr="00DE4362">
        <w:rPr>
          <w:rFonts w:ascii="Cambria" w:hAnsi="Cambria"/>
          <w:b/>
          <w:sz w:val="22"/>
          <w:szCs w:val="22"/>
          <w:lang w:val="sk-SK"/>
        </w:rPr>
        <w:t>za predchádzajúcich 5 rokov od vyhlásenia verejného obstarávania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>. Verejný obstarávateľ na základe posúdenia profesijných životopisov kľúčových expertov stanoví hodnotu CBH</w:t>
      </w:r>
      <w:r w:rsidR="008A5D99" w:rsidRPr="000015F4">
        <w:rPr>
          <w:rFonts w:ascii="Cambria" w:hAnsi="Cambria"/>
          <w:bCs/>
          <w:sz w:val="22"/>
          <w:szCs w:val="22"/>
          <w:vertAlign w:val="subscript"/>
          <w:lang w:val="sk-SK"/>
        </w:rPr>
        <w:t>návrh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 xml:space="preserve"> i posudzovanej ponuky uchádzača návrhu. CBH</w:t>
      </w:r>
      <w:r w:rsidR="008A5D99" w:rsidRPr="000015F4">
        <w:rPr>
          <w:rFonts w:ascii="Cambria" w:hAnsi="Cambria"/>
          <w:bCs/>
          <w:sz w:val="22"/>
          <w:szCs w:val="22"/>
          <w:vertAlign w:val="subscript"/>
          <w:lang w:val="sk-SK"/>
        </w:rPr>
        <w:t>max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 xml:space="preserve"> bude predstavovať najvyššiu hodnota zo všetkých CBH</w:t>
      </w:r>
      <w:r w:rsidR="008A5D99" w:rsidRPr="000015F4">
        <w:rPr>
          <w:rFonts w:ascii="Cambria" w:hAnsi="Cambria"/>
          <w:bCs/>
          <w:sz w:val="22"/>
          <w:szCs w:val="22"/>
          <w:vertAlign w:val="subscript"/>
          <w:lang w:val="sk-SK"/>
        </w:rPr>
        <w:t>návrh</w:t>
      </w:r>
      <w:r w:rsidR="008A5D99" w:rsidRPr="00DE4362">
        <w:rPr>
          <w:rFonts w:ascii="Cambria" w:hAnsi="Cambria"/>
          <w:bCs/>
          <w:sz w:val="22"/>
          <w:szCs w:val="22"/>
          <w:lang w:val="sk-SK"/>
        </w:rPr>
        <w:t xml:space="preserve"> i posudzovaných ponúk.</w:t>
      </w:r>
    </w:p>
    <w:p w14:paraId="6E5F4AE5" w14:textId="77777777" w:rsidR="002D6256" w:rsidRPr="00DE4362" w:rsidRDefault="002D6256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08FC3FB" w14:textId="68857C00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948FAF6" w14:textId="77777777" w:rsidR="00A74BDD" w:rsidRPr="00DE4362" w:rsidRDefault="00A74BDD" w:rsidP="00DE4362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63CB6EDA" w14:textId="0D68D1E5" w:rsidR="000B0A49" w:rsidRPr="00DE4362" w:rsidRDefault="000B0A49" w:rsidP="00DE4362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JUDr. Zora Vypušťáková</w:t>
      </w:r>
    </w:p>
    <w:p w14:paraId="0E689616" w14:textId="77777777" w:rsidR="000B0A49" w:rsidRPr="00DE4362" w:rsidRDefault="000B0A49" w:rsidP="00DE4362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riaditeľka</w:t>
      </w:r>
    </w:p>
    <w:p w14:paraId="5D528B41" w14:textId="77777777" w:rsidR="000B0A49" w:rsidRPr="00DE4362" w:rsidRDefault="000B0A49" w:rsidP="00DE4362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odbor hospodárskych služieb</w:t>
      </w:r>
    </w:p>
    <w:p w14:paraId="19D88FC6" w14:textId="77777777" w:rsidR="000B0A49" w:rsidRPr="00DE4362" w:rsidRDefault="000B0A49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D73C0" w14:textId="77777777" w:rsidR="00EB695E" w:rsidRPr="00DE4362" w:rsidRDefault="00EB695E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sectPr w:rsidR="00EB695E" w:rsidRPr="00DE4362" w:rsidSect="00200C4A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D33A" w14:textId="77777777" w:rsidR="001366B0" w:rsidRDefault="001366B0">
      <w:r>
        <w:separator/>
      </w:r>
    </w:p>
  </w:endnote>
  <w:endnote w:type="continuationSeparator" w:id="0">
    <w:p w14:paraId="69ED2D11" w14:textId="77777777" w:rsidR="001366B0" w:rsidRDefault="0013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1794" w14:textId="77777777" w:rsidR="001366B0" w:rsidRDefault="001366B0">
      <w:r>
        <w:separator/>
      </w:r>
    </w:p>
  </w:footnote>
  <w:footnote w:type="continuationSeparator" w:id="0">
    <w:p w14:paraId="4D30D8BB" w14:textId="77777777" w:rsidR="001366B0" w:rsidRDefault="0013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0C4D67"/>
    <w:multiLevelType w:val="hybridMultilevel"/>
    <w:tmpl w:val="063C7EBE"/>
    <w:lvl w:ilvl="0" w:tplc="05BA2BF6">
      <w:numFmt w:val="bullet"/>
      <w:lvlText w:val="•"/>
      <w:lvlJc w:val="left"/>
      <w:pPr>
        <w:ind w:left="2487" w:hanging="360"/>
      </w:pPr>
      <w:rPr>
        <w:rFonts w:ascii="Cambria" w:eastAsia="Times New Roman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D33FFA"/>
    <w:multiLevelType w:val="hybridMultilevel"/>
    <w:tmpl w:val="55B68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15F4"/>
    <w:rsid w:val="00003D8D"/>
    <w:rsid w:val="00011566"/>
    <w:rsid w:val="000121BB"/>
    <w:rsid w:val="00015556"/>
    <w:rsid w:val="00030550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B6AFE"/>
    <w:rsid w:val="000C56EA"/>
    <w:rsid w:val="000C602C"/>
    <w:rsid w:val="000D6E7E"/>
    <w:rsid w:val="000D7A51"/>
    <w:rsid w:val="000E3C30"/>
    <w:rsid w:val="000F00E7"/>
    <w:rsid w:val="001129A5"/>
    <w:rsid w:val="00125FC1"/>
    <w:rsid w:val="001331D7"/>
    <w:rsid w:val="001366B0"/>
    <w:rsid w:val="00136858"/>
    <w:rsid w:val="0014055F"/>
    <w:rsid w:val="00150181"/>
    <w:rsid w:val="0015182D"/>
    <w:rsid w:val="00152DBE"/>
    <w:rsid w:val="00192754"/>
    <w:rsid w:val="001A03F4"/>
    <w:rsid w:val="001B469A"/>
    <w:rsid w:val="001B6EDD"/>
    <w:rsid w:val="001E06B9"/>
    <w:rsid w:val="001E2E02"/>
    <w:rsid w:val="001F5339"/>
    <w:rsid w:val="001F5567"/>
    <w:rsid w:val="00200C4A"/>
    <w:rsid w:val="002211DB"/>
    <w:rsid w:val="00224A7B"/>
    <w:rsid w:val="002277BF"/>
    <w:rsid w:val="0023210A"/>
    <w:rsid w:val="0025232E"/>
    <w:rsid w:val="00253DAC"/>
    <w:rsid w:val="002712F0"/>
    <w:rsid w:val="00277A53"/>
    <w:rsid w:val="002909ED"/>
    <w:rsid w:val="002978A1"/>
    <w:rsid w:val="002A188A"/>
    <w:rsid w:val="002C416E"/>
    <w:rsid w:val="002C562C"/>
    <w:rsid w:val="002C5D99"/>
    <w:rsid w:val="002D101D"/>
    <w:rsid w:val="002D543C"/>
    <w:rsid w:val="002D6256"/>
    <w:rsid w:val="002E3524"/>
    <w:rsid w:val="00307026"/>
    <w:rsid w:val="00342B56"/>
    <w:rsid w:val="00366246"/>
    <w:rsid w:val="00382FFB"/>
    <w:rsid w:val="00392BA6"/>
    <w:rsid w:val="003A0C09"/>
    <w:rsid w:val="003A34ED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7163"/>
    <w:rsid w:val="004211A5"/>
    <w:rsid w:val="00424A9C"/>
    <w:rsid w:val="00431E57"/>
    <w:rsid w:val="00432DE7"/>
    <w:rsid w:val="004500E0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391F"/>
    <w:rsid w:val="004E5B97"/>
    <w:rsid w:val="004F45F6"/>
    <w:rsid w:val="004F53F6"/>
    <w:rsid w:val="00513587"/>
    <w:rsid w:val="00526F7D"/>
    <w:rsid w:val="00527AC3"/>
    <w:rsid w:val="00532E06"/>
    <w:rsid w:val="00534C5B"/>
    <w:rsid w:val="005522F4"/>
    <w:rsid w:val="005845D2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2E7E"/>
    <w:rsid w:val="005E3440"/>
    <w:rsid w:val="005F4847"/>
    <w:rsid w:val="005F5601"/>
    <w:rsid w:val="00605D22"/>
    <w:rsid w:val="00606CF8"/>
    <w:rsid w:val="00607B3B"/>
    <w:rsid w:val="006107B1"/>
    <w:rsid w:val="00630DAB"/>
    <w:rsid w:val="00630F93"/>
    <w:rsid w:val="00632AD2"/>
    <w:rsid w:val="00637EBC"/>
    <w:rsid w:val="00650815"/>
    <w:rsid w:val="00682367"/>
    <w:rsid w:val="00692356"/>
    <w:rsid w:val="006B433A"/>
    <w:rsid w:val="006C7123"/>
    <w:rsid w:val="006D520C"/>
    <w:rsid w:val="006D75DC"/>
    <w:rsid w:val="006E6AB0"/>
    <w:rsid w:val="006F30AB"/>
    <w:rsid w:val="006F3DC6"/>
    <w:rsid w:val="00711B9E"/>
    <w:rsid w:val="007143C1"/>
    <w:rsid w:val="0073205E"/>
    <w:rsid w:val="00733B71"/>
    <w:rsid w:val="00734CCE"/>
    <w:rsid w:val="00745BDF"/>
    <w:rsid w:val="0075503B"/>
    <w:rsid w:val="0075713B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F0455"/>
    <w:rsid w:val="0080701A"/>
    <w:rsid w:val="00816F8E"/>
    <w:rsid w:val="008378F6"/>
    <w:rsid w:val="008407AE"/>
    <w:rsid w:val="0085010A"/>
    <w:rsid w:val="008653A8"/>
    <w:rsid w:val="008662A3"/>
    <w:rsid w:val="00866570"/>
    <w:rsid w:val="008761BA"/>
    <w:rsid w:val="00891BCE"/>
    <w:rsid w:val="008A5D99"/>
    <w:rsid w:val="008B34EF"/>
    <w:rsid w:val="008C01B9"/>
    <w:rsid w:val="008D6ECF"/>
    <w:rsid w:val="0090793B"/>
    <w:rsid w:val="00921161"/>
    <w:rsid w:val="00921B13"/>
    <w:rsid w:val="00923673"/>
    <w:rsid w:val="009462ED"/>
    <w:rsid w:val="00950463"/>
    <w:rsid w:val="00981F06"/>
    <w:rsid w:val="009A55DD"/>
    <w:rsid w:val="009B1CA2"/>
    <w:rsid w:val="009F0EE6"/>
    <w:rsid w:val="00A05500"/>
    <w:rsid w:val="00A05A30"/>
    <w:rsid w:val="00A11826"/>
    <w:rsid w:val="00A24146"/>
    <w:rsid w:val="00A256DC"/>
    <w:rsid w:val="00A344E3"/>
    <w:rsid w:val="00A4059C"/>
    <w:rsid w:val="00A448B6"/>
    <w:rsid w:val="00A45304"/>
    <w:rsid w:val="00A55FBF"/>
    <w:rsid w:val="00A62D35"/>
    <w:rsid w:val="00A636C6"/>
    <w:rsid w:val="00A74BDD"/>
    <w:rsid w:val="00A75FED"/>
    <w:rsid w:val="00A770C6"/>
    <w:rsid w:val="00A87068"/>
    <w:rsid w:val="00A96C55"/>
    <w:rsid w:val="00AA7C0F"/>
    <w:rsid w:val="00AC1148"/>
    <w:rsid w:val="00AC450A"/>
    <w:rsid w:val="00AD26E4"/>
    <w:rsid w:val="00AD7FB8"/>
    <w:rsid w:val="00AE16F4"/>
    <w:rsid w:val="00AF1144"/>
    <w:rsid w:val="00AF5FE7"/>
    <w:rsid w:val="00B00D0A"/>
    <w:rsid w:val="00B060A4"/>
    <w:rsid w:val="00B23E2A"/>
    <w:rsid w:val="00B36B47"/>
    <w:rsid w:val="00B36E02"/>
    <w:rsid w:val="00B55BF0"/>
    <w:rsid w:val="00B66DB9"/>
    <w:rsid w:val="00B67CAC"/>
    <w:rsid w:val="00B81407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64B17"/>
    <w:rsid w:val="00C70AFE"/>
    <w:rsid w:val="00C71695"/>
    <w:rsid w:val="00C86B35"/>
    <w:rsid w:val="00C87B3E"/>
    <w:rsid w:val="00C91A45"/>
    <w:rsid w:val="00CA0DDA"/>
    <w:rsid w:val="00CA40A4"/>
    <w:rsid w:val="00CC6FF4"/>
    <w:rsid w:val="00CC7F6A"/>
    <w:rsid w:val="00CF2F80"/>
    <w:rsid w:val="00D04671"/>
    <w:rsid w:val="00D22C9A"/>
    <w:rsid w:val="00D37B19"/>
    <w:rsid w:val="00D61284"/>
    <w:rsid w:val="00D6449D"/>
    <w:rsid w:val="00D66DB0"/>
    <w:rsid w:val="00D82D6B"/>
    <w:rsid w:val="00DA45EC"/>
    <w:rsid w:val="00DD5E91"/>
    <w:rsid w:val="00DE4362"/>
    <w:rsid w:val="00DF0328"/>
    <w:rsid w:val="00DF246F"/>
    <w:rsid w:val="00DF54FC"/>
    <w:rsid w:val="00E05F46"/>
    <w:rsid w:val="00E10433"/>
    <w:rsid w:val="00E11129"/>
    <w:rsid w:val="00E113A2"/>
    <w:rsid w:val="00E12149"/>
    <w:rsid w:val="00E22DC1"/>
    <w:rsid w:val="00E3020F"/>
    <w:rsid w:val="00E4172C"/>
    <w:rsid w:val="00E44B30"/>
    <w:rsid w:val="00E50AD2"/>
    <w:rsid w:val="00E6446D"/>
    <w:rsid w:val="00E71C8D"/>
    <w:rsid w:val="00E75932"/>
    <w:rsid w:val="00E800E4"/>
    <w:rsid w:val="00E80FBB"/>
    <w:rsid w:val="00E86E62"/>
    <w:rsid w:val="00E976AC"/>
    <w:rsid w:val="00EA6F3B"/>
    <w:rsid w:val="00EB5A3F"/>
    <w:rsid w:val="00EB695E"/>
    <w:rsid w:val="00EB7CDD"/>
    <w:rsid w:val="00EC081C"/>
    <w:rsid w:val="00EC42D7"/>
    <w:rsid w:val="00EE0D3D"/>
    <w:rsid w:val="00EE6EFA"/>
    <w:rsid w:val="00F02071"/>
    <w:rsid w:val="00F054B4"/>
    <w:rsid w:val="00F17FF8"/>
    <w:rsid w:val="00F24726"/>
    <w:rsid w:val="00F251C0"/>
    <w:rsid w:val="00F27541"/>
    <w:rsid w:val="00F34EED"/>
    <w:rsid w:val="00F3571C"/>
    <w:rsid w:val="00F37AB1"/>
    <w:rsid w:val="00F65D06"/>
    <w:rsid w:val="00F66D5F"/>
    <w:rsid w:val="00F92C48"/>
    <w:rsid w:val="00F95786"/>
    <w:rsid w:val="00FB7831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D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aliases w:val="Odsek zoznamu2,ODRAZKY PRVA UROVEN,body,List Paragraph1,Odsek,Odsek zoznamu1,bullet,Bullet Number,lp1,lp11,List Paragraph11,Use Case List Paragraph,Bulleted Text,Bullet List,List Paragraph2,Bullet edison,List Paragraph3,List Paragraph4,b1"/>
    <w:basedOn w:val="Normal"/>
    <w:link w:val="ListParagraphChar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AA7C0F"/>
    <w:pPr>
      <w:jc w:val="center"/>
    </w:pPr>
    <w:rPr>
      <w:rFonts w:ascii="Arial" w:hAnsi="Arial" w:cs="Arial"/>
      <w:lang w:val="sk-SK" w:eastAsia="sk-SK"/>
    </w:rPr>
  </w:style>
  <w:style w:type="character" w:customStyle="1" w:styleId="TitleChar">
    <w:name w:val="Title Char"/>
    <w:basedOn w:val="DefaultParagraphFont"/>
    <w:link w:val="Title"/>
    <w:rsid w:val="00AA7C0F"/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Odsek zoznamu2 Char,ODRAZKY PRVA UROVEN Char,body Char,List Paragraph1 Char,Odsek Char,Odsek zoznamu1 Char,bullet Char,Bullet Number Char,lp1 Char,lp11 Char,List Paragraph11 Char,Use Case List Paragraph Char,Bulleted Text Char"/>
    <w:basedOn w:val="DefaultParagraphFont"/>
    <w:link w:val="ListParagraph"/>
    <w:uiPriority w:val="34"/>
    <w:qFormat/>
    <w:locked/>
    <w:rsid w:val="000B6A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pria.sk/sk/organizacie/certifikacia-procesnych-manazer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sapria.sk/sk/organizacie/certifikacia-procesnych-manazer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2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1848</Words>
  <Characters>10534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4</cp:revision>
  <cp:lastPrinted>2018-11-19T09:58:00Z</cp:lastPrinted>
  <dcterms:created xsi:type="dcterms:W3CDTF">2022-10-17T07:15:00Z</dcterms:created>
  <dcterms:modified xsi:type="dcterms:W3CDTF">2022-10-17T08:33:00Z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