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E008" w14:textId="77777777" w:rsidR="000118EC" w:rsidRDefault="000118EC" w:rsidP="006975F9">
      <w:pPr>
        <w:pStyle w:val="Title"/>
      </w:pPr>
      <w:bookmarkStart w:id="0" w:name="_Toc234050233"/>
      <w:bookmarkStart w:id="1" w:name="_Toc242763023"/>
    </w:p>
    <w:p w14:paraId="5B0F4041" w14:textId="4FEAAEE3" w:rsidR="000118EC" w:rsidRDefault="000118EC" w:rsidP="000118EC">
      <w:pPr>
        <w:pStyle w:val="Title"/>
        <w:jc w:val="left"/>
        <w:rPr>
          <w:sz w:val="20"/>
        </w:rPr>
      </w:pPr>
      <w:r w:rsidRPr="000118EC">
        <w:rPr>
          <w:sz w:val="20"/>
        </w:rPr>
        <w:t>Príloha č. 1</w:t>
      </w:r>
    </w:p>
    <w:p w14:paraId="79442622" w14:textId="77777777" w:rsidR="008A673F" w:rsidRPr="000118EC" w:rsidRDefault="008A673F" w:rsidP="000118EC">
      <w:pPr>
        <w:pStyle w:val="Title"/>
        <w:jc w:val="left"/>
        <w:rPr>
          <w:sz w:val="20"/>
        </w:rPr>
      </w:pPr>
    </w:p>
    <w:p w14:paraId="0CDEA110" w14:textId="325E6219" w:rsidR="006975F9" w:rsidRPr="000C2C04" w:rsidRDefault="000118EC" w:rsidP="006975F9">
      <w:pPr>
        <w:pStyle w:val="Title"/>
        <w:rPr>
          <w:szCs w:val="24"/>
        </w:rPr>
      </w:pPr>
      <w:r w:rsidRPr="000C2C04">
        <w:rPr>
          <w:szCs w:val="24"/>
        </w:rPr>
        <w:t xml:space="preserve">Opis predmetu zákazky </w:t>
      </w:r>
    </w:p>
    <w:p w14:paraId="53D59FCE" w14:textId="77777777" w:rsidR="006975F9" w:rsidRPr="00E84AF8" w:rsidRDefault="006975F9" w:rsidP="006975F9">
      <w:pPr>
        <w:pStyle w:val="H1"/>
        <w:numPr>
          <w:ilvl w:val="0"/>
          <w:numId w:val="0"/>
        </w:numPr>
        <w:ind w:left="360" w:hanging="360"/>
      </w:pPr>
      <w:r w:rsidRPr="00E84AF8">
        <w:t>1</w:t>
      </w:r>
      <w:r w:rsidRPr="00E84AF8">
        <w:tab/>
        <w:t>Predmet zákazky</w:t>
      </w:r>
      <w:bookmarkEnd w:id="0"/>
      <w:bookmarkEnd w:id="1"/>
    </w:p>
    <w:p w14:paraId="45607621" w14:textId="44DA1144" w:rsidR="006975F9" w:rsidRPr="00E84AF8" w:rsidRDefault="006975F9" w:rsidP="006975F9">
      <w:r w:rsidRPr="00E84AF8">
        <w:t xml:space="preserve">Názov predmetu zákazky: </w:t>
      </w:r>
      <w:r w:rsidRPr="00E84AF8">
        <w:rPr>
          <w:b/>
        </w:rPr>
        <w:t>Bezpečnostné testovanie</w:t>
      </w:r>
      <w:r w:rsidR="00087C93">
        <w:rPr>
          <w:b/>
        </w:rPr>
        <w:t xml:space="preserve"> IS C</w:t>
      </w:r>
      <w:r w:rsidR="00BC6B2D">
        <w:rPr>
          <w:b/>
        </w:rPr>
        <w:t>I</w:t>
      </w:r>
      <w:r w:rsidR="00087C93">
        <w:rPr>
          <w:b/>
        </w:rPr>
        <w:t>D</w:t>
      </w:r>
    </w:p>
    <w:p w14:paraId="5632ADB8" w14:textId="77777777" w:rsidR="00087C93" w:rsidRPr="00C95630" w:rsidRDefault="00087C93" w:rsidP="00087C93">
      <w:pPr>
        <w:pStyle w:val="H1"/>
        <w:numPr>
          <w:ilvl w:val="0"/>
          <w:numId w:val="0"/>
        </w:numPr>
        <w:ind w:left="360" w:hanging="360"/>
      </w:pPr>
      <w:r w:rsidRPr="00C95630">
        <w:t>2</w:t>
      </w:r>
      <w:r w:rsidRPr="00C95630">
        <w:tab/>
        <w:t xml:space="preserve">Opis predmetu zákazky </w:t>
      </w:r>
    </w:p>
    <w:p w14:paraId="713F483A" w14:textId="77777777" w:rsidR="00087C93" w:rsidRPr="00C95630" w:rsidRDefault="00087C93" w:rsidP="00087C93">
      <w:r w:rsidRPr="00C95630">
        <w:t>2.1</w:t>
      </w:r>
      <w:r w:rsidRPr="00C95630">
        <w:tab/>
      </w:r>
      <w:r w:rsidRPr="00C95630">
        <w:rPr>
          <w:b/>
        </w:rPr>
        <w:t>Informácie o infraštruktúre obstarávateľa potrebné pre ocenenie prác:</w:t>
      </w:r>
      <w:r w:rsidRPr="00C95630">
        <w:t xml:space="preserve"> </w:t>
      </w:r>
    </w:p>
    <w:p w14:paraId="23C2D7DA" w14:textId="77777777" w:rsidR="00087C93" w:rsidRPr="00C95630" w:rsidRDefault="00087C93" w:rsidP="00087C93">
      <w:pPr>
        <w:ind w:left="705" w:hanging="705"/>
      </w:pPr>
      <w:r w:rsidRPr="00C95630">
        <w:t>2.1.1</w:t>
      </w:r>
      <w:r w:rsidRPr="00C95630">
        <w:tab/>
        <w:t>Lokalita, v ktorej bude testovanie prebiehať: ústredie NBS (ul. Imricha Karvaša 1, Bratislava).</w:t>
      </w:r>
    </w:p>
    <w:p w14:paraId="04DF8690" w14:textId="77777777" w:rsidR="00087C93" w:rsidRDefault="00087C93" w:rsidP="00087C93">
      <w:pPr>
        <w:ind w:left="705" w:hanging="705"/>
      </w:pPr>
      <w:r w:rsidRPr="00C95630">
        <w:t>2.1.2</w:t>
      </w:r>
      <w:r w:rsidRPr="00C95630">
        <w:tab/>
        <w:t xml:space="preserve">Testovaný systém: IS </w:t>
      </w:r>
      <w:r>
        <w:t>CID</w:t>
      </w:r>
    </w:p>
    <w:p w14:paraId="0E39F6EA" w14:textId="77777777" w:rsidR="00087C93" w:rsidRDefault="00087C93" w:rsidP="00087C93">
      <w:pPr>
        <w:ind w:left="705" w:hanging="705"/>
      </w:pPr>
      <w:r w:rsidRPr="00C95630">
        <w:t>2.1.</w:t>
      </w:r>
      <w:r>
        <w:t>3</w:t>
      </w:r>
      <w:r w:rsidRPr="00C95630">
        <w:tab/>
        <w:t xml:space="preserve">Používatelia: </w:t>
      </w:r>
    </w:p>
    <w:p w14:paraId="60C2361D" w14:textId="77777777" w:rsidR="00087C93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interní zamestnanci</w:t>
      </w:r>
      <w:r>
        <w:t xml:space="preserve"> NBS</w:t>
      </w:r>
      <w:r w:rsidRPr="00C95630">
        <w:t xml:space="preserve">, </w:t>
      </w:r>
    </w:p>
    <w:p w14:paraId="15A2DED7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>
        <w:t xml:space="preserve">obmedzený počet </w:t>
      </w:r>
      <w:r w:rsidRPr="00C95630">
        <w:t>extern</w:t>
      </w:r>
      <w:r>
        <w:t>ých</w:t>
      </w:r>
      <w:r w:rsidRPr="00C95630">
        <w:t xml:space="preserve"> používate</w:t>
      </w:r>
      <w:r>
        <w:t>ľov</w:t>
      </w:r>
      <w:r w:rsidRPr="00C95630">
        <w:t xml:space="preserve"> (</w:t>
      </w:r>
      <w:r>
        <w:t>pracovníci v bankách v SR</w:t>
      </w:r>
      <w:r w:rsidRPr="00C95630">
        <w:t>)</w:t>
      </w:r>
    </w:p>
    <w:p w14:paraId="244B8B97" w14:textId="7CD53E52" w:rsidR="00087C93" w:rsidRPr="00C95630" w:rsidRDefault="00087C93" w:rsidP="00087C93">
      <w:r w:rsidRPr="00C95630">
        <w:t>2.1.</w:t>
      </w:r>
      <w:r>
        <w:t>4</w:t>
      </w:r>
      <w:r w:rsidRPr="00C95630">
        <w:tab/>
        <w:t>Používateľské rol</w:t>
      </w:r>
      <w:r w:rsidR="000C2C04">
        <w:t>e</w:t>
      </w:r>
      <w:bookmarkStart w:id="2" w:name="_GoBack"/>
      <w:bookmarkEnd w:id="2"/>
      <w:r w:rsidRPr="00C95630">
        <w:t xml:space="preserve">: </w:t>
      </w:r>
      <w:r>
        <w:t>6</w:t>
      </w:r>
    </w:p>
    <w:p w14:paraId="0136DD27" w14:textId="77777777" w:rsidR="00087C93" w:rsidRDefault="00087C93" w:rsidP="00087C93">
      <w:pPr>
        <w:ind w:left="705" w:hanging="705"/>
      </w:pPr>
      <w:r>
        <w:rPr>
          <w:lang w:val="en-US"/>
        </w:rPr>
        <w:t>2.1.5</w:t>
      </w:r>
      <w:r>
        <w:rPr>
          <w:lang w:val="en-US"/>
        </w:rPr>
        <w:tab/>
      </w:r>
      <w:r w:rsidRPr="00C95630">
        <w:t xml:space="preserve">Aplikačný server: </w:t>
      </w:r>
      <w:r>
        <w:t>1 (t</w:t>
      </w:r>
      <w:r>
        <w:rPr>
          <w:lang w:val="en-US"/>
        </w:rPr>
        <w:t>echno</w:t>
      </w:r>
      <w:r>
        <w:t>lógie: Linux</w:t>
      </w:r>
      <w:r w:rsidRPr="00C95630">
        <w:t xml:space="preserve">, Apache, </w:t>
      </w:r>
      <w:r>
        <w:t>Tomcat, Java)</w:t>
      </w:r>
    </w:p>
    <w:p w14:paraId="30CEC49C" w14:textId="77777777" w:rsidR="00087C93" w:rsidRPr="00C95630" w:rsidRDefault="00087C93" w:rsidP="00087C93">
      <w:pPr>
        <w:ind w:left="705" w:hanging="705"/>
      </w:pPr>
      <w:r>
        <w:t>2.1.6</w:t>
      </w:r>
      <w:r>
        <w:tab/>
      </w:r>
      <w:r w:rsidRPr="00C95630">
        <w:t>Web rozhranie pre používateľov</w:t>
      </w:r>
    </w:p>
    <w:p w14:paraId="07596B4B" w14:textId="77777777" w:rsidR="00087C93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TLS komunikačný kanál</w:t>
      </w:r>
    </w:p>
    <w:p w14:paraId="0C75DA54" w14:textId="77777777" w:rsidR="00087C93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>
        <w:t>Dvojfaktorová autentifikácia (heslo, používateľský certifikát v TLS)</w:t>
      </w:r>
    </w:p>
    <w:p w14:paraId="20457B95" w14:textId="77777777" w:rsidR="00087C93" w:rsidRPr="0014280A" w:rsidRDefault="00087C93" w:rsidP="00087C93">
      <w:pPr>
        <w:autoSpaceDE w:val="0"/>
        <w:autoSpaceDN w:val="0"/>
        <w:adjustRightInd w:val="0"/>
        <w:ind w:left="705" w:hanging="705"/>
      </w:pPr>
      <w:r w:rsidRPr="0014280A">
        <w:t>2.1.7</w:t>
      </w:r>
      <w:r w:rsidRPr="0014280A">
        <w:tab/>
        <w:t xml:space="preserve">Hlavné funkčné moduly (v zátvorke je uvedený približný počet stránok, pričom nie všetky stránky sú prístupné pre všetky roly a funkčnosť stránky môže závisieť </w:t>
      </w:r>
      <w:r>
        <w:t>od</w:t>
      </w:r>
      <w:r w:rsidRPr="0014280A">
        <w:t xml:space="preserve"> </w:t>
      </w:r>
      <w:r>
        <w:t xml:space="preserve">konkrétnej </w:t>
      </w:r>
      <w:r w:rsidRPr="0014280A">
        <w:t>rol</w:t>
      </w:r>
      <w:r>
        <w:t>e</w:t>
      </w:r>
      <w:r w:rsidRPr="0014280A">
        <w:t xml:space="preserve"> požívateľa):</w:t>
      </w:r>
    </w:p>
    <w:p w14:paraId="24A2C1A9" w14:textId="77777777" w:rsidR="00087C93" w:rsidRPr="0014280A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14280A">
        <w:rPr>
          <w:rFonts w:ascii="Helv" w:hAnsi="Helv" w:cs="Helv"/>
          <w:szCs w:val="20"/>
        </w:rPr>
        <w:t>správa identifikátora Cid</w:t>
      </w:r>
      <w:r w:rsidRPr="0014280A">
        <w:t xml:space="preserve"> (cca. 10)</w:t>
      </w:r>
    </w:p>
    <w:p w14:paraId="12EC26E8" w14:textId="77777777" w:rsidR="00087C93" w:rsidRPr="0014280A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14280A">
        <w:rPr>
          <w:rFonts w:ascii="Helv" w:hAnsi="Helv" w:cs="Helv"/>
          <w:szCs w:val="20"/>
        </w:rPr>
        <w:t xml:space="preserve">správa používateľov </w:t>
      </w:r>
      <w:r w:rsidRPr="0014280A">
        <w:t>(cca. 6)</w:t>
      </w:r>
    </w:p>
    <w:p w14:paraId="089D5E73" w14:textId="77777777" w:rsidR="00087C93" w:rsidRPr="0014280A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14280A">
        <w:rPr>
          <w:rFonts w:ascii="Helv" w:hAnsi="Helv" w:cs="Helv"/>
          <w:szCs w:val="20"/>
        </w:rPr>
        <w:t xml:space="preserve">správa parametrov </w:t>
      </w:r>
      <w:r w:rsidRPr="0014280A">
        <w:t>(cca. 1)</w:t>
      </w:r>
    </w:p>
    <w:p w14:paraId="183D1A8A" w14:textId="77777777" w:rsidR="00087C93" w:rsidRPr="0014280A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14280A">
        <w:t>správa číselníkov (cca. 5)</w:t>
      </w:r>
    </w:p>
    <w:p w14:paraId="7B2FD72A" w14:textId="77777777" w:rsidR="00087C93" w:rsidRPr="0014280A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14280A">
        <w:rPr>
          <w:rFonts w:ascii="Helv" w:hAnsi="Helv" w:cs="Helv"/>
          <w:szCs w:val="20"/>
        </w:rPr>
        <w:t xml:space="preserve">žurnál udalostí </w:t>
      </w:r>
      <w:r w:rsidRPr="0014280A">
        <w:t>(cca. 2)</w:t>
      </w:r>
    </w:p>
    <w:p w14:paraId="755E6333" w14:textId="77777777" w:rsidR="00087C93" w:rsidRPr="0014280A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14280A">
        <w:rPr>
          <w:rFonts w:ascii="Helv" w:hAnsi="Helv" w:cs="Helv"/>
          <w:szCs w:val="20"/>
        </w:rPr>
        <w:t xml:space="preserve">prihlasovanie </w:t>
      </w:r>
      <w:r w:rsidRPr="0014280A">
        <w:t>(cca. 3)</w:t>
      </w:r>
    </w:p>
    <w:p w14:paraId="41108434" w14:textId="77777777" w:rsidR="00087C93" w:rsidRPr="0014280A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14280A">
        <w:rPr>
          <w:rFonts w:ascii="Helv" w:hAnsi="Helv" w:cs="Helv"/>
          <w:szCs w:val="20"/>
        </w:rPr>
        <w:t xml:space="preserve">zostavy </w:t>
      </w:r>
      <w:r w:rsidRPr="0014280A">
        <w:t>(cca. 10)</w:t>
      </w:r>
    </w:p>
    <w:p w14:paraId="31AC8F4A" w14:textId="77777777" w:rsidR="00087C93" w:rsidRPr="0014280A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14280A">
        <w:t>inde nezaradené prehľady (cca. 5)</w:t>
      </w:r>
    </w:p>
    <w:p w14:paraId="4401DFE7" w14:textId="77777777" w:rsidR="00087C93" w:rsidRPr="00C95630" w:rsidRDefault="00087C93" w:rsidP="00087C93">
      <w:pPr>
        <w:ind w:left="705" w:hanging="705"/>
      </w:pPr>
      <w:r w:rsidRPr="00C95630">
        <w:t>2.1.</w:t>
      </w:r>
      <w:r>
        <w:t>8</w:t>
      </w:r>
      <w:r w:rsidRPr="00C95630">
        <w:tab/>
        <w:t>Rozhrania na iné systémy:</w:t>
      </w:r>
    </w:p>
    <w:p w14:paraId="16F7687A" w14:textId="77777777" w:rsidR="00087C93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>
        <w:t>Overenie</w:t>
      </w:r>
      <w:r>
        <w:rPr>
          <w:lang w:val="en-US"/>
        </w:rPr>
        <w:t>/</w:t>
      </w:r>
      <w:r>
        <w:t>získanie informácií v externej aplikácii prostredníctvom web services</w:t>
      </w:r>
    </w:p>
    <w:p w14:paraId="2C6FD5B5" w14:textId="77777777" w:rsidR="00087C93" w:rsidRPr="002732B4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2732B4">
        <w:t xml:space="preserve">Export </w:t>
      </w:r>
      <w:r>
        <w:t>zostáv (xml, pdf, xls) na web</w:t>
      </w:r>
      <w:r w:rsidRPr="002732B4">
        <w:t xml:space="preserve"> </w:t>
      </w:r>
    </w:p>
    <w:p w14:paraId="59663BDF" w14:textId="77777777" w:rsidR="00087C93" w:rsidRPr="00C95630" w:rsidRDefault="00087C93" w:rsidP="00087C93">
      <w:pPr>
        <w:ind w:left="705" w:hanging="705"/>
      </w:pPr>
      <w:r w:rsidRPr="00C95630">
        <w:t>2.1.</w:t>
      </w:r>
      <w:r>
        <w:t>9</w:t>
      </w:r>
      <w:r w:rsidRPr="00C95630">
        <w:tab/>
        <w:t>Súvisiaca infraštruktúra (nie je predmetom bezpečnostného testovania):</w:t>
      </w:r>
      <w:r>
        <w:t xml:space="preserve"> </w:t>
      </w:r>
      <w:r w:rsidRPr="00C95630">
        <w:t>virtualizačná platforma VMware</w:t>
      </w:r>
      <w:r>
        <w:t>, databázový systém Oracle</w:t>
      </w:r>
    </w:p>
    <w:p w14:paraId="4213BFEA" w14:textId="77777777" w:rsidR="00087C93" w:rsidRPr="00C95630" w:rsidRDefault="00087C93" w:rsidP="00087C93">
      <w:pPr>
        <w:pStyle w:val="BodyText2"/>
        <w:spacing w:before="0"/>
        <w:ind w:left="705" w:hanging="705"/>
        <w:rPr>
          <w:b/>
          <w:iCs/>
          <w:sz w:val="22"/>
          <w:highlight w:val="yellow"/>
        </w:rPr>
      </w:pPr>
    </w:p>
    <w:p w14:paraId="0AB64F0D" w14:textId="77777777" w:rsidR="00087C93" w:rsidRPr="00C95630" w:rsidRDefault="00087C93" w:rsidP="00087C93">
      <w:r w:rsidRPr="00C95630">
        <w:t>2.2</w:t>
      </w:r>
      <w:r w:rsidRPr="00C95630">
        <w:tab/>
      </w:r>
      <w:r w:rsidRPr="00C95630">
        <w:rPr>
          <w:b/>
        </w:rPr>
        <w:t>Cieľ bezpečnostného testovania:</w:t>
      </w:r>
      <w:r w:rsidRPr="00C95630">
        <w:t xml:space="preserve"> </w:t>
      </w:r>
    </w:p>
    <w:p w14:paraId="0F034D70" w14:textId="77777777" w:rsidR="00087C93" w:rsidRPr="00C95630" w:rsidRDefault="00087C93" w:rsidP="00087C93">
      <w:pPr>
        <w:ind w:left="705" w:hanging="705"/>
      </w:pPr>
      <w:r w:rsidRPr="00C95630">
        <w:t>2.2.1</w:t>
      </w:r>
      <w:r w:rsidRPr="00C95630">
        <w:tab/>
        <w:t xml:space="preserve">Cieľom testovania je zhodnotiť ochranu údajov v aplikácii (používatelia majú prístup len k údajom a funkciám, ku ktorým majú mať prístup), otestovať bezpečnosť aplikácie a bezpečnostných riešení, identifikovať zraniteľnosti, vrátane návrhu opatrení na nápravu. Testovanie má zhodnotiť či bezpečnostné mechanizmy v aplikácii umožňujú v dostatočnej miere naplniť bezpečnostné ciele kladené na danú aplikáciu. </w:t>
      </w:r>
    </w:p>
    <w:p w14:paraId="0CBE7F82" w14:textId="5678F190" w:rsidR="00087C93" w:rsidRPr="00C95630" w:rsidRDefault="00087C93" w:rsidP="00087C93">
      <w:pPr>
        <w:ind w:left="705" w:hanging="705"/>
        <w:rPr>
          <w:rFonts w:cs="Arial"/>
          <w:szCs w:val="20"/>
        </w:rPr>
      </w:pPr>
      <w:r w:rsidRPr="00C95630">
        <w:rPr>
          <w:rFonts w:cs="Arial"/>
          <w:szCs w:val="20"/>
        </w:rPr>
        <w:t>2.2.2</w:t>
      </w:r>
      <w:r w:rsidRPr="00C95630">
        <w:rPr>
          <w:rFonts w:cs="Arial"/>
          <w:szCs w:val="20"/>
        </w:rPr>
        <w:tab/>
        <w:t xml:space="preserve">Úspešný uchádzač vyhotoví požadovanú dokumentáciu v slovenskom, českom alebo anglickom jazyku v elektronickej forme vo formátoch aplikačných programov Microsoft Word, Excel, resp. vo formáte PDF. </w:t>
      </w:r>
    </w:p>
    <w:p w14:paraId="032E4C16" w14:textId="77777777" w:rsidR="00087C93" w:rsidRPr="00C95630" w:rsidRDefault="00087C93" w:rsidP="00087C93">
      <w:pPr>
        <w:rPr>
          <w:highlight w:val="yellow"/>
        </w:rPr>
      </w:pPr>
    </w:p>
    <w:p w14:paraId="2229A1C4" w14:textId="77777777" w:rsidR="00087C93" w:rsidRPr="00C95630" w:rsidRDefault="00087C93" w:rsidP="00087C93">
      <w:pPr>
        <w:ind w:left="705" w:hanging="705"/>
      </w:pPr>
      <w:r w:rsidRPr="00C95630">
        <w:t>2.3</w:t>
      </w:r>
      <w:r w:rsidRPr="00C95630">
        <w:tab/>
        <w:t>Požiadavky na rozsah prác</w:t>
      </w:r>
      <w:r w:rsidRPr="00C95630">
        <w:rPr>
          <w:b/>
        </w:rPr>
        <w:t xml:space="preserve"> – fáza A (časový rozsah max. 3 týždne):</w:t>
      </w:r>
    </w:p>
    <w:p w14:paraId="322F9168" w14:textId="77777777" w:rsidR="00087C93" w:rsidRPr="00C95630" w:rsidRDefault="00087C93" w:rsidP="00087C93">
      <w:pPr>
        <w:ind w:left="705" w:hanging="705"/>
      </w:pPr>
      <w:r w:rsidRPr="00C95630">
        <w:t>2.3.1</w:t>
      </w:r>
      <w:r w:rsidRPr="00C95630">
        <w:tab/>
        <w:t>posúdenie implementovaných bezpečnostných riešení pre naplnenie bezpečnostných cieľov v oblastiach:</w:t>
      </w:r>
    </w:p>
    <w:p w14:paraId="65EA0BE9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autentifikácia a autorizácia používateľov</w:t>
      </w:r>
    </w:p>
    <w:p w14:paraId="5ED7CE46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 xml:space="preserve">riadenie prístupu k funkciám aplikácie a údajom </w:t>
      </w:r>
    </w:p>
    <w:p w14:paraId="18112B19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dôvernosť a autentickosť údajov / dokumentov</w:t>
      </w:r>
    </w:p>
    <w:p w14:paraId="65AF257D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správa používateľov</w:t>
      </w:r>
    </w:p>
    <w:p w14:paraId="0B3E0A39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správa hesiel</w:t>
      </w:r>
    </w:p>
    <w:p w14:paraId="661AF011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správa kľúčov a certifikátov</w:t>
      </w:r>
    </w:p>
    <w:p w14:paraId="3278A155" w14:textId="77777777" w:rsidR="00087C93" w:rsidRPr="00C95630" w:rsidRDefault="00087C93" w:rsidP="00087C93">
      <w:pPr>
        <w:ind w:left="705" w:hanging="705"/>
      </w:pPr>
      <w:r w:rsidRPr="00C95630">
        <w:t>2.3.2</w:t>
      </w:r>
      <w:r w:rsidRPr="00C95630">
        <w:tab/>
        <w:t>vykonanie bezpečnostného testovania aplikácie, vrátane jej rozhraní a všetkých komponentov, na ktorých je aplikácia prevádzkovaná:</w:t>
      </w:r>
    </w:p>
    <w:p w14:paraId="58D1F598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testovanie zraniteľností: minimálne v rozsahu OWASP Testing Guide v4, v akom sú príslušné sekcie relevantné pre infraštruktúru a funkcie testovaného systému</w:t>
      </w:r>
    </w:p>
    <w:p w14:paraId="09C7BF82" w14:textId="77777777" w:rsidR="00087C93" w:rsidRPr="00446623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446623">
        <w:lastRenderedPageBreak/>
        <w:t>testovanie útokov typu Denial of Service: vykonanie aplikačných DoS (kde spracovanie vstupov v aplikácii má neželaný vplyv na dostupnosť aplikácie/systému), aj záťažových testov (veľký počet spojení, dotazov a pod.)</w:t>
      </w:r>
    </w:p>
    <w:p w14:paraId="4F0A984C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penetračné testovanie: bez pridelených oprávnení aj s pridelenými používateľskými oprávneniami</w:t>
      </w:r>
    </w:p>
    <w:p w14:paraId="64816CAE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testovanie bude vykonané z pohľadu všetkých rolí v aplikácii</w:t>
      </w:r>
    </w:p>
    <w:p w14:paraId="54333D94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testovanie pokryje všetky funkcie aplikácie</w:t>
      </w:r>
    </w:p>
    <w:p w14:paraId="4CCE45F5" w14:textId="77777777" w:rsidR="00087C93" w:rsidRPr="006C3AA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 xml:space="preserve">testovanie bude </w:t>
      </w:r>
      <w:r w:rsidRPr="006C3AA0">
        <w:t>vykonané z pohľadu účastníka aj z pohľadu prevádzkovateľa systému</w:t>
      </w:r>
    </w:p>
    <w:p w14:paraId="205EB720" w14:textId="77777777" w:rsidR="00087C93" w:rsidRPr="006C3AA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6C3AA0">
        <w:t>manuálne overenie všetkých identifikovaných zraniteľností (nielen výstup automatizovaného skenovania)</w:t>
      </w:r>
    </w:p>
    <w:p w14:paraId="6CA40869" w14:textId="77777777" w:rsidR="00087C93" w:rsidRPr="006C3AA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6C3AA0">
        <w:t>bezpečnostný audit konfigurácie vybraných softvérových komponentov server</w:t>
      </w:r>
      <w:r>
        <w:t>a</w:t>
      </w:r>
      <w:r w:rsidRPr="006C3AA0">
        <w:t xml:space="preserve"> (Apache, Tomcat)</w:t>
      </w:r>
      <w:r w:rsidRPr="006C3AA0">
        <w:rPr>
          <w:lang w:val="en-US"/>
        </w:rPr>
        <w:t xml:space="preserve">; </w:t>
      </w:r>
      <w:r w:rsidRPr="006C3AA0">
        <w:t>pri realizácii obstarávateľ na požiadanie poskytne príslušné konfiguračné súbory a parametre</w:t>
      </w:r>
    </w:p>
    <w:p w14:paraId="6BE3906A" w14:textId="77777777" w:rsidR="00087C93" w:rsidRPr="00C95630" w:rsidRDefault="00087C93" w:rsidP="00087C93">
      <w:pPr>
        <w:ind w:left="705" w:hanging="705"/>
      </w:pPr>
      <w:r w:rsidRPr="006C3AA0">
        <w:t xml:space="preserve">2.3.3 </w:t>
      </w:r>
      <w:r w:rsidRPr="006C3AA0">
        <w:tab/>
        <w:t>vypracovanie dokumentácie obsahujúcej (štruktúra a rozsah dokumentácie musí zodpovedať, resp. pokrývať štruktúru odporučenú</w:t>
      </w:r>
      <w:r w:rsidRPr="00C95630">
        <w:t xml:space="preserve"> v OWASP Testing Guide v4) najmä:</w:t>
      </w:r>
    </w:p>
    <w:p w14:paraId="14281E7C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zhodnotenie bezpečnosti aplikácie, vrátane zhodnotenia naplnenia bezpečnostných cieľov</w:t>
      </w:r>
    </w:p>
    <w:p w14:paraId="622624C8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vyhodnotenie jednotlivých oblastí testovania (na úrovní sekcií OWASP Testing Guide v4) a všetkých ostatných realizovaných testov v súlade s požiadavkami a ponukou na rozsah a spôsob testovania</w:t>
      </w:r>
    </w:p>
    <w:p w14:paraId="6C5DED29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popis vykonaných testov a ich výsledkov, vrátane získaných podkladov pre jednotlivé zistenia a časových údajov (kedy test prebiehal)</w:t>
      </w:r>
    </w:p>
    <w:p w14:paraId="6A603C4C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zhodnotenie jednotlivých zistení (s použitím škály Critical/High/Medium/Low/Informative, zohľadňujúcej potenciálne dopady zneužitia, potrebné schopností útočníka a pod.)</w:t>
      </w:r>
    </w:p>
    <w:p w14:paraId="08F619F0" w14:textId="77777777" w:rsidR="00087C93" w:rsidRPr="00C95630" w:rsidRDefault="00087C93" w:rsidP="00087C93">
      <w:pPr>
        <w:numPr>
          <w:ilvl w:val="0"/>
          <w:numId w:val="2"/>
        </w:numPr>
        <w:tabs>
          <w:tab w:val="clear" w:pos="720"/>
        </w:tabs>
        <w:ind w:left="1080"/>
      </w:pPr>
      <w:r w:rsidRPr="00C95630">
        <w:t>konkrétne odporúčania na nápravu</w:t>
      </w:r>
    </w:p>
    <w:p w14:paraId="644DB5FF" w14:textId="77777777" w:rsidR="00087C93" w:rsidRPr="00C95630" w:rsidRDefault="00087C93" w:rsidP="00087C93">
      <w:r w:rsidRPr="00C95630">
        <w:t>2.3.4</w:t>
      </w:r>
      <w:r w:rsidRPr="00C95630">
        <w:tab/>
        <w:t>prezentácia výsledkov testovania v priestoroch obstarávateľa</w:t>
      </w:r>
    </w:p>
    <w:p w14:paraId="144BDF1E" w14:textId="77777777" w:rsidR="00087C93" w:rsidRPr="00C95630" w:rsidRDefault="00087C93" w:rsidP="00087C93">
      <w:pPr>
        <w:rPr>
          <w:color w:val="FF0000"/>
          <w:highlight w:val="yellow"/>
        </w:rPr>
      </w:pPr>
    </w:p>
    <w:p w14:paraId="3DBB2F75" w14:textId="77777777" w:rsidR="00087C93" w:rsidRPr="00C95630" w:rsidRDefault="00087C93" w:rsidP="00087C93">
      <w:r w:rsidRPr="00C95630">
        <w:t>2.4</w:t>
      </w:r>
      <w:r w:rsidRPr="00C95630">
        <w:tab/>
      </w:r>
      <w:r w:rsidRPr="00C95630">
        <w:rPr>
          <w:b/>
        </w:rPr>
        <w:t>Požiadavky na rozsah prác – fáza B (časový rozsah max. 1 týždeň):</w:t>
      </w:r>
    </w:p>
    <w:p w14:paraId="51185FC3" w14:textId="77777777" w:rsidR="00087C93" w:rsidRPr="00C95630" w:rsidRDefault="00087C93" w:rsidP="00087C93">
      <w:r w:rsidRPr="00C95630">
        <w:t>2.4.1</w:t>
      </w:r>
      <w:r w:rsidRPr="00C95630">
        <w:tab/>
        <w:t>preverenie upraveného systému z hľadiska (predtým) identifikovaných  nedostatkov</w:t>
      </w:r>
    </w:p>
    <w:p w14:paraId="2F1EA7E3" w14:textId="77777777" w:rsidR="00087C93" w:rsidRPr="00C95630" w:rsidRDefault="00087C93" w:rsidP="00087C93">
      <w:pPr>
        <w:ind w:left="705" w:hanging="705"/>
      </w:pPr>
      <w:r w:rsidRPr="00C95630">
        <w:t>2.4.2</w:t>
      </w:r>
      <w:r w:rsidRPr="00C95630">
        <w:tab/>
        <w:t>vypracovanie záverečného zhodnotenia bezpečnosti IS, vrátane zhodnotenia naplnenia bezpečnostných cieľov</w:t>
      </w:r>
    </w:p>
    <w:p w14:paraId="461B8675" w14:textId="77777777" w:rsidR="00087C93" w:rsidRPr="00C95630" w:rsidRDefault="00087C93" w:rsidP="00087C93"/>
    <w:p w14:paraId="29020BED" w14:textId="77777777" w:rsidR="00087C93" w:rsidRPr="00C95630" w:rsidRDefault="00087C93" w:rsidP="00087C93">
      <w:r w:rsidRPr="00C95630">
        <w:t>2.5</w:t>
      </w:r>
      <w:r w:rsidRPr="00C95630">
        <w:tab/>
      </w:r>
      <w:r w:rsidRPr="00C95630">
        <w:rPr>
          <w:b/>
        </w:rPr>
        <w:t>Požiadavky na rozsah prác – voliteľne čerpané konzultačné hodiny (max. 15 hodín)</w:t>
      </w:r>
    </w:p>
    <w:p w14:paraId="4E903945" w14:textId="77777777" w:rsidR="00087C93" w:rsidRPr="00C95630" w:rsidRDefault="00087C93" w:rsidP="00087C93">
      <w:pPr>
        <w:pStyle w:val="BodyText2"/>
        <w:spacing w:before="0"/>
        <w:ind w:left="705" w:hanging="705"/>
        <w:rPr>
          <w:b/>
          <w:iCs/>
          <w:sz w:val="22"/>
        </w:rPr>
      </w:pPr>
      <w:r w:rsidRPr="00C95630">
        <w:t>2.5.1</w:t>
      </w:r>
      <w:r w:rsidRPr="00C95630">
        <w:tab/>
        <w:t>poskytnutie požadovaného počtu konzultačných hodín k posúdeniu, návrhu a implementácie bezpečnostných opatrení podľa požiadaviek obstarávateľa</w:t>
      </w:r>
    </w:p>
    <w:p w14:paraId="0DF1F26C" w14:textId="77777777" w:rsidR="00087C93" w:rsidRPr="00C95630" w:rsidRDefault="00087C93" w:rsidP="00087C93">
      <w:pPr>
        <w:pStyle w:val="BodyText2"/>
        <w:spacing w:before="0"/>
        <w:ind w:left="705" w:hanging="705"/>
        <w:rPr>
          <w:b/>
          <w:iCs/>
          <w:sz w:val="22"/>
        </w:rPr>
      </w:pPr>
    </w:p>
    <w:p w14:paraId="15EDD15C" w14:textId="77777777" w:rsidR="00087C93" w:rsidRPr="00C95630" w:rsidRDefault="00087C93" w:rsidP="00087C93">
      <w:r w:rsidRPr="00C95630">
        <w:t>2.6</w:t>
      </w:r>
      <w:r w:rsidRPr="00C95630">
        <w:tab/>
      </w:r>
      <w:r w:rsidRPr="00C95630">
        <w:rPr>
          <w:b/>
        </w:rPr>
        <w:t>Spôsob realizácie testovania:</w:t>
      </w:r>
    </w:p>
    <w:p w14:paraId="5F856BC5" w14:textId="77777777" w:rsidR="00087C93" w:rsidRDefault="00087C93" w:rsidP="00087C93">
      <w:pPr>
        <w:ind w:left="705" w:hanging="705"/>
      </w:pPr>
      <w:r w:rsidRPr="00C95630">
        <w:t>2.6.1</w:t>
      </w:r>
      <w:r w:rsidRPr="00C95630">
        <w:tab/>
        <w:t>Technické detaily testovania – testovacie prostredie, čas, rozsah a spôsob vykonania konkrétnych testov – budú dohodnuté pred alebo počas realizácie projektu.</w:t>
      </w:r>
    </w:p>
    <w:p w14:paraId="1C844AFF" w14:textId="77777777" w:rsidR="00087C93" w:rsidRPr="00C95630" w:rsidRDefault="00087C93" w:rsidP="00087C93">
      <w:pPr>
        <w:ind w:left="705" w:hanging="705"/>
      </w:pPr>
      <w:r>
        <w:t>2.6.2</w:t>
      </w:r>
      <w:r>
        <w:tab/>
        <w:t>Uchádzač a verejný obstarávateľ spoločne preveria pripravenosť prostredia na bezpečnostné testovanie, po vzájomnej dohode obvykle týždeň pred</w:t>
      </w:r>
      <w:r w:rsidRPr="004E382C">
        <w:t xml:space="preserve"> </w:t>
      </w:r>
      <w:r>
        <w:t>začatím fázy A.</w:t>
      </w:r>
    </w:p>
    <w:p w14:paraId="1A3DD7BB" w14:textId="77777777" w:rsidR="00087C93" w:rsidRPr="00C95630" w:rsidRDefault="00087C93" w:rsidP="00087C93">
      <w:pPr>
        <w:ind w:left="705" w:hanging="705"/>
      </w:pPr>
      <w:r w:rsidRPr="00C95630">
        <w:t>2.6.</w:t>
      </w:r>
      <w:r>
        <w:t>3</w:t>
      </w:r>
      <w:r w:rsidRPr="00C95630">
        <w:tab/>
        <w:t>Verejný obstarávateľ poskytne úspešnému uchádzačovi používateľskú dokumentáciu ako aj potrebnú technickú dokumentáciu aplikácie.</w:t>
      </w:r>
    </w:p>
    <w:p w14:paraId="5189D229" w14:textId="77777777" w:rsidR="00087C93" w:rsidRPr="006C3AA0" w:rsidRDefault="00087C93" w:rsidP="00087C93">
      <w:pPr>
        <w:ind w:left="705" w:hanging="705"/>
      </w:pPr>
      <w:r w:rsidRPr="00C95630">
        <w:t>2.6.</w:t>
      </w:r>
      <w:r>
        <w:t>4</w:t>
      </w:r>
      <w:r w:rsidRPr="00C95630">
        <w:tab/>
        <w:t>Verejný obstarávateľ poskytne pre potreby testovania 1 používateľský počítač so štandardnou konfiguráciou používanou verejným obstarávateľom. Úspešný uchádzač použije na testovanie s použitím nástrojov potrebných pre výkon bez</w:t>
      </w:r>
      <w:r w:rsidRPr="006C3AA0">
        <w:t>pečnostného testovania vlastné prenosné počítače.</w:t>
      </w:r>
    </w:p>
    <w:p w14:paraId="2F5055B3" w14:textId="77777777" w:rsidR="00087C93" w:rsidRPr="006C3AA0" w:rsidRDefault="00087C93" w:rsidP="00087C93">
      <w:pPr>
        <w:ind w:left="705" w:hanging="705"/>
      </w:pPr>
      <w:r w:rsidRPr="006C3AA0">
        <w:t>2.6.5</w:t>
      </w:r>
      <w:r w:rsidRPr="006C3AA0">
        <w:tab/>
        <w:t>Pre získanie relevantných konfiguračných parametrov v rámci bezpečnostného auditu konfigurácie vybraných softvérových komponentov servera poskytne úspešný uchádzač verejnému obstarávateľovi skripty na automatizovaný zber týchto parametrov na začiatku fázy A.</w:t>
      </w:r>
    </w:p>
    <w:p w14:paraId="37F46F99" w14:textId="77777777" w:rsidR="00087C93" w:rsidRDefault="00087C93" w:rsidP="00087C93">
      <w:pPr>
        <w:ind w:left="705" w:hanging="705"/>
      </w:pPr>
      <w:r w:rsidRPr="006C3AA0">
        <w:t>2.6.6</w:t>
      </w:r>
      <w:r w:rsidRPr="006C3AA0">
        <w:tab/>
        <w:t>Úspešný uchádzač vykoná bezpečnostné testo</w:t>
      </w:r>
      <w:r w:rsidRPr="00C95630">
        <w:t>vanie v priestoroch verejného obstarávateľa.</w:t>
      </w:r>
    </w:p>
    <w:p w14:paraId="0F883003" w14:textId="77777777" w:rsidR="00087C93" w:rsidRDefault="00087C93" w:rsidP="006975F9">
      <w:pPr>
        <w:pStyle w:val="H1"/>
        <w:numPr>
          <w:ilvl w:val="0"/>
          <w:numId w:val="0"/>
        </w:numPr>
        <w:ind w:left="360" w:hanging="360"/>
      </w:pPr>
    </w:p>
    <w:sectPr w:rsidR="00087C93" w:rsidSect="00237CCC">
      <w:headerReference w:type="default" r:id="rId10"/>
      <w:footerReference w:type="default" r:id="rId11"/>
      <w:pgSz w:w="11906" w:h="16838" w:code="9"/>
      <w:pgMar w:top="1135" w:right="926" w:bottom="1418" w:left="102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70CF1" w14:textId="77777777" w:rsidR="00CA5309" w:rsidRDefault="00CA5309">
      <w:r>
        <w:separator/>
      </w:r>
    </w:p>
  </w:endnote>
  <w:endnote w:type="continuationSeparator" w:id="0">
    <w:p w14:paraId="39382F0D" w14:textId="77777777" w:rsidR="00CA5309" w:rsidRDefault="00CA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07117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1D4C3" w14:textId="57184B60" w:rsidR="00237CCC" w:rsidRPr="000C2C04" w:rsidRDefault="00237CCC">
        <w:pPr>
          <w:pStyle w:val="Footer"/>
          <w:jc w:val="center"/>
          <w:rPr>
            <w:sz w:val="16"/>
            <w:szCs w:val="16"/>
          </w:rPr>
        </w:pPr>
        <w:r w:rsidRPr="000C2C04">
          <w:rPr>
            <w:sz w:val="16"/>
            <w:szCs w:val="16"/>
          </w:rPr>
          <w:fldChar w:fldCharType="begin"/>
        </w:r>
        <w:r w:rsidRPr="000C2C04">
          <w:rPr>
            <w:sz w:val="16"/>
            <w:szCs w:val="16"/>
          </w:rPr>
          <w:instrText xml:space="preserve"> PAGE   \* MERGEFORMAT </w:instrText>
        </w:r>
        <w:r w:rsidRPr="000C2C04">
          <w:rPr>
            <w:sz w:val="16"/>
            <w:szCs w:val="16"/>
          </w:rPr>
          <w:fldChar w:fldCharType="separate"/>
        </w:r>
        <w:r w:rsidR="0020614E" w:rsidRPr="000C2C04">
          <w:rPr>
            <w:noProof/>
            <w:sz w:val="16"/>
            <w:szCs w:val="16"/>
          </w:rPr>
          <w:t>4</w:t>
        </w:r>
        <w:r w:rsidRPr="000C2C04">
          <w:rPr>
            <w:noProof/>
            <w:sz w:val="16"/>
            <w:szCs w:val="16"/>
          </w:rPr>
          <w:fldChar w:fldCharType="end"/>
        </w:r>
      </w:p>
    </w:sdtContent>
  </w:sdt>
  <w:p w14:paraId="63DC219E" w14:textId="77777777" w:rsidR="001A5103" w:rsidRPr="00237CCC" w:rsidRDefault="00CA5309" w:rsidP="0023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68557" w14:textId="77777777" w:rsidR="00CA5309" w:rsidRDefault="00CA5309">
      <w:r>
        <w:separator/>
      </w:r>
    </w:p>
  </w:footnote>
  <w:footnote w:type="continuationSeparator" w:id="0">
    <w:p w14:paraId="552EB868" w14:textId="77777777" w:rsidR="00CA5309" w:rsidRDefault="00CA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8D4E" w14:textId="2CA10470" w:rsidR="000118EC" w:rsidRPr="00B064C9" w:rsidRDefault="000118EC" w:rsidP="000118EC">
    <w:pPr>
      <w:pStyle w:val="Header"/>
      <w:tabs>
        <w:tab w:val="clear" w:pos="9072"/>
        <w:tab w:val="right" w:pos="9070"/>
      </w:tabs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>Národná banka Slovenska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61034">
      <w:rPr>
        <w:rFonts w:cs="Arial"/>
        <w:sz w:val="16"/>
        <w:szCs w:val="16"/>
      </w:rPr>
      <w:t xml:space="preserve">                                                 </w:t>
    </w:r>
    <w:r>
      <w:rPr>
        <w:rFonts w:cs="Arial"/>
        <w:sz w:val="16"/>
        <w:szCs w:val="16"/>
      </w:rPr>
      <w:t xml:space="preserve">              </w:t>
    </w:r>
    <w:r w:rsidRPr="00861034">
      <w:rPr>
        <w:rFonts w:cs="Arial"/>
        <w:sz w:val="16"/>
        <w:szCs w:val="16"/>
      </w:rPr>
      <w:t>VEREJN</w:t>
    </w:r>
    <w:r>
      <w:rPr>
        <w:rFonts w:cs="Arial"/>
        <w:sz w:val="16"/>
        <w:szCs w:val="16"/>
      </w:rPr>
      <w:t>É</w:t>
    </w:r>
    <w:r w:rsidRPr="00B064C9">
      <w:rPr>
        <w:rFonts w:cs="Arial"/>
        <w:sz w:val="16"/>
        <w:szCs w:val="16"/>
      </w:rPr>
      <w:t xml:space="preserve"> </w:t>
    </w:r>
    <w:r w:rsidR="002E4C69">
      <w:rPr>
        <w:rFonts w:cs="Arial"/>
        <w:sz w:val="16"/>
        <w:szCs w:val="16"/>
      </w:rPr>
      <w:t>OBSTARÁVANIE</w:t>
    </w:r>
  </w:p>
  <w:p w14:paraId="4496C1E7" w14:textId="146B2C9C" w:rsidR="000118EC" w:rsidRPr="00B064C9" w:rsidRDefault="000118EC" w:rsidP="000118EC">
    <w:pPr>
      <w:pStyle w:val="Header"/>
      <w:tabs>
        <w:tab w:val="clear" w:pos="9072"/>
        <w:tab w:val="right" w:pos="9070"/>
      </w:tabs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>Imricha Karvaša 1</w:t>
    </w:r>
    <w:r>
      <w:rPr>
        <w:rFonts w:cs="Arial"/>
        <w:sz w:val="16"/>
        <w:szCs w:val="16"/>
      </w:rPr>
      <w:tab/>
    </w:r>
    <w:r w:rsidRPr="00861034">
      <w:rPr>
        <w:rFonts w:cs="Arial"/>
        <w:sz w:val="16"/>
        <w:szCs w:val="16"/>
      </w:rPr>
      <w:t xml:space="preserve">                              </w:t>
    </w:r>
    <w:r>
      <w:rPr>
        <w:rFonts w:cs="Arial"/>
        <w:sz w:val="16"/>
        <w:szCs w:val="16"/>
      </w:rPr>
      <w:t xml:space="preserve">              </w:t>
    </w:r>
    <w:r>
      <w:rPr>
        <w:rFonts w:cs="Arial"/>
        <w:sz w:val="16"/>
        <w:szCs w:val="16"/>
      </w:rPr>
      <w:tab/>
      <w:t xml:space="preserve"> </w:t>
    </w:r>
    <w:r w:rsidR="002E4C69">
      <w:rPr>
        <w:rFonts w:cs="Arial"/>
        <w:sz w:val="16"/>
        <w:szCs w:val="16"/>
      </w:rPr>
      <w:t xml:space="preserve">  </w:t>
    </w:r>
    <w:r w:rsidR="00087C93">
      <w:rPr>
        <w:rFonts w:cs="Arial"/>
        <w:sz w:val="16"/>
        <w:szCs w:val="16"/>
      </w:rPr>
      <w:t xml:space="preserve">       </w:t>
    </w:r>
    <w:r>
      <w:rPr>
        <w:rFonts w:cs="Arial"/>
        <w:sz w:val="16"/>
        <w:szCs w:val="16"/>
      </w:rPr>
      <w:t xml:space="preserve">    Bezpečnostné testovanie </w:t>
    </w:r>
    <w:r w:rsidR="00087C93">
      <w:rPr>
        <w:rFonts w:cs="Arial"/>
        <w:sz w:val="16"/>
        <w:szCs w:val="16"/>
      </w:rPr>
      <w:t xml:space="preserve">IS CID </w:t>
    </w:r>
  </w:p>
  <w:p w14:paraId="6A17924F" w14:textId="66998937" w:rsidR="001A5103" w:rsidRPr="000118EC" w:rsidRDefault="000118EC" w:rsidP="000118EC">
    <w:pPr>
      <w:pStyle w:val="Header"/>
    </w:pPr>
    <w:r w:rsidRPr="00861034">
      <w:rPr>
        <w:rFonts w:cs="Arial"/>
        <w:sz w:val="16"/>
        <w:szCs w:val="16"/>
      </w:rPr>
      <w:t>813 25 Bratislava</w:t>
    </w:r>
    <w:r>
      <w:rPr>
        <w:rFonts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D96"/>
    <w:multiLevelType w:val="hybridMultilevel"/>
    <w:tmpl w:val="EE0AA25E"/>
    <w:lvl w:ilvl="0" w:tplc="BA3AD2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6FFF"/>
    <w:multiLevelType w:val="hybridMultilevel"/>
    <w:tmpl w:val="B404A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19E5"/>
    <w:multiLevelType w:val="hybridMultilevel"/>
    <w:tmpl w:val="2F16B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7988"/>
    <w:multiLevelType w:val="hybridMultilevel"/>
    <w:tmpl w:val="37402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05FE"/>
    <w:multiLevelType w:val="multilevel"/>
    <w:tmpl w:val="5DAAA2B8"/>
    <w:lvl w:ilvl="0">
      <w:start w:val="1"/>
      <w:numFmt w:val="decimal"/>
      <w:pStyle w:val="H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EDB1206"/>
    <w:multiLevelType w:val="multilevel"/>
    <w:tmpl w:val="C2F4B6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B702FF"/>
    <w:multiLevelType w:val="hybridMultilevel"/>
    <w:tmpl w:val="5860C9E4"/>
    <w:lvl w:ilvl="0" w:tplc="938CC4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802A04"/>
    <w:multiLevelType w:val="multilevel"/>
    <w:tmpl w:val="B07AC4BC"/>
    <w:lvl w:ilvl="0">
      <w:start w:val="1"/>
      <w:numFmt w:val="upperRoman"/>
      <w:pStyle w:val="LAW-clanok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LAW-bod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DF331C6"/>
    <w:multiLevelType w:val="hybridMultilevel"/>
    <w:tmpl w:val="7FA66948"/>
    <w:lvl w:ilvl="0" w:tplc="BDC82958">
      <w:start w:val="1"/>
      <w:numFmt w:val="lowerLetter"/>
      <w:pStyle w:val="LAW-pismeno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0B61EC3"/>
    <w:multiLevelType w:val="hybridMultilevel"/>
    <w:tmpl w:val="729E84BA"/>
    <w:lvl w:ilvl="0" w:tplc="97C01D10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5C75DE8"/>
    <w:multiLevelType w:val="hybridMultilevel"/>
    <w:tmpl w:val="D36A3E3E"/>
    <w:lvl w:ilvl="0" w:tplc="938CC4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F9"/>
    <w:rsid w:val="000118EC"/>
    <w:rsid w:val="00016EC9"/>
    <w:rsid w:val="000268B3"/>
    <w:rsid w:val="00026BCF"/>
    <w:rsid w:val="00027ADB"/>
    <w:rsid w:val="000524D5"/>
    <w:rsid w:val="00066EBE"/>
    <w:rsid w:val="000740CA"/>
    <w:rsid w:val="00080D65"/>
    <w:rsid w:val="00082797"/>
    <w:rsid w:val="00083DD3"/>
    <w:rsid w:val="00087C93"/>
    <w:rsid w:val="000901D8"/>
    <w:rsid w:val="000901EB"/>
    <w:rsid w:val="00095942"/>
    <w:rsid w:val="000A0FCA"/>
    <w:rsid w:val="000B5B21"/>
    <w:rsid w:val="000B6CFD"/>
    <w:rsid w:val="000C2C04"/>
    <w:rsid w:val="000E4734"/>
    <w:rsid w:val="000F6A49"/>
    <w:rsid w:val="001043C8"/>
    <w:rsid w:val="00105313"/>
    <w:rsid w:val="00113DD4"/>
    <w:rsid w:val="00124EB9"/>
    <w:rsid w:val="00132998"/>
    <w:rsid w:val="001461AE"/>
    <w:rsid w:val="0015326D"/>
    <w:rsid w:val="00155778"/>
    <w:rsid w:val="00155A93"/>
    <w:rsid w:val="001573E7"/>
    <w:rsid w:val="00182CBF"/>
    <w:rsid w:val="001970C3"/>
    <w:rsid w:val="001973D8"/>
    <w:rsid w:val="001A353B"/>
    <w:rsid w:val="001D28CE"/>
    <w:rsid w:val="001E0A64"/>
    <w:rsid w:val="001F0E09"/>
    <w:rsid w:val="0020515C"/>
    <w:rsid w:val="0020614E"/>
    <w:rsid w:val="00212D47"/>
    <w:rsid w:val="002238F8"/>
    <w:rsid w:val="002306B7"/>
    <w:rsid w:val="00231158"/>
    <w:rsid w:val="002322B5"/>
    <w:rsid w:val="00232C5B"/>
    <w:rsid w:val="00237CCC"/>
    <w:rsid w:val="002633FC"/>
    <w:rsid w:val="00275D15"/>
    <w:rsid w:val="00293B24"/>
    <w:rsid w:val="002A729F"/>
    <w:rsid w:val="002A7C62"/>
    <w:rsid w:val="002C45D3"/>
    <w:rsid w:val="002D16F4"/>
    <w:rsid w:val="002E4C69"/>
    <w:rsid w:val="002F0C4A"/>
    <w:rsid w:val="003005A9"/>
    <w:rsid w:val="00310E3D"/>
    <w:rsid w:val="00321543"/>
    <w:rsid w:val="00324129"/>
    <w:rsid w:val="003301E9"/>
    <w:rsid w:val="00340FC8"/>
    <w:rsid w:val="00345746"/>
    <w:rsid w:val="00354606"/>
    <w:rsid w:val="003612B1"/>
    <w:rsid w:val="00364882"/>
    <w:rsid w:val="00393E3B"/>
    <w:rsid w:val="00397AF6"/>
    <w:rsid w:val="003B134C"/>
    <w:rsid w:val="003B3251"/>
    <w:rsid w:val="003D172B"/>
    <w:rsid w:val="003D5514"/>
    <w:rsid w:val="003D5BB0"/>
    <w:rsid w:val="003D61F4"/>
    <w:rsid w:val="003F315A"/>
    <w:rsid w:val="003F7DAD"/>
    <w:rsid w:val="00402DB1"/>
    <w:rsid w:val="00414472"/>
    <w:rsid w:val="0042597F"/>
    <w:rsid w:val="004520CE"/>
    <w:rsid w:val="00474A75"/>
    <w:rsid w:val="004A6CB1"/>
    <w:rsid w:val="004B3EB0"/>
    <w:rsid w:val="004D5DBD"/>
    <w:rsid w:val="004E7720"/>
    <w:rsid w:val="005113A9"/>
    <w:rsid w:val="005241E3"/>
    <w:rsid w:val="00541AB9"/>
    <w:rsid w:val="00544950"/>
    <w:rsid w:val="005502E0"/>
    <w:rsid w:val="005567B4"/>
    <w:rsid w:val="00573959"/>
    <w:rsid w:val="005756AF"/>
    <w:rsid w:val="00592086"/>
    <w:rsid w:val="005A2E29"/>
    <w:rsid w:val="005B5134"/>
    <w:rsid w:val="00606B40"/>
    <w:rsid w:val="00607B5D"/>
    <w:rsid w:val="00621EA8"/>
    <w:rsid w:val="00622F08"/>
    <w:rsid w:val="0062777F"/>
    <w:rsid w:val="00640CA1"/>
    <w:rsid w:val="00642AA0"/>
    <w:rsid w:val="00666A43"/>
    <w:rsid w:val="006675B9"/>
    <w:rsid w:val="00673F9F"/>
    <w:rsid w:val="00686505"/>
    <w:rsid w:val="00686ABD"/>
    <w:rsid w:val="006937F2"/>
    <w:rsid w:val="00694513"/>
    <w:rsid w:val="006975F9"/>
    <w:rsid w:val="006B0D62"/>
    <w:rsid w:val="006B75B7"/>
    <w:rsid w:val="006C2723"/>
    <w:rsid w:val="00700D7B"/>
    <w:rsid w:val="00724AD9"/>
    <w:rsid w:val="00757C6D"/>
    <w:rsid w:val="00762B10"/>
    <w:rsid w:val="00796207"/>
    <w:rsid w:val="007A1A0A"/>
    <w:rsid w:val="007A5D7C"/>
    <w:rsid w:val="007A6242"/>
    <w:rsid w:val="007B358F"/>
    <w:rsid w:val="007B4D86"/>
    <w:rsid w:val="007C72B5"/>
    <w:rsid w:val="007E1E77"/>
    <w:rsid w:val="00807C6C"/>
    <w:rsid w:val="008204AA"/>
    <w:rsid w:val="00821476"/>
    <w:rsid w:val="00822DA5"/>
    <w:rsid w:val="00822EC4"/>
    <w:rsid w:val="008243C4"/>
    <w:rsid w:val="008353D9"/>
    <w:rsid w:val="00835C26"/>
    <w:rsid w:val="00836D2B"/>
    <w:rsid w:val="0084178C"/>
    <w:rsid w:val="0086508A"/>
    <w:rsid w:val="008656F2"/>
    <w:rsid w:val="008900F2"/>
    <w:rsid w:val="0089392A"/>
    <w:rsid w:val="00894842"/>
    <w:rsid w:val="00895E55"/>
    <w:rsid w:val="00896A32"/>
    <w:rsid w:val="008A673F"/>
    <w:rsid w:val="008B02A4"/>
    <w:rsid w:val="008B3100"/>
    <w:rsid w:val="008C46F2"/>
    <w:rsid w:val="008C7E47"/>
    <w:rsid w:val="008D391F"/>
    <w:rsid w:val="008E2B22"/>
    <w:rsid w:val="008F10CB"/>
    <w:rsid w:val="008F48E3"/>
    <w:rsid w:val="008F7109"/>
    <w:rsid w:val="00916B6F"/>
    <w:rsid w:val="00930D8D"/>
    <w:rsid w:val="00936922"/>
    <w:rsid w:val="009444F6"/>
    <w:rsid w:val="00960E97"/>
    <w:rsid w:val="00973F5D"/>
    <w:rsid w:val="00974E8B"/>
    <w:rsid w:val="009853F2"/>
    <w:rsid w:val="00996E0C"/>
    <w:rsid w:val="009A056E"/>
    <w:rsid w:val="009C0AC2"/>
    <w:rsid w:val="009D3266"/>
    <w:rsid w:val="009D4B0E"/>
    <w:rsid w:val="009E0249"/>
    <w:rsid w:val="009F0E2A"/>
    <w:rsid w:val="009F1BB7"/>
    <w:rsid w:val="00A00746"/>
    <w:rsid w:val="00A105A1"/>
    <w:rsid w:val="00A249DA"/>
    <w:rsid w:val="00A34F0B"/>
    <w:rsid w:val="00A35727"/>
    <w:rsid w:val="00A47467"/>
    <w:rsid w:val="00A47CAA"/>
    <w:rsid w:val="00A666B6"/>
    <w:rsid w:val="00AA2887"/>
    <w:rsid w:val="00AA4275"/>
    <w:rsid w:val="00AB40AD"/>
    <w:rsid w:val="00AD079A"/>
    <w:rsid w:val="00AD4FAA"/>
    <w:rsid w:val="00AE2F93"/>
    <w:rsid w:val="00AE5DF2"/>
    <w:rsid w:val="00AF0453"/>
    <w:rsid w:val="00B22803"/>
    <w:rsid w:val="00B24CB2"/>
    <w:rsid w:val="00B36EDA"/>
    <w:rsid w:val="00B46547"/>
    <w:rsid w:val="00B5355A"/>
    <w:rsid w:val="00B571B7"/>
    <w:rsid w:val="00B67687"/>
    <w:rsid w:val="00BA6664"/>
    <w:rsid w:val="00BB168A"/>
    <w:rsid w:val="00BB2392"/>
    <w:rsid w:val="00BC27EE"/>
    <w:rsid w:val="00BC3E41"/>
    <w:rsid w:val="00BC6B2D"/>
    <w:rsid w:val="00BE5FC4"/>
    <w:rsid w:val="00BF1FD6"/>
    <w:rsid w:val="00BF4F3B"/>
    <w:rsid w:val="00C07588"/>
    <w:rsid w:val="00C1770A"/>
    <w:rsid w:val="00C20F23"/>
    <w:rsid w:val="00C409AF"/>
    <w:rsid w:val="00C4722C"/>
    <w:rsid w:val="00C50333"/>
    <w:rsid w:val="00C54B63"/>
    <w:rsid w:val="00C66710"/>
    <w:rsid w:val="00C7045F"/>
    <w:rsid w:val="00C73F99"/>
    <w:rsid w:val="00C77F3B"/>
    <w:rsid w:val="00C82251"/>
    <w:rsid w:val="00C865EF"/>
    <w:rsid w:val="00C876B2"/>
    <w:rsid w:val="00C947AD"/>
    <w:rsid w:val="00C96227"/>
    <w:rsid w:val="00CA32BC"/>
    <w:rsid w:val="00CA5309"/>
    <w:rsid w:val="00CA7684"/>
    <w:rsid w:val="00CB6635"/>
    <w:rsid w:val="00CD2A10"/>
    <w:rsid w:val="00CD4C93"/>
    <w:rsid w:val="00CD708E"/>
    <w:rsid w:val="00CE40A8"/>
    <w:rsid w:val="00CE52CF"/>
    <w:rsid w:val="00CF0F47"/>
    <w:rsid w:val="00D2710D"/>
    <w:rsid w:val="00D36CDC"/>
    <w:rsid w:val="00D37092"/>
    <w:rsid w:val="00D4210C"/>
    <w:rsid w:val="00D57E02"/>
    <w:rsid w:val="00D7737C"/>
    <w:rsid w:val="00D778A6"/>
    <w:rsid w:val="00D83E56"/>
    <w:rsid w:val="00D8744D"/>
    <w:rsid w:val="00D9355C"/>
    <w:rsid w:val="00D9461E"/>
    <w:rsid w:val="00DA788D"/>
    <w:rsid w:val="00DC2908"/>
    <w:rsid w:val="00DD4FBE"/>
    <w:rsid w:val="00DD748E"/>
    <w:rsid w:val="00DE020C"/>
    <w:rsid w:val="00DE529B"/>
    <w:rsid w:val="00DF0367"/>
    <w:rsid w:val="00DF2FF1"/>
    <w:rsid w:val="00E02727"/>
    <w:rsid w:val="00E6759A"/>
    <w:rsid w:val="00E84AF8"/>
    <w:rsid w:val="00E92BA3"/>
    <w:rsid w:val="00E97AF9"/>
    <w:rsid w:val="00EA3170"/>
    <w:rsid w:val="00EB3982"/>
    <w:rsid w:val="00EC408F"/>
    <w:rsid w:val="00ED0345"/>
    <w:rsid w:val="00ED28BD"/>
    <w:rsid w:val="00F15D50"/>
    <w:rsid w:val="00F35317"/>
    <w:rsid w:val="00F449C6"/>
    <w:rsid w:val="00F451E9"/>
    <w:rsid w:val="00F6157C"/>
    <w:rsid w:val="00F61FBF"/>
    <w:rsid w:val="00F632EA"/>
    <w:rsid w:val="00F6757F"/>
    <w:rsid w:val="00F803B0"/>
    <w:rsid w:val="00F964CE"/>
    <w:rsid w:val="00FA492F"/>
    <w:rsid w:val="00FB31B4"/>
    <w:rsid w:val="00FB38EA"/>
    <w:rsid w:val="00FD0860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A8C6"/>
  <w15:docId w15:val="{0E47410B-33DA-465D-A9D6-747D30FF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5F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Heading9">
    <w:name w:val="heading 9"/>
    <w:aliases w:val="Požiadavka 9,h9,heading9"/>
    <w:basedOn w:val="LAW-nadpis"/>
    <w:next w:val="Normal"/>
    <w:link w:val="Heading9Char"/>
    <w:qFormat/>
    <w:rsid w:val="00397AF6"/>
    <w:pPr>
      <w:spacing w:before="240" w:after="60"/>
      <w:jc w:val="righ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5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F9"/>
    <w:rPr>
      <w:rFonts w:ascii="Arial" w:eastAsia="Times New Roman" w:hAnsi="Arial" w:cs="Times New Roman"/>
      <w:sz w:val="20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6975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F9"/>
    <w:rPr>
      <w:rFonts w:ascii="Arial" w:eastAsia="Times New Roman" w:hAnsi="Arial" w:cs="Times New Roman"/>
      <w:sz w:val="20"/>
      <w:szCs w:val="24"/>
      <w:lang w:eastAsia="sk-SK"/>
    </w:rPr>
  </w:style>
  <w:style w:type="character" w:styleId="PageNumber">
    <w:name w:val="page number"/>
    <w:basedOn w:val="DefaultParagraphFont"/>
    <w:rsid w:val="006975F9"/>
  </w:style>
  <w:style w:type="paragraph" w:styleId="BodyText2">
    <w:name w:val="Body Text 2"/>
    <w:basedOn w:val="Normal"/>
    <w:link w:val="BodyText2Char"/>
    <w:rsid w:val="006975F9"/>
    <w:pPr>
      <w:spacing w:before="200"/>
      <w:jc w:val="both"/>
    </w:pPr>
    <w:rPr>
      <w:rFonts w:cs="Arial"/>
      <w:szCs w:val="22"/>
    </w:rPr>
  </w:style>
  <w:style w:type="character" w:customStyle="1" w:styleId="BodyText2Char">
    <w:name w:val="Body Text 2 Char"/>
    <w:basedOn w:val="DefaultParagraphFont"/>
    <w:link w:val="BodyText2"/>
    <w:rsid w:val="006975F9"/>
    <w:rPr>
      <w:rFonts w:ascii="Arial" w:eastAsia="Times New Roman" w:hAnsi="Arial" w:cs="Arial"/>
      <w:sz w:val="20"/>
      <w:lang w:eastAsia="sk-SK"/>
    </w:rPr>
  </w:style>
  <w:style w:type="paragraph" w:customStyle="1" w:styleId="Textbubliny1">
    <w:name w:val="Text bubliny1"/>
    <w:basedOn w:val="Normal"/>
    <w:semiHidden/>
    <w:rsid w:val="006975F9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6975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6975F9"/>
    <w:pPr>
      <w:jc w:val="center"/>
    </w:pPr>
    <w:rPr>
      <w:rFonts w:cs="Tahoma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975F9"/>
    <w:rPr>
      <w:rFonts w:ascii="Arial" w:eastAsia="Times New Roman" w:hAnsi="Arial" w:cs="Tahoma"/>
      <w:b/>
      <w:sz w:val="24"/>
      <w:szCs w:val="20"/>
    </w:rPr>
  </w:style>
  <w:style w:type="paragraph" w:customStyle="1" w:styleId="H1">
    <w:name w:val="H1"/>
    <w:basedOn w:val="Normal"/>
    <w:rsid w:val="006975F9"/>
    <w:pPr>
      <w:numPr>
        <w:numId w:val="1"/>
      </w:numPr>
      <w:spacing w:before="240" w:after="120"/>
      <w:jc w:val="both"/>
    </w:pPr>
    <w:rPr>
      <w:b/>
      <w:sz w:val="22"/>
    </w:rPr>
  </w:style>
  <w:style w:type="character" w:customStyle="1" w:styleId="Heading9Char">
    <w:name w:val="Heading 9 Char"/>
    <w:aliases w:val="Požiadavka 9 Char,h9 Char,heading9 Char"/>
    <w:basedOn w:val="DefaultParagraphFont"/>
    <w:link w:val="Heading9"/>
    <w:rsid w:val="00397AF6"/>
    <w:rPr>
      <w:rFonts w:ascii="Tahoma" w:eastAsia="Times New Roman" w:hAnsi="Tahoma" w:cs="Arial"/>
      <w:b/>
      <w:bCs/>
      <w:sz w:val="20"/>
    </w:rPr>
  </w:style>
  <w:style w:type="paragraph" w:styleId="FootnoteText">
    <w:name w:val="footnote text"/>
    <w:basedOn w:val="Normal"/>
    <w:link w:val="FootnoteTextChar"/>
    <w:semiHidden/>
    <w:rsid w:val="00397AF6"/>
    <w:rPr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397AF6"/>
    <w:rPr>
      <w:rFonts w:ascii="Arial" w:eastAsia="Times New Roman" w:hAnsi="Arial" w:cs="Times New Roman"/>
      <w:sz w:val="20"/>
      <w:szCs w:val="20"/>
      <w:lang w:eastAsia="cs-CZ"/>
    </w:rPr>
  </w:style>
  <w:style w:type="character" w:styleId="FootnoteReference">
    <w:name w:val="footnote reference"/>
    <w:semiHidden/>
    <w:rsid w:val="00397AF6"/>
    <w:rPr>
      <w:vertAlign w:val="superscript"/>
    </w:rPr>
  </w:style>
  <w:style w:type="paragraph" w:customStyle="1" w:styleId="LAW-nadpis">
    <w:name w:val="LAW - nadpis"/>
    <w:basedOn w:val="Normal"/>
    <w:link w:val="LAW-nadpisChar"/>
    <w:rsid w:val="00397AF6"/>
    <w:pPr>
      <w:jc w:val="center"/>
    </w:pPr>
    <w:rPr>
      <w:rFonts w:ascii="Tahoma" w:hAnsi="Tahoma" w:cs="Tahoma"/>
      <w:b/>
      <w:bCs/>
      <w:szCs w:val="20"/>
      <w:lang w:eastAsia="en-US"/>
    </w:rPr>
  </w:style>
  <w:style w:type="paragraph" w:customStyle="1" w:styleId="LAW-clanok">
    <w:name w:val="LAW - clanok"/>
    <w:basedOn w:val="Normal"/>
    <w:rsid w:val="00397AF6"/>
    <w:pPr>
      <w:numPr>
        <w:numId w:val="6"/>
      </w:numPr>
      <w:spacing w:before="240" w:after="240"/>
      <w:jc w:val="center"/>
    </w:pPr>
    <w:rPr>
      <w:rFonts w:ascii="Tahoma" w:hAnsi="Tahoma" w:cs="Tahoma"/>
      <w:b/>
      <w:szCs w:val="20"/>
      <w:lang w:eastAsia="en-US"/>
    </w:rPr>
  </w:style>
  <w:style w:type="paragraph" w:customStyle="1" w:styleId="LAW-bod">
    <w:name w:val="LAW - bod"/>
    <w:basedOn w:val="Normal"/>
    <w:rsid w:val="00397AF6"/>
    <w:pPr>
      <w:numPr>
        <w:ilvl w:val="1"/>
        <w:numId w:val="6"/>
      </w:numPr>
      <w:spacing w:after="120"/>
      <w:jc w:val="both"/>
    </w:pPr>
    <w:rPr>
      <w:rFonts w:ascii="Tahoma" w:hAnsi="Tahoma" w:cs="Tahoma"/>
      <w:szCs w:val="20"/>
      <w:lang w:eastAsia="en-US"/>
    </w:rPr>
  </w:style>
  <w:style w:type="paragraph" w:customStyle="1" w:styleId="LAW-pismeno">
    <w:name w:val="LAW - pismeno"/>
    <w:basedOn w:val="Normal"/>
    <w:rsid w:val="00397AF6"/>
    <w:pPr>
      <w:numPr>
        <w:numId w:val="5"/>
      </w:numPr>
      <w:spacing w:after="120"/>
      <w:jc w:val="both"/>
    </w:pPr>
    <w:rPr>
      <w:rFonts w:ascii="Tahoma" w:hAnsi="Tahoma" w:cs="Tahoma"/>
      <w:szCs w:val="20"/>
      <w:lang w:eastAsia="en-US"/>
    </w:rPr>
  </w:style>
  <w:style w:type="character" w:customStyle="1" w:styleId="LAW-nadpisChar">
    <w:name w:val="LAW - nadpis Char"/>
    <w:link w:val="LAW-nadpis"/>
    <w:rsid w:val="00397AF6"/>
    <w:rPr>
      <w:rFonts w:ascii="Tahoma" w:eastAsia="Times New Roman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B9"/>
    <w:rPr>
      <w:rFonts w:ascii="Tahoma" w:eastAsia="Times New Roman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340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FC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FC8"/>
    <w:rPr>
      <w:rFonts w:ascii="Arial" w:eastAsia="Times New Roman" w:hAnsi="Arial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FC8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20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23B9F3C1491C4143A8E42F212E800A87" ma:contentTypeVersion="" ma:contentTypeDescription="" ma:contentTypeScope="" ma:versionID="2ad4f196c777dfdbc5ca6abba56b95a1">
  <xsd:schema xmlns:xsd="http://www.w3.org/2001/XMLSchema" xmlns:xs="http://www.w3.org/2001/XMLSchema" xmlns:p="http://schemas.microsoft.com/office/2006/metadata/properties" xmlns:ns1="http://schemas.microsoft.com/sharepoint/v3" xmlns:ns3="6426F469-50FE-4F3D-A71D-24355BA373EE" targetNamespace="http://schemas.microsoft.com/office/2006/metadata/properties" ma:root="true" ma:fieldsID="afaa6b81e8b2111e0bdfba388eecc8ca" ns1:_="" ns3:_="">
    <xsd:import namespace="http://schemas.microsoft.com/sharepoint/v3"/>
    <xsd:import namespace="6426F469-50FE-4F3D-A71D-24355BA373EE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F469-50FE-4F3D-A71D-24355BA373EE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Metadata xmlns="6426F469-50FE-4F3D-A71D-24355BA373EE" xsi:nil="true"/>
    <xd_ProgID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4679-B878-45D9-9DED-A8040FFBF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26F469-50FE-4F3D-A71D-24355BA3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6FFF3-3DBC-4F43-ACD3-C3817BDA4A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26F469-50FE-4F3D-A71D-24355BA373EE"/>
  </ds:schemaRefs>
</ds:datastoreItem>
</file>

<file path=customXml/itemProps3.xml><?xml version="1.0" encoding="utf-8"?>
<ds:datastoreItem xmlns:ds="http://schemas.openxmlformats.org/officeDocument/2006/customXml" ds:itemID="{01953EE3-E47D-47C8-ADF7-EDEB793F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- Príloha 1 - SP v1.docx</vt:lpstr>
    </vt:vector>
  </TitlesOfParts>
  <Company>NARODNA BANKA SLOVENSKA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- Príloha 1 - SP v1.docx</dc:title>
  <dc:creator>Zubekova</dc:creator>
  <cp:lastModifiedBy>Ing. Anna Zubeková</cp:lastModifiedBy>
  <cp:revision>4</cp:revision>
  <cp:lastPrinted>2019-01-15T10:08:00Z</cp:lastPrinted>
  <dcterms:created xsi:type="dcterms:W3CDTF">2019-04-02T07:53:00Z</dcterms:created>
  <dcterms:modified xsi:type="dcterms:W3CDTF">2019-04-02T08:37:00Z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0x010100F5CEA94C78EB42B7A3BD7D634CEE81BF0023B9F3C1491C4143A8E42F212E800A87</vt:lpwstr>
  </property>
</Properties>
</file>