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491BD416"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DA370A">
        <w:rPr>
          <w:rFonts w:ascii="Verdana" w:hAnsi="Verdana" w:cstheme="minorHAnsi"/>
          <w:b/>
          <w:sz w:val="18"/>
          <w:szCs w:val="18"/>
        </w:rPr>
        <w:t>6</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4AABB73B" w14:textId="79B5AA12" w:rsidR="00DA370A" w:rsidRPr="00DA370A" w:rsidRDefault="00DA370A" w:rsidP="00DA370A">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DA370A">
        <w:rPr>
          <w:rFonts w:ascii="Verdana" w:hAnsi="Verdana" w:cstheme="minorHAnsi"/>
          <w:sz w:val="18"/>
          <w:szCs w:val="18"/>
        </w:rPr>
        <w:t>Prevádzkovateľ vyhlasuje, že je obchodnou spoločnosťou/podnikateľom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5F32C700" w:rsidR="00CB2F64"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3A0939D2" w14:textId="77777777" w:rsidR="00CA0A20" w:rsidRPr="00277097" w:rsidRDefault="00CA0A20"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15F90CF9" w:rsidR="00363BA0" w:rsidRPr="000C7DE1"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0E736269" w14:textId="77777777" w:rsidR="000C7DE1" w:rsidRPr="00277097" w:rsidRDefault="000C7DE1" w:rsidP="000C7DE1">
      <w:pPr>
        <w:pStyle w:val="Odsekzoznamu"/>
        <w:spacing w:after="0" w:line="312" w:lineRule="auto"/>
        <w:ind w:left="567"/>
        <w:jc w:val="both"/>
        <w:rPr>
          <w:rFonts w:ascii="Verdana" w:hAnsi="Verdana"/>
          <w:sz w:val="18"/>
          <w:szCs w:val="18"/>
        </w:rPr>
      </w:pP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B93013A" w:rsidR="00363BA0"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1A2F8EB" w14:textId="77777777" w:rsidR="000C7DE1" w:rsidRPr="00277097" w:rsidRDefault="000C7DE1" w:rsidP="000C7DE1">
      <w:pPr>
        <w:pStyle w:val="Odsekzoznamu"/>
        <w:spacing w:after="0" w:line="312" w:lineRule="auto"/>
        <w:ind w:left="567" w:right="-13"/>
        <w:jc w:val="both"/>
        <w:rPr>
          <w:rFonts w:ascii="Verdana" w:hAnsi="Verdana" w:cstheme="minorHAnsi"/>
          <w:sz w:val="18"/>
          <w:szCs w:val="18"/>
        </w:rPr>
      </w:pP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624403ED"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DA370A">
      <w:rPr>
        <w:rFonts w:ascii="Verdana" w:hAnsi="Verdana"/>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6BBF7D7D"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DA370A">
      <w:rPr>
        <w:rFonts w:ascii="Verdana" w:hAnsi="Verdana"/>
        <w:sz w:val="14"/>
        <w:szCs w:val="14"/>
      </w:rPr>
      <w:t>f</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DA370A">
      <w:rPr>
        <w:rFonts w:ascii="Verdana" w:hAnsi="Verdana"/>
        <w:sz w:val="14"/>
        <w:szCs w:val="14"/>
      </w:rPr>
      <w:t>6</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0C7DE1"/>
    <w:rsid w:val="00133638"/>
    <w:rsid w:val="00152BEA"/>
    <w:rsid w:val="00193430"/>
    <w:rsid w:val="00197487"/>
    <w:rsid w:val="001F214A"/>
    <w:rsid w:val="001F36AD"/>
    <w:rsid w:val="00207B37"/>
    <w:rsid w:val="002201FF"/>
    <w:rsid w:val="002225AD"/>
    <w:rsid w:val="002409B4"/>
    <w:rsid w:val="0026066C"/>
    <w:rsid w:val="00264581"/>
    <w:rsid w:val="00277097"/>
    <w:rsid w:val="002809C3"/>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A370A"/>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4265</Words>
  <Characters>24315</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2022-10-11T07:43:00Z</dcterms:created>
  <dcterms:modified xsi:type="dcterms:W3CDTF">2022-10-11T07:43:00Z</dcterms:modified>
</cp:coreProperties>
</file>