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4F5353FF"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5438D7">
        <w:rPr>
          <w:rFonts w:ascii="Verdana" w:hAnsi="Verdana" w:cstheme="minorHAnsi"/>
          <w:b/>
          <w:sz w:val="18"/>
          <w:szCs w:val="18"/>
        </w:rPr>
        <w:t>7</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2CF1744B" w14:textId="77777777" w:rsidR="002A0AB1" w:rsidRPr="00277097" w:rsidRDefault="004F1BE3" w:rsidP="002A0AB1">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A0AB1">
        <w:rPr>
          <w:rFonts w:ascii="Verdana" w:hAnsi="Verdana" w:cstheme="minorHAnsi"/>
          <w:sz w:val="18"/>
          <w:szCs w:val="18"/>
        </w:rPr>
        <w:t>Prevádzkovateľ</w:t>
      </w:r>
      <w:r w:rsidR="002225AD" w:rsidRPr="002A0AB1">
        <w:rPr>
          <w:rFonts w:ascii="Verdana" w:hAnsi="Verdana" w:cstheme="minorHAnsi"/>
          <w:sz w:val="18"/>
          <w:szCs w:val="18"/>
        </w:rPr>
        <w:t xml:space="preserve"> berie na vedomie, že pri realizácii predmetu Zmluvy prostredníctvom subdodávateľov (ďalej aj iba „subdodávka“) zodpovedá </w:t>
      </w:r>
      <w:r w:rsidRPr="002A0AB1">
        <w:rPr>
          <w:rFonts w:ascii="Verdana" w:hAnsi="Verdana" w:cstheme="minorHAnsi"/>
          <w:sz w:val="18"/>
          <w:szCs w:val="18"/>
        </w:rPr>
        <w:t>Prevádzkovateľ</w:t>
      </w:r>
      <w:r w:rsidR="002225AD" w:rsidRPr="002A0AB1">
        <w:rPr>
          <w:rFonts w:ascii="Verdana" w:hAnsi="Verdana" w:cstheme="minorHAnsi"/>
          <w:sz w:val="18"/>
          <w:szCs w:val="18"/>
        </w:rPr>
        <w:t xml:space="preserve"> tak, ako keby službu, resp. jej časť realizoval sám. </w:t>
      </w:r>
      <w:r w:rsidRPr="002A0AB1">
        <w:rPr>
          <w:rFonts w:ascii="Verdana" w:hAnsi="Verdana" w:cstheme="minorHAnsi"/>
          <w:sz w:val="18"/>
          <w:szCs w:val="18"/>
        </w:rPr>
        <w:t>Prevádzkovateľ</w:t>
      </w:r>
      <w:r w:rsidR="002225AD" w:rsidRPr="002A0AB1">
        <w:rPr>
          <w:rFonts w:ascii="Verdana" w:hAnsi="Verdana" w:cstheme="minorHAnsi"/>
          <w:sz w:val="18"/>
          <w:szCs w:val="18"/>
        </w:rPr>
        <w:t xml:space="preserve"> je povinný oznámiť objednávateľovi akékoľvek zmeny týkajúce sa subdodávok.  </w:t>
      </w:r>
      <w:r w:rsidRPr="002A0AB1">
        <w:rPr>
          <w:rFonts w:ascii="Verdana" w:hAnsi="Verdana" w:cstheme="minorHAnsi"/>
          <w:sz w:val="18"/>
          <w:szCs w:val="18"/>
        </w:rPr>
        <w:t>Prevádzkovateľ</w:t>
      </w:r>
      <w:r w:rsidR="002225AD" w:rsidRPr="002A0AB1">
        <w:rPr>
          <w:rFonts w:ascii="Verdana" w:hAnsi="Verdana" w:cstheme="minorHAnsi"/>
          <w:sz w:val="18"/>
          <w:szCs w:val="18"/>
        </w:rPr>
        <w:t xml:space="preserve"> vyhlasuje, že pred uzavretím Zmluvy dostatočne zvážil a s vynaložením odbornej </w:t>
      </w:r>
    </w:p>
    <w:p w14:paraId="07076411" w14:textId="46072954" w:rsidR="002225AD" w:rsidRPr="002A0AB1" w:rsidRDefault="002225AD"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A0AB1">
        <w:rPr>
          <w:rFonts w:ascii="Verdana" w:hAnsi="Verdana" w:cstheme="minorHAnsi"/>
          <w:sz w:val="18"/>
          <w:szCs w:val="18"/>
        </w:rPr>
        <w:t xml:space="preserve">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A0AB1">
        <w:rPr>
          <w:rFonts w:ascii="Verdana" w:hAnsi="Verdana" w:cstheme="minorHAnsi"/>
          <w:sz w:val="18"/>
          <w:szCs w:val="18"/>
        </w:rPr>
        <w:t>traktora</w:t>
      </w:r>
      <w:r w:rsidR="00B77044" w:rsidRPr="002A0AB1">
        <w:rPr>
          <w:rFonts w:ascii="Verdana" w:hAnsi="Verdana" w:cstheme="minorHAnsi"/>
          <w:sz w:val="18"/>
          <w:szCs w:val="18"/>
        </w:rPr>
        <w:t>/vozidla</w:t>
      </w:r>
      <w:r w:rsidRPr="002A0AB1">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6CC6E861" w14:textId="39A4DA64" w:rsidR="005438D7" w:rsidRPr="005438D7" w:rsidRDefault="005438D7" w:rsidP="005438D7">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5438D7">
        <w:rPr>
          <w:rFonts w:ascii="Verdana" w:eastAsia="Lucida Sans Unicode" w:hAnsi="Verdana" w:cstheme="minorHAnsi"/>
          <w:sz w:val="18"/>
          <w:szCs w:val="18"/>
          <w:lang w:bidi="sk-SK"/>
        </w:rPr>
        <w:t xml:space="preserve">Predmetom tejto zmluvy </w:t>
      </w:r>
      <w:r w:rsidRPr="005438D7">
        <w:rPr>
          <w:rFonts w:ascii="Verdana" w:hAnsi="Verdana" w:cstheme="minorHAnsi"/>
          <w:sz w:val="18"/>
          <w:szCs w:val="18"/>
        </w:rPr>
        <w:t xml:space="preserve">je zabezpečenie služieb vzťahujúcich sa na výkon zimnej služby v období zimnej sezóny 2022/2023 spolu s kvalifikovanou obsluhou v rozsahu činností a výkonov definovaných Prílohe č. 2, pričom objednávateľ požaduje zabezpečenie nepretržitej, 24 hodinovej služby v požadovanom rozsahu počtu vozidiel 1 ks s vodičom. Jedná sa o vozidlo kategórie NA - N3, s pohonom 4 x 4 alebo 6 x 6 vybavené čelnou snehovou radlicou s oceľovými </w:t>
      </w:r>
      <w:proofErr w:type="spellStart"/>
      <w:r w:rsidRPr="005438D7">
        <w:rPr>
          <w:rFonts w:ascii="Verdana" w:hAnsi="Verdana" w:cstheme="minorHAnsi"/>
          <w:sz w:val="18"/>
          <w:szCs w:val="18"/>
        </w:rPr>
        <w:t>britmi</w:t>
      </w:r>
      <w:proofErr w:type="spellEnd"/>
      <w:r w:rsidRPr="005438D7">
        <w:rPr>
          <w:rFonts w:ascii="Verdana" w:hAnsi="Verdana" w:cstheme="minorHAnsi"/>
          <w:sz w:val="18"/>
          <w:szCs w:val="18"/>
        </w:rPr>
        <w:t xml:space="preserve"> so záberom min. 3 m na odstraňovanie snehu pluhovaním pre úsek cesty </w:t>
      </w:r>
      <w:proofErr w:type="spellStart"/>
      <w:r w:rsidRPr="005438D7">
        <w:rPr>
          <w:rFonts w:ascii="Verdana" w:hAnsi="Verdana" w:cstheme="minorHAnsi"/>
          <w:sz w:val="18"/>
          <w:szCs w:val="18"/>
        </w:rPr>
        <w:t>Čechánky</w:t>
      </w:r>
      <w:proofErr w:type="spellEnd"/>
      <w:r w:rsidRPr="005438D7">
        <w:rPr>
          <w:rFonts w:ascii="Verdana" w:hAnsi="Verdana" w:cstheme="minorHAnsi"/>
          <w:sz w:val="18"/>
          <w:szCs w:val="18"/>
        </w:rPr>
        <w:t xml:space="preserve"> – </w:t>
      </w:r>
      <w:proofErr w:type="spellStart"/>
      <w:r w:rsidRPr="005438D7">
        <w:rPr>
          <w:rFonts w:ascii="Verdana" w:hAnsi="Verdana" w:cstheme="minorHAnsi"/>
          <w:sz w:val="18"/>
          <w:szCs w:val="18"/>
        </w:rPr>
        <w:t>Táňovo</w:t>
      </w:r>
      <w:proofErr w:type="spellEnd"/>
      <w:r w:rsidRPr="005438D7">
        <w:rPr>
          <w:rFonts w:ascii="Verdana" w:hAnsi="Verdana" w:cstheme="minorHAnsi"/>
          <w:sz w:val="18"/>
          <w:szCs w:val="18"/>
        </w:rPr>
        <w:t xml:space="preserve"> patriaci pod správu strediska objednávateľa v Poltári, okres Lučenec. Jednotlivé zásahy resp. samotný výkon zimnej údržby sa bude riadiť pokynmi a na vyzvanie poverených zamestnancov centrálneho dispečingu zriadeného na stredisku v Lučenci</w:t>
      </w:r>
      <w:r w:rsidRPr="005438D7">
        <w:rPr>
          <w:rFonts w:ascii="Verdana" w:eastAsia="Lucida Sans Unicode" w:hAnsi="Verdana" w:cstheme="minorHAnsi"/>
          <w:sz w:val="18"/>
          <w:szCs w:val="18"/>
          <w:lang w:bidi="sk-SK"/>
        </w:rPr>
        <w:t xml:space="preserve"> (ďalej len </w:t>
      </w:r>
      <w:r w:rsidRPr="005438D7">
        <w:rPr>
          <w:rFonts w:ascii="Verdana" w:eastAsia="Lucida Sans Unicode" w:hAnsi="Verdana" w:cstheme="minorHAnsi"/>
          <w:bCs/>
          <w:sz w:val="18"/>
          <w:szCs w:val="18"/>
          <w:lang w:bidi="sk-SK"/>
        </w:rPr>
        <w:t>„</w:t>
      </w:r>
      <w:r w:rsidRPr="005438D7">
        <w:rPr>
          <w:rFonts w:ascii="Verdana" w:eastAsia="Lucida Sans Unicode" w:hAnsi="Verdana" w:cstheme="minorHAnsi"/>
          <w:sz w:val="18"/>
          <w:szCs w:val="18"/>
          <w:lang w:bidi="sk-SK"/>
        </w:rPr>
        <w:t>predmet zmluvy“ alebo „výkon služby“).</w:t>
      </w: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5F32C700" w:rsidR="00CB2F64"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3A0939D2" w14:textId="77777777" w:rsidR="00CA0A20" w:rsidRPr="00277097" w:rsidRDefault="00CA0A20"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15F90CF9" w:rsidR="00363BA0" w:rsidRPr="000C7DE1"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0E736269" w14:textId="77777777" w:rsidR="000C7DE1" w:rsidRPr="00277097" w:rsidRDefault="000C7DE1" w:rsidP="000C7DE1">
      <w:pPr>
        <w:pStyle w:val="Odsekzoznamu"/>
        <w:spacing w:after="0" w:line="312" w:lineRule="auto"/>
        <w:ind w:left="567"/>
        <w:jc w:val="both"/>
        <w:rPr>
          <w:rFonts w:ascii="Verdana" w:hAnsi="Verdana"/>
          <w:sz w:val="18"/>
          <w:szCs w:val="18"/>
        </w:rPr>
      </w:pP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B93013A" w:rsidR="00363BA0"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1A2F8EB" w14:textId="77777777" w:rsidR="000C7DE1" w:rsidRPr="00277097" w:rsidRDefault="000C7DE1" w:rsidP="000C7DE1">
      <w:pPr>
        <w:pStyle w:val="Odsekzoznamu"/>
        <w:spacing w:after="0" w:line="312" w:lineRule="auto"/>
        <w:ind w:left="567" w:right="-13"/>
        <w:jc w:val="both"/>
        <w:rPr>
          <w:rFonts w:ascii="Verdana" w:hAnsi="Verdana" w:cstheme="minorHAnsi"/>
          <w:sz w:val="18"/>
          <w:szCs w:val="18"/>
        </w:rPr>
      </w:pP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3B74BE">
      <w:headerReference w:type="default" r:id="rId11"/>
      <w:footerReference w:type="default" r:id="rId12"/>
      <w:headerReference w:type="first" r:id="rId13"/>
      <w:footerReference w:type="first" r:id="rId14"/>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0DF76BE0"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5438D7">
      <w:rPr>
        <w:rFonts w:ascii="Verdana" w:hAnsi="Verdana"/>
        <w:sz w:val="14"/>
        <w:szCs w:val="1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74AECF5F" w:rsidR="00127C88" w:rsidRPr="002A0AB1" w:rsidRDefault="002A0AB1">
    <w:pPr>
      <w:pStyle w:val="Pta"/>
      <w:rPr>
        <w:rFonts w:ascii="Verdana" w:hAnsi="Verdana"/>
        <w:sz w:val="14"/>
        <w:szCs w:val="14"/>
      </w:rPr>
    </w:pPr>
    <w:r>
      <w:rPr>
        <w:rFonts w:ascii="Verdana" w:hAnsi="Verdana"/>
        <w:sz w:val="14"/>
        <w:szCs w:val="14"/>
      </w:rPr>
      <w:t>Z</w:t>
    </w:r>
    <w:r w:rsidRPr="00BD6F6D">
      <w:rPr>
        <w:rFonts w:ascii="Verdana" w:hAnsi="Verdana"/>
        <w:sz w:val="14"/>
        <w:szCs w:val="14"/>
      </w:rPr>
      <w:t>mluva o prevádzke dopravného prostriedku_časť</w:t>
    </w:r>
    <w:r>
      <w:rPr>
        <w:rFonts w:ascii="Verdana" w:hAnsi="Verdana"/>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16B4DFC"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1C3C12">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1C3C12">
      <w:rPr>
        <w:rFonts w:ascii="Verdana" w:hAnsi="Verdana"/>
        <w:sz w:val="14"/>
        <w:szCs w:val="14"/>
      </w:rPr>
      <w:t>7</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77777777"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Pr>
        <w:rFonts w:ascii="Verdana" w:hAnsi="Verdana"/>
        <w:sz w:val="14"/>
        <w:szCs w:val="14"/>
      </w:rPr>
      <w:t>7</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73412"/>
    <w:rsid w:val="00081A80"/>
    <w:rsid w:val="000827E6"/>
    <w:rsid w:val="000963C3"/>
    <w:rsid w:val="000C5B92"/>
    <w:rsid w:val="000C7DE1"/>
    <w:rsid w:val="00127C88"/>
    <w:rsid w:val="00133638"/>
    <w:rsid w:val="00152BEA"/>
    <w:rsid w:val="00193430"/>
    <w:rsid w:val="00197487"/>
    <w:rsid w:val="001C3C12"/>
    <w:rsid w:val="001F214A"/>
    <w:rsid w:val="001F36AD"/>
    <w:rsid w:val="00207B37"/>
    <w:rsid w:val="002201FF"/>
    <w:rsid w:val="002225AD"/>
    <w:rsid w:val="002409B4"/>
    <w:rsid w:val="0026066C"/>
    <w:rsid w:val="00264581"/>
    <w:rsid w:val="00277097"/>
    <w:rsid w:val="002809C3"/>
    <w:rsid w:val="002A0AB1"/>
    <w:rsid w:val="002B2D34"/>
    <w:rsid w:val="002B62A2"/>
    <w:rsid w:val="002C1BBC"/>
    <w:rsid w:val="00313A39"/>
    <w:rsid w:val="00333BCA"/>
    <w:rsid w:val="00360DC2"/>
    <w:rsid w:val="00363BA0"/>
    <w:rsid w:val="00370F12"/>
    <w:rsid w:val="00374EEA"/>
    <w:rsid w:val="00393B71"/>
    <w:rsid w:val="003945FD"/>
    <w:rsid w:val="003B0FA1"/>
    <w:rsid w:val="003B74BE"/>
    <w:rsid w:val="003C4E1C"/>
    <w:rsid w:val="003E6528"/>
    <w:rsid w:val="003F355F"/>
    <w:rsid w:val="004143E5"/>
    <w:rsid w:val="00466419"/>
    <w:rsid w:val="004F1BE3"/>
    <w:rsid w:val="00522FF6"/>
    <w:rsid w:val="00535804"/>
    <w:rsid w:val="005438D7"/>
    <w:rsid w:val="005B65B4"/>
    <w:rsid w:val="005E208B"/>
    <w:rsid w:val="005E2EBB"/>
    <w:rsid w:val="005F6EF7"/>
    <w:rsid w:val="005F7759"/>
    <w:rsid w:val="006039C3"/>
    <w:rsid w:val="00674FE6"/>
    <w:rsid w:val="0068044C"/>
    <w:rsid w:val="00681971"/>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A370A"/>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4290</Words>
  <Characters>24459</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5</cp:revision>
  <cp:lastPrinted>2022-10-11T08:01:00Z</cp:lastPrinted>
  <dcterms:created xsi:type="dcterms:W3CDTF">2022-10-11T07:45:00Z</dcterms:created>
  <dcterms:modified xsi:type="dcterms:W3CDTF">2022-10-11T08:05:00Z</dcterms:modified>
</cp:coreProperties>
</file>