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C641" w14:textId="77777777"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  <w:r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 xml:space="preserve"> č. </w:t>
      </w:r>
      <w:r w:rsidR="001B458F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..............</w:t>
      </w:r>
    </w:p>
    <w:p w14:paraId="6C838380" w14:textId="77777777"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uzavretá podľa ust. § 409 a nasl. zákona č. 513/1991 Zb. Obchodný zákonník v znení neskorších predpisov</w:t>
      </w:r>
    </w:p>
    <w:p w14:paraId="0C58C82E" w14:textId="77777777"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450437CB" w14:textId="77777777" w:rsidR="0084729C" w:rsidRDefault="0084729C" w:rsidP="007440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  <w:r>
        <w:rPr>
          <w:rFonts w:ascii="Calibri" w:eastAsia="Times New Roman" w:hAnsi="Calibri" w:cs="Calibri"/>
          <w:b/>
          <w:bCs/>
          <w:lang w:eastAsia="sk-SK"/>
        </w:rPr>
        <w:t xml:space="preserve">   </w:t>
      </w:r>
    </w:p>
    <w:p w14:paraId="4DDD5198" w14:textId="77777777" w:rsidR="00744039" w:rsidRDefault="00744039" w:rsidP="007440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E900ECF" w14:textId="77777777" w:rsidR="0084729C" w:rsidRDefault="0084729C" w:rsidP="00AF01D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AF01D2">
        <w:rPr>
          <w:rFonts w:ascii="Calibri" w:eastAsia="Times New Roman" w:hAnsi="Calibri" w:cs="Calibri"/>
          <w:lang w:eastAsia="sk-SK"/>
        </w:rPr>
        <w:tab/>
      </w:r>
      <w:r w:rsidR="00AF01D2">
        <w:rPr>
          <w:rFonts w:ascii="Calibri" w:eastAsia="Times New Roman" w:hAnsi="Calibri" w:cs="Calibri"/>
          <w:lang w:eastAsia="sk-SK"/>
        </w:rPr>
        <w:tab/>
      </w:r>
    </w:p>
    <w:p w14:paraId="3794E5D4" w14:textId="77777777"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FD0D57">
        <w:rPr>
          <w:rFonts w:ascii="Calibri" w:eastAsia="Times New Roman" w:hAnsi="Calibri" w:cs="Calibri"/>
          <w:lang w:eastAsia="sk-SK"/>
        </w:rPr>
        <w:t>Zastúpený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="00AF01D2">
        <w:rPr>
          <w:rFonts w:ascii="Calibri" w:eastAsia="Times New Roman" w:hAnsi="Calibri" w:cs="Calibri"/>
          <w:lang w:eastAsia="sk-SK"/>
        </w:rPr>
        <w:tab/>
      </w:r>
    </w:p>
    <w:p w14:paraId="6641CC8E" w14:textId="77777777"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Tel.č.: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744039">
        <w:rPr>
          <w:rFonts w:ascii="Calibri" w:eastAsia="Times New Roman" w:hAnsi="Calibri" w:cs="Calibri"/>
          <w:lang w:eastAsia="sk-SK"/>
        </w:rPr>
        <w:tab/>
      </w:r>
      <w:r w:rsidR="00744039">
        <w:rPr>
          <w:rFonts w:ascii="Calibri" w:eastAsia="Times New Roman" w:hAnsi="Calibri" w:cs="Calibri"/>
          <w:lang w:eastAsia="sk-SK"/>
        </w:rPr>
        <w:tab/>
      </w:r>
    </w:p>
    <w:p w14:paraId="05515BED" w14:textId="77777777"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  <w:r w:rsidR="00501F70">
        <w:rPr>
          <w:rFonts w:ascii="Calibri" w:eastAsia="Times New Roman" w:hAnsi="Calibri" w:cs="Calibri"/>
          <w:lang w:eastAsia="sk-SK"/>
        </w:rPr>
        <w:tab/>
      </w:r>
      <w:r w:rsidR="00501F70">
        <w:rPr>
          <w:rFonts w:ascii="Calibri" w:eastAsia="Times New Roman" w:hAnsi="Calibri" w:cs="Calibri"/>
          <w:lang w:eastAsia="sk-SK"/>
        </w:rPr>
        <w:tab/>
      </w:r>
    </w:p>
    <w:p w14:paraId="1D403BA3" w14:textId="77777777" w:rsidR="0084729C" w:rsidRDefault="007424CF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DIČ:</w:t>
      </w:r>
      <w:r w:rsidR="00501F70">
        <w:rPr>
          <w:rFonts w:ascii="Calibri" w:eastAsia="Times New Roman" w:hAnsi="Calibri" w:cs="Calibri"/>
          <w:lang w:eastAsia="sk-SK"/>
        </w:rPr>
        <w:tab/>
      </w:r>
      <w:r w:rsidR="00501F70">
        <w:rPr>
          <w:rFonts w:ascii="Calibri" w:eastAsia="Times New Roman" w:hAnsi="Calibri" w:cs="Calibri"/>
          <w:lang w:eastAsia="sk-SK"/>
        </w:rPr>
        <w:tab/>
      </w:r>
    </w:p>
    <w:p w14:paraId="443C99F5" w14:textId="77777777"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  <w:r w:rsidR="00501F70">
        <w:rPr>
          <w:rFonts w:ascii="Calibri" w:eastAsia="Times New Roman" w:hAnsi="Calibri" w:cs="Calibri"/>
          <w:lang w:eastAsia="sk-SK"/>
        </w:rPr>
        <w:tab/>
      </w:r>
    </w:p>
    <w:p w14:paraId="63EB1941" w14:textId="77777777"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4D34B6DE" w14:textId="77777777"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IBAN: </w:t>
      </w:r>
      <w:r w:rsidR="00CD3094">
        <w:rPr>
          <w:rFonts w:ascii="Calibri" w:eastAsia="Times New Roman" w:hAnsi="Calibri" w:cs="Calibri"/>
          <w:lang w:eastAsia="sk-SK"/>
        </w:rPr>
        <w:tab/>
      </w:r>
      <w:r w:rsidR="00CD3094">
        <w:rPr>
          <w:rFonts w:ascii="Calibri" w:eastAsia="Times New Roman" w:hAnsi="Calibri" w:cs="Calibri"/>
          <w:lang w:eastAsia="sk-SK"/>
        </w:rPr>
        <w:tab/>
      </w:r>
    </w:p>
    <w:p w14:paraId="7A583DD5" w14:textId="77777777"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BIC kód (SWIFT): </w:t>
      </w:r>
    </w:p>
    <w:p w14:paraId="264916C2" w14:textId="77777777"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 xml:space="preserve">ri Okresného  súdu </w:t>
      </w:r>
    </w:p>
    <w:p w14:paraId="5CFAC60D" w14:textId="77777777"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Oddiel: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="001B458F">
        <w:rPr>
          <w:rFonts w:ascii="Calibri" w:eastAsia="Times New Roman" w:hAnsi="Calibri" w:cs="Calibri"/>
          <w:lang w:eastAsia="sk-SK"/>
        </w:rPr>
        <w:t xml:space="preserve">   </w:t>
      </w:r>
      <w:r>
        <w:rPr>
          <w:rFonts w:ascii="Calibri" w:eastAsia="Times New Roman" w:hAnsi="Calibri" w:cs="Calibri"/>
          <w:lang w:eastAsia="sk-SK"/>
        </w:rPr>
        <w:t xml:space="preserve">  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14:paraId="1B8CB5B2" w14:textId="77777777"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00232065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E9E750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7FFD033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2871EDAA" w14:textId="6CC93E36"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="00FD0D57" w:rsidRPr="00FD0D57">
        <w:rPr>
          <w:rFonts w:ascii="Calibri" w:eastAsia="Times New Roman" w:hAnsi="Calibri" w:cs="Calibri"/>
          <w:b/>
          <w:lang w:eastAsia="sk-SK"/>
        </w:rPr>
        <w:t xml:space="preserve">Lesy Slovenskej republiky, štátny podnik </w:t>
      </w:r>
      <w:r w:rsidR="00594277" w:rsidRPr="00594277">
        <w:rPr>
          <w:rFonts w:ascii="Calibri" w:eastAsia="Times New Roman" w:hAnsi="Calibri" w:cs="Calibri"/>
          <w:b/>
          <w:lang w:eastAsia="sk-SK"/>
        </w:rPr>
        <w:t xml:space="preserve">organizačná zložka </w:t>
      </w:r>
      <w:r w:rsidR="00E116EA">
        <w:rPr>
          <w:rFonts w:ascii="Calibri" w:eastAsia="Times New Roman" w:hAnsi="Calibri" w:cs="Calibri"/>
          <w:b/>
          <w:lang w:eastAsia="sk-SK"/>
        </w:rPr>
        <w:t>OZ Tatry</w:t>
      </w:r>
    </w:p>
    <w:p w14:paraId="35B756B8" w14:textId="77777777" w:rsidR="00DF25B6" w:rsidRPr="0034095C" w:rsidRDefault="00FD0D57" w:rsidP="00DF25B6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ab/>
      </w:r>
    </w:p>
    <w:p w14:paraId="5586A104" w14:textId="1771010C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="00980639">
        <w:rPr>
          <w:rFonts w:ascii="Calibri" w:eastAsia="Times New Roman" w:hAnsi="Calibri" w:cs="Calibri"/>
          <w:lang w:eastAsia="sk-SK"/>
        </w:rPr>
        <w:t>ídlo:</w:t>
      </w:r>
      <w:r w:rsidR="00FD0D57">
        <w:rPr>
          <w:rFonts w:ascii="Calibri" w:eastAsia="Times New Roman" w:hAnsi="Calibri" w:cs="Calibri"/>
          <w:lang w:eastAsia="sk-SK"/>
        </w:rPr>
        <w:t xml:space="preserve"> </w:t>
      </w:r>
      <w:r w:rsidR="00E116EA">
        <w:rPr>
          <w:rFonts w:ascii="Calibri" w:eastAsia="Times New Roman" w:hAnsi="Calibri" w:cs="Calibri"/>
          <w:lang w:eastAsia="sk-SK"/>
        </w:rPr>
        <w:t xml:space="preserve">Juraja Martinku 110/6, Liptovský Hrádok </w:t>
      </w:r>
      <w:r w:rsidR="005F7F81">
        <w:rPr>
          <w:rFonts w:ascii="Calibri" w:eastAsia="Times New Roman" w:hAnsi="Calibri" w:cs="Calibri"/>
          <w:lang w:eastAsia="sk-SK"/>
        </w:rPr>
        <w:t>033 01</w:t>
      </w:r>
      <w:bookmarkStart w:id="0" w:name="_GoBack"/>
      <w:bookmarkEnd w:id="0"/>
    </w:p>
    <w:p w14:paraId="28DBFDEE" w14:textId="1D728DE9" w:rsidR="00FD0D57" w:rsidRDefault="00FD0D57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FD0D57">
        <w:rPr>
          <w:rFonts w:ascii="Calibri" w:eastAsia="Times New Roman" w:hAnsi="Calibri" w:cs="Calibri"/>
          <w:lang w:eastAsia="sk-SK"/>
        </w:rPr>
        <w:t>Zastúpený: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74103C">
        <w:rPr>
          <w:rFonts w:ascii="Calibri" w:eastAsia="Times New Roman" w:hAnsi="Calibri" w:cs="Calibri"/>
          <w:lang w:eastAsia="sk-SK"/>
        </w:rPr>
        <w:t xml:space="preserve">Ing. </w:t>
      </w:r>
      <w:r w:rsidR="00E116EA">
        <w:rPr>
          <w:rFonts w:ascii="Calibri" w:eastAsia="Times New Roman" w:hAnsi="Calibri" w:cs="Calibri"/>
          <w:lang w:eastAsia="sk-SK"/>
        </w:rPr>
        <w:t>Ján Vrbenský</w:t>
      </w:r>
    </w:p>
    <w:p w14:paraId="1AA96762" w14:textId="69570B9A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Tel.č.: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E116EA">
        <w:rPr>
          <w:rFonts w:ascii="Calibri" w:eastAsia="Times New Roman" w:hAnsi="Calibri" w:cs="Calibri"/>
          <w:lang w:eastAsia="sk-SK"/>
        </w:rPr>
        <w:t>0905805556</w:t>
      </w:r>
    </w:p>
    <w:p w14:paraId="6FEFDEDC" w14:textId="77777777" w:rsidR="00DF25B6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  <w:r w:rsidR="00FD0D57" w:rsidRPr="00FD0D57">
        <w:rPr>
          <w:rFonts w:ascii="Calibri" w:eastAsia="Times New Roman" w:hAnsi="Calibri" w:cs="Calibri"/>
          <w:lang w:eastAsia="sk-SK"/>
        </w:rPr>
        <w:t>36038351</w:t>
      </w:r>
    </w:p>
    <w:p w14:paraId="604589F8" w14:textId="77777777" w:rsidR="009F48B9" w:rsidRPr="0034095C" w:rsidRDefault="00DF25B6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</w:t>
      </w:r>
      <w:r w:rsidR="00FD0D57" w:rsidRPr="00FD0D57">
        <w:rPr>
          <w:rFonts w:ascii="Calibri" w:eastAsia="Times New Roman" w:hAnsi="Calibri" w:cs="Calibri"/>
          <w:lang w:eastAsia="sk-SK"/>
        </w:rPr>
        <w:t>SK 2020087982</w:t>
      </w:r>
    </w:p>
    <w:p w14:paraId="66CAC63C" w14:textId="306314FA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 w:rsidR="00E116EA" w:rsidRPr="00E116EA">
        <w:rPr>
          <w:rFonts w:cstheme="minorHAnsi"/>
          <w:bCs/>
          <w:szCs w:val="19"/>
        </w:rPr>
        <w:t>SK6402000000000002700342</w:t>
      </w:r>
    </w:p>
    <w:p w14:paraId="0C23CF28" w14:textId="77777777"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54CEDF76" w14:textId="77777777"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>Oddiel: Pš  Vložka č.: 155/S</w:t>
      </w:r>
    </w:p>
    <w:p w14:paraId="1F5F98F9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317C3989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5B815A3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0222D207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0CE018C8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</w:t>
      </w:r>
      <w:r w:rsidR="003E4A43">
        <w:rPr>
          <w:rFonts w:ascii="Calibri" w:eastAsia="Times New Roman" w:hAnsi="Calibri" w:cs="Calibri"/>
          <w:lang w:eastAsia="sk-SK"/>
        </w:rPr>
        <w:t xml:space="preserve"> kúpnu cenu za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96475">
        <w:rPr>
          <w:rFonts w:ascii="Calibri" w:eastAsia="Times New Roman" w:hAnsi="Calibri" w:cs="Calibri"/>
          <w:lang w:eastAsia="sk-SK"/>
        </w:rPr>
        <w:t>tovar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za podmienok ďalej v tejto zmluve dohodnutých: </w:t>
      </w:r>
    </w:p>
    <w:p w14:paraId="0C237A04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186"/>
        <w:gridCol w:w="2999"/>
        <w:gridCol w:w="1415"/>
      </w:tblGrid>
      <w:tr w:rsidR="009F48B9" w:rsidRPr="0034095C" w14:paraId="7D3FE9C1" w14:textId="77777777" w:rsidTr="00714562">
        <w:trPr>
          <w:trHeight w:hRule="exact" w:val="373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480CAF41" w14:textId="77777777"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P.č. </w:t>
            </w:r>
          </w:p>
        </w:tc>
        <w:tc>
          <w:tcPr>
            <w:tcW w:w="22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9AC29F5" w14:textId="77777777"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CD26AAE" w14:textId="77777777"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281B1D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3F536469" w14:textId="77777777"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9F48B9" w:rsidRPr="0034095C" w14:paraId="70BE2AC8" w14:textId="77777777" w:rsidTr="004D48CD">
        <w:trPr>
          <w:trHeight w:hRule="exact" w:val="774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9A9C" w14:textId="77777777" w:rsidR="009F48B9" w:rsidRPr="00B605DF" w:rsidRDefault="009F48B9" w:rsidP="002A37D9">
            <w:pPr>
              <w:rPr>
                <w:rFonts w:ascii="Calibri" w:eastAsia="Calibri" w:hAnsi="Calibri" w:cs="Calibri"/>
              </w:rPr>
            </w:pPr>
            <w:r w:rsidRPr="00B605DF"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1224" w14:textId="77777777" w:rsidR="009F48B9" w:rsidRPr="000B5BB7" w:rsidRDefault="0074103C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</w:t>
            </w:r>
            <w:r w:rsidRPr="00955F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rívesný vozí</w:t>
            </w:r>
            <w:r w:rsidR="004D48C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 valníkový dvojnápravový, brzdený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 kolesami vedľa ložnej plochy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B9CC9" w14:textId="77777777" w:rsidR="009F48B9" w:rsidRPr="000B5BB7" w:rsidRDefault="007424CF" w:rsidP="007410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8A9D37" w14:textId="77777777" w:rsidR="009F48B9" w:rsidRPr="00B605DF" w:rsidRDefault="0074103C" w:rsidP="002A37D9">
            <w:pPr>
              <w:ind w:left="214"/>
              <w:rPr>
                <w:rFonts w:ascii="Calibri" w:eastAsia="Calibri" w:hAnsi="Calibri" w:cs="Calibri"/>
              </w:rPr>
            </w:pPr>
            <w:r w:rsidRPr="0074103C">
              <w:rPr>
                <w:rFonts w:ascii="Calibri" w:eastAsia="Calibri" w:hAnsi="Calibri" w:cs="Calibri"/>
              </w:rPr>
              <w:t>2</w:t>
            </w:r>
          </w:p>
        </w:tc>
      </w:tr>
    </w:tbl>
    <w:p w14:paraId="4A7C38C3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1A9A5F4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</w:p>
    <w:p w14:paraId="2F467A8B" w14:textId="77777777" w:rsidR="009F48B9" w:rsidRPr="0034095C" w:rsidRDefault="009F48B9" w:rsidP="009F48B9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14:paraId="3DD7E61C" w14:textId="77777777" w:rsidR="009F48B9" w:rsidRPr="00F63D89" w:rsidRDefault="009F48B9" w:rsidP="009F48B9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14:paraId="1EA3A22E" w14:textId="77777777" w:rsidR="009F48B9" w:rsidRPr="00AE6072" w:rsidRDefault="009F48B9" w:rsidP="009F48B9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color w:val="000000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a)  </w:t>
      </w:r>
      <w:r>
        <w:rPr>
          <w:rFonts w:ascii="Calibri" w:eastAsia="Times New Roman" w:hAnsi="Calibri" w:cs="Calibri"/>
          <w:color w:val="000000"/>
          <w:lang w:eastAsia="sk-SK"/>
        </w:rPr>
        <w:t>Dodanie dokumentácie</w:t>
      </w:r>
      <w:r w:rsidRPr="00AE6072">
        <w:t xml:space="preserve"> </w:t>
      </w:r>
      <w:r w:rsidRPr="00AE6072">
        <w:rPr>
          <w:rFonts w:ascii="Calibri" w:eastAsia="Times New Roman" w:hAnsi="Calibri" w:cs="Calibri"/>
          <w:color w:val="000000"/>
          <w:lang w:eastAsia="sk-SK"/>
        </w:rPr>
        <w:t>v slovenskom alebo českom jazyku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262A9F">
        <w:rPr>
          <w:rFonts w:ascii="Calibri" w:eastAsia="Times New Roman" w:hAnsi="Calibri" w:cs="Calibri"/>
          <w:color w:val="000000"/>
          <w:lang w:eastAsia="sk-SK"/>
        </w:rPr>
        <w:t>(pokiaľ nie je uvedené inak)</w:t>
      </w: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: </w:t>
      </w:r>
    </w:p>
    <w:p w14:paraId="069188AB" w14:textId="77777777" w:rsidR="00623D6F" w:rsidRPr="0074103C" w:rsidRDefault="00623D6F" w:rsidP="00623D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/>
          <w:bCs/>
        </w:rPr>
      </w:pPr>
      <w:r w:rsidRPr="0074103C">
        <w:rPr>
          <w:rFonts w:eastAsia="Calibri" w:cs="Times New Roman"/>
        </w:rPr>
        <w:t>rozhodnutie</w:t>
      </w:r>
      <w:r w:rsidR="00A03874" w:rsidRPr="0074103C">
        <w:rPr>
          <w:rFonts w:eastAsia="Calibri" w:cs="Times New Roman"/>
        </w:rPr>
        <w:t xml:space="preserve"> o uznaní typového schválenia </w:t>
      </w:r>
    </w:p>
    <w:p w14:paraId="1834C650" w14:textId="77777777" w:rsidR="009F48B9" w:rsidRPr="0074103C" w:rsidRDefault="00980639" w:rsidP="00623D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/>
          <w:bCs/>
        </w:rPr>
      </w:pPr>
      <w:r w:rsidRPr="0074103C">
        <w:rPr>
          <w:rFonts w:ascii="Calibri" w:eastAsia="Calibri" w:hAnsi="Calibri"/>
          <w:bCs/>
        </w:rPr>
        <w:t xml:space="preserve">legalizácia pohybu po </w:t>
      </w:r>
      <w:r w:rsidR="009F48B9" w:rsidRPr="0074103C">
        <w:rPr>
          <w:rFonts w:ascii="Calibri" w:eastAsia="Calibri" w:hAnsi="Calibri"/>
          <w:bCs/>
        </w:rPr>
        <w:t>verejných komunikáciách v SR (kompletné osvedčenie o evidencii vozidla</w:t>
      </w:r>
      <w:r w:rsidR="00623D6F" w:rsidRPr="0074103C">
        <w:rPr>
          <w:rFonts w:ascii="Calibri" w:eastAsia="Calibri" w:hAnsi="Calibri"/>
          <w:bCs/>
        </w:rPr>
        <w:t>,</w:t>
      </w:r>
      <w:r w:rsidR="00623D6F" w:rsidRPr="0074103C">
        <w:t xml:space="preserve"> </w:t>
      </w:r>
      <w:r w:rsidR="00623D6F" w:rsidRPr="0074103C">
        <w:rPr>
          <w:rFonts w:ascii="Calibri" w:eastAsia="Calibri" w:hAnsi="Calibri"/>
          <w:bCs/>
        </w:rPr>
        <w:t>res</w:t>
      </w:r>
      <w:r w:rsidR="0069064C" w:rsidRPr="0074103C">
        <w:rPr>
          <w:rFonts w:ascii="Calibri" w:eastAsia="Calibri" w:hAnsi="Calibri"/>
          <w:bCs/>
        </w:rPr>
        <w:t>p. technické osvedčenie vozidla</w:t>
      </w:r>
      <w:r w:rsidR="00623D6F" w:rsidRPr="0074103C">
        <w:rPr>
          <w:rFonts w:ascii="Calibri" w:eastAsia="Calibri" w:hAnsi="Calibri"/>
          <w:bCs/>
        </w:rPr>
        <w:t xml:space="preserve"> </w:t>
      </w:r>
      <w:r w:rsidR="009F48B9" w:rsidRPr="0074103C">
        <w:rPr>
          <w:rFonts w:ascii="Calibri" w:eastAsia="Calibri" w:hAnsi="Calibri"/>
          <w:bCs/>
        </w:rPr>
        <w:t>)</w:t>
      </w:r>
    </w:p>
    <w:p w14:paraId="3BA8BBC3" w14:textId="77777777" w:rsidR="009F48B9" w:rsidRPr="0074103C" w:rsidRDefault="00ED1EA0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74103C">
        <w:rPr>
          <w:rFonts w:ascii="Calibri" w:eastAsia="Calibri" w:hAnsi="Calibri"/>
          <w:bCs/>
        </w:rPr>
        <w:t>návod na obsluhu</w:t>
      </w:r>
    </w:p>
    <w:p w14:paraId="5337F35E" w14:textId="77777777" w:rsidR="009F48B9" w:rsidRDefault="009F48B9" w:rsidP="009F48B9">
      <w:pPr>
        <w:spacing w:after="0" w:line="240" w:lineRule="auto"/>
        <w:ind w:left="1843"/>
        <w:contextualSpacing/>
        <w:jc w:val="both"/>
        <w:rPr>
          <w:rFonts w:ascii="Calibri" w:eastAsia="Calibri" w:hAnsi="Calibri" w:cs="Times New Roman"/>
          <w:bCs/>
        </w:rPr>
      </w:pPr>
      <w:r w:rsidRPr="004322EA">
        <w:rPr>
          <w:rFonts w:ascii="Calibri" w:eastAsia="Calibri" w:hAnsi="Calibri" w:cs="Times New Roman"/>
          <w:bCs/>
        </w:rPr>
        <w:lastRenderedPageBreak/>
        <w:tab/>
      </w:r>
    </w:p>
    <w:p w14:paraId="24803A96" w14:textId="77777777" w:rsidR="009F48B9" w:rsidRPr="0034095C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14:paraId="6654535F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4C0F5D45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047A0047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 xml:space="preserve">na základe </w:t>
      </w:r>
      <w:r w:rsidRPr="00E264BE">
        <w:rPr>
          <w:rFonts w:ascii="Calibri" w:eastAsia="Times New Roman" w:hAnsi="Calibri" w:cs="Calibri"/>
          <w:lang w:eastAsia="sk-SK"/>
        </w:rPr>
        <w:t xml:space="preserve">verejného obstarávania </w:t>
      </w:r>
      <w:r w:rsidRPr="0034095C">
        <w:rPr>
          <w:rFonts w:ascii="Calibri" w:eastAsia="Times New Roman" w:hAnsi="Calibri" w:cs="Calibri"/>
          <w:lang w:eastAsia="sk-SK"/>
        </w:rPr>
        <w:t xml:space="preserve">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57695FF6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09334BE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91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531"/>
        <w:gridCol w:w="2459"/>
        <w:gridCol w:w="1277"/>
        <w:gridCol w:w="2172"/>
        <w:gridCol w:w="1120"/>
      </w:tblGrid>
      <w:tr w:rsidR="0084729C" w:rsidRPr="0034095C" w14:paraId="43659AD0" w14:textId="77777777" w:rsidTr="002C4502">
        <w:trPr>
          <w:trHeight w:val="9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A5AFE5E" w14:textId="77777777"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P.č.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DD2F77" w14:textId="77777777"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372F355" w14:textId="77777777"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BEDF94B" w14:textId="77777777"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3817DED" w14:textId="77777777"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s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9C8B21C" w14:textId="77777777"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</w:tr>
      <w:tr w:rsidR="0084729C" w:rsidRPr="0034095C" w14:paraId="51B8D591" w14:textId="77777777" w:rsidTr="002C4502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F1B5" w14:textId="77777777"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85EB" w14:textId="77777777" w:rsidR="009F48B9" w:rsidRPr="00BB61E2" w:rsidRDefault="009F48B9" w:rsidP="00B605D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680F" w14:textId="77777777"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7B934" w14:textId="77777777"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8CABE" w14:textId="77777777"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C6C678" w14:textId="77777777"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</w:tr>
    </w:tbl>
    <w:p w14:paraId="3AE5EBB3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21900B92" w14:textId="77777777" w:rsidR="00EF2E38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 </w:t>
      </w:r>
      <w:r w:rsidRPr="0034095C">
        <w:rPr>
          <w:rFonts w:ascii="Calibri" w:eastAsia="Times New Roman" w:hAnsi="Calibri" w:cs="Calibri"/>
          <w:b/>
          <w:bCs/>
          <w:lang w:eastAsia="sk-SK"/>
        </w:rPr>
        <w:t>:</w:t>
      </w:r>
      <w:r w:rsidR="005D4587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                </w:t>
      </w:r>
      <w:r w:rsidR="00101C88" w:rsidRPr="00101C88">
        <w:rPr>
          <w:rFonts w:ascii="Calibri" w:eastAsia="Times New Roman" w:hAnsi="Calibri" w:cs="Calibri"/>
          <w:b/>
          <w:bCs/>
          <w:lang w:eastAsia="sk-SK"/>
        </w:rPr>
        <w:t>€</w:t>
      </w:r>
    </w:p>
    <w:p w14:paraId="2E1895D7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 (Slovom :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94277">
        <w:rPr>
          <w:rFonts w:ascii="Calibri" w:eastAsia="Times New Roman" w:hAnsi="Calibri" w:cs="Calibri"/>
          <w:b/>
          <w:bCs/>
          <w:lang w:eastAsia="sk-SK"/>
        </w:rPr>
        <w:t xml:space="preserve"> ...................... </w:t>
      </w:r>
      <w:r w:rsidR="002C4502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EUR vrátane DPH) </w:t>
      </w:r>
    </w:p>
    <w:p w14:paraId="00391C9F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A0BA620" w14:textId="77777777" w:rsidR="009F48B9" w:rsidRDefault="00594277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</w:t>
      </w:r>
      <w:r w:rsidR="009F48B9"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4F74B8">
        <w:rPr>
          <w:rFonts w:eastAsia="Times New Roman" w:cstheme="minorHAnsi"/>
          <w:color w:val="000000"/>
          <w:lang w:eastAsia="sk-SK"/>
        </w:rPr>
        <w:t>sa rozumie cena</w:t>
      </w:r>
      <w:r w:rsidR="009F48B9" w:rsidRPr="00087C70">
        <w:rPr>
          <w:rFonts w:eastAsia="Times New Roman" w:cstheme="minorHAnsi"/>
          <w:color w:val="000000"/>
          <w:lang w:eastAsia="sk-SK"/>
        </w:rPr>
        <w:t xml:space="preserve"> vrátane colných a daňových poplatkov, komplexného zabezpečenia služieb spojených s dodávkou tovaru, vrátane dopravy do miesta plnenia (náklady na dopravu, poistenie a ostatné náklady spojené s dodávkou tovaru), odskúšania prevádzky, návodu na obsluhu a údržbu, servisného zošita so záručnými podmienkami v slovenskom jazyku kompletného technického osvedčenia, povinnej výbavy, komple</w:t>
      </w:r>
      <w:r w:rsidR="004F74B8">
        <w:rPr>
          <w:rFonts w:eastAsia="Times New Roman" w:cstheme="minorHAnsi"/>
          <w:color w:val="000000"/>
          <w:lang w:eastAsia="sk-SK"/>
        </w:rPr>
        <w:t xml:space="preserve">tného príslušenstva pre montáž </w:t>
      </w:r>
      <w:r w:rsidR="009F48B9" w:rsidRPr="00087C70">
        <w:rPr>
          <w:rFonts w:eastAsia="Times New Roman" w:cstheme="minorHAnsi"/>
          <w:color w:val="000000"/>
          <w:lang w:eastAsia="sk-SK"/>
        </w:rPr>
        <w:t>a pre plnohodnotnú prevádzku.</w:t>
      </w:r>
    </w:p>
    <w:p w14:paraId="1BF0F378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05B8FC4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24B3777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13FB5FEF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</w:p>
    <w:p w14:paraId="2D9C1AC8" w14:textId="77777777" w:rsidR="003E4A43" w:rsidRPr="0034095C" w:rsidRDefault="003E4A4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Faktu</w:t>
      </w:r>
      <w:r w:rsidR="000D4862">
        <w:rPr>
          <w:rFonts w:ascii="Calibri" w:eastAsia="Times New Roman" w:hAnsi="Calibri" w:cs="Calibri"/>
          <w:lang w:eastAsia="sk-SK"/>
        </w:rPr>
        <w:t>rovaný môže byť len ten tovar, ktorý bol riadne dodaný kupujúcemu.</w:t>
      </w:r>
    </w:p>
    <w:p w14:paraId="58BC4505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9B0ACE7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</w:t>
      </w:r>
      <w:r w:rsidR="000D4862">
        <w:rPr>
          <w:rFonts w:ascii="Calibri" w:eastAsia="Times New Roman" w:hAnsi="Calibri" w:cs="Calibri"/>
          <w:lang w:eastAsia="sk-SK"/>
        </w:rPr>
        <w:t xml:space="preserve">(kúpnej ceny) </w:t>
      </w:r>
      <w:r w:rsidRPr="0034095C">
        <w:rPr>
          <w:rFonts w:ascii="Calibri" w:eastAsia="Times New Roman" w:hAnsi="Calibri" w:cs="Calibri"/>
          <w:lang w:eastAsia="sk-SK"/>
        </w:rPr>
        <w:t xml:space="preserve">je 30 dní odo dňa jej doručenia kupujúcemu. Súčasťou faktúry je preberací -odovzdávací protokol potvrdený povereným zástupcom kupujúceho. </w:t>
      </w:r>
    </w:p>
    <w:p w14:paraId="19E5FCD3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2720FB80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375D36F7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E1276ED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14:paraId="756929BA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t.j. bude vykonaný zápočet. Predávajúci sa zároveň zaväzuje bezodkladne vystaviť a poslať kupujúcemu doklad o vyčíslení skonta – finančného bonusu. </w:t>
      </w:r>
    </w:p>
    <w:p w14:paraId="5E72B749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t.j. predávajúci vyhotoví v súvislosti s DPH len nedaňový doklad - tzv. finančný dobropis, za účelom finančného vyrovnania uplatnenej zľavy.      </w:t>
      </w:r>
    </w:p>
    <w:p w14:paraId="71EE48F4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D71A5E2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14:paraId="6BF5C902" w14:textId="77777777" w:rsid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F2D3FDF" w14:textId="77777777" w:rsidR="00E264BE" w:rsidRDefault="00E264BE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5F82874" w14:textId="77777777" w:rsidR="006408FD" w:rsidRP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6. Fakturačná adresa:   </w:t>
      </w:r>
      <w:r w:rsidRPr="006408FD">
        <w:rPr>
          <w:rFonts w:ascii="Calibri" w:eastAsia="Times New Roman" w:hAnsi="Calibri" w:cs="Calibri"/>
          <w:b/>
          <w:lang w:eastAsia="sk-SK"/>
        </w:rPr>
        <w:t>LE</w:t>
      </w:r>
      <w:r w:rsidR="00FD0D57">
        <w:rPr>
          <w:rFonts w:ascii="Calibri" w:eastAsia="Times New Roman" w:hAnsi="Calibri" w:cs="Calibri"/>
          <w:b/>
          <w:lang w:eastAsia="sk-SK"/>
        </w:rPr>
        <w:t xml:space="preserve">SY Slovenskej republiky, štátny </w:t>
      </w:r>
      <w:r w:rsidRPr="006408FD">
        <w:rPr>
          <w:rFonts w:ascii="Calibri" w:eastAsia="Times New Roman" w:hAnsi="Calibri" w:cs="Calibri"/>
          <w:b/>
          <w:lang w:eastAsia="sk-SK"/>
        </w:rPr>
        <w:t>podnik</w:t>
      </w:r>
    </w:p>
    <w:p w14:paraId="6C34A6D5" w14:textId="77777777"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ab/>
        <w:t>Námestie SNP č. 8</w:t>
      </w:r>
    </w:p>
    <w:p w14:paraId="3AF1182A" w14:textId="77777777"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 xml:space="preserve">                                          975 66 Banská Bystrica</w:t>
      </w:r>
    </w:p>
    <w:p w14:paraId="4E38D48E" w14:textId="77777777" w:rsidR="00594277" w:rsidRPr="0034095C" w:rsidRDefault="00594277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3F287E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130172F8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39A45E0C" w14:textId="77777777" w:rsidR="009F48B9" w:rsidRPr="0034095C" w:rsidRDefault="00BC419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C4193">
        <w:rPr>
          <w:rFonts w:ascii="Calibri" w:eastAsia="Times New Roman" w:hAnsi="Calibri" w:cs="Calibri"/>
          <w:lang w:eastAsia="sk-SK"/>
        </w:rPr>
        <w:t>1. Predmet zmluvy uvedený v čl. I.  bode 1.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>bu</w:t>
      </w:r>
      <w:r w:rsidR="009F48B9"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="009F48B9"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EA7D21">
        <w:rPr>
          <w:rFonts w:ascii="Calibri" w:eastAsia="Times New Roman" w:hAnsi="Calibri" w:cs="Calibri"/>
          <w:b/>
          <w:lang w:eastAsia="sk-SK"/>
        </w:rPr>
        <w:t xml:space="preserve"> </w:t>
      </w:r>
      <w:r w:rsidR="00EA7D21" w:rsidRPr="00E264BE">
        <w:rPr>
          <w:rFonts w:ascii="Calibri" w:eastAsia="Times New Roman" w:hAnsi="Calibri" w:cs="Calibri"/>
          <w:b/>
          <w:lang w:eastAsia="sk-SK"/>
        </w:rPr>
        <w:t>30</w:t>
      </w:r>
      <w:r w:rsidR="009F48B9" w:rsidRPr="00594277">
        <w:rPr>
          <w:rFonts w:ascii="Calibri" w:eastAsia="Times New Roman" w:hAnsi="Calibri" w:cs="Calibri"/>
          <w:b/>
          <w:color w:val="FF0000"/>
          <w:lang w:eastAsia="sk-SK"/>
        </w:rPr>
        <w:t xml:space="preserve"> </w:t>
      </w:r>
      <w:r w:rsidR="00EF2E38" w:rsidRPr="00594277">
        <w:rPr>
          <w:rFonts w:ascii="Calibri" w:eastAsia="Times New Roman" w:hAnsi="Calibri" w:cs="Calibri"/>
          <w:b/>
          <w:color w:val="FF0000"/>
          <w:lang w:eastAsia="sk-SK"/>
        </w:rPr>
        <w:t xml:space="preserve"> </w:t>
      </w:r>
      <w:r w:rsidR="009F48B9"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 w:rsidR="009F48B9">
        <w:rPr>
          <w:rFonts w:ascii="Calibri" w:eastAsia="Times New Roman" w:hAnsi="Calibri" w:cs="Calibri"/>
          <w:lang w:eastAsia="sk-SK"/>
        </w:rPr>
        <w:t>tejto</w:t>
      </w:r>
      <w:r w:rsidR="009F48B9"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="009F48B9"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71B8D6E9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B199FB4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maior). Dodacia lehota sa v takomto prípade primerane predĺži o dobu počas, ktorej trvala takáto okolnosť.</w:t>
      </w:r>
    </w:p>
    <w:p w14:paraId="0110AE5C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7FDBD76" w14:textId="7035DBF1" w:rsidR="001B458F" w:rsidRPr="001B458F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 je</w:t>
      </w:r>
      <w:r w:rsidRPr="00C05406">
        <w:rPr>
          <w:rFonts w:ascii="Calibri" w:eastAsia="Times New Roman" w:hAnsi="Calibri" w:cs="Calibri"/>
          <w:lang w:eastAsia="sk-SK"/>
        </w:rPr>
        <w:t>:</w:t>
      </w:r>
      <w:r w:rsidR="00E116EA">
        <w:rPr>
          <w:rFonts w:ascii="Calibri" w:eastAsia="Times New Roman" w:hAnsi="Calibri" w:cs="Calibri"/>
          <w:lang w:eastAsia="sk-SK"/>
        </w:rPr>
        <w:t xml:space="preserve"> </w:t>
      </w:r>
      <w:r w:rsidR="00E116EA" w:rsidRPr="00E116EA">
        <w:rPr>
          <w:rFonts w:ascii="Calibri" w:eastAsia="Times New Roman" w:hAnsi="Calibri" w:cs="Calibri"/>
          <w:b/>
          <w:lang w:eastAsia="sk-SK"/>
        </w:rPr>
        <w:t>organizačná zložka</w:t>
      </w:r>
      <w:r w:rsidR="00E264BE" w:rsidRPr="00E116EA">
        <w:rPr>
          <w:rFonts w:ascii="Calibri" w:eastAsia="Times New Roman" w:hAnsi="Calibri" w:cs="Calibri"/>
          <w:b/>
          <w:lang w:eastAsia="sk-SK"/>
        </w:rPr>
        <w:t xml:space="preserve"> </w:t>
      </w:r>
      <w:r w:rsidR="00E116EA" w:rsidRPr="00E116EA">
        <w:rPr>
          <w:rFonts w:ascii="Calibri" w:eastAsia="Times New Roman" w:hAnsi="Calibri" w:cs="Calibri"/>
          <w:b/>
          <w:lang w:eastAsia="sk-SK"/>
        </w:rPr>
        <w:t>OZ Tatry</w:t>
      </w:r>
      <w:r w:rsidR="00E116EA">
        <w:rPr>
          <w:rFonts w:ascii="Calibri" w:eastAsia="Times New Roman" w:hAnsi="Calibri" w:cs="Calibri"/>
          <w:b/>
          <w:lang w:eastAsia="sk-SK"/>
        </w:rPr>
        <w:t>, Juraja Martinku 110/6, Liptovský Hrádok 110/6</w:t>
      </w:r>
    </w:p>
    <w:p w14:paraId="5C5A40FE" w14:textId="77777777" w:rsidR="001B458F" w:rsidRDefault="001B458F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D7C2FA9" w14:textId="2373701D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</w:t>
      </w:r>
      <w:r w:rsidR="00FD0D57">
        <w:rPr>
          <w:rFonts w:ascii="Calibri" w:eastAsia="Times New Roman" w:hAnsi="Calibri" w:cs="Calibri"/>
          <w:lang w:eastAsia="sk-SK"/>
        </w:rPr>
        <w:t>torým je pre účely tejto zmluvy</w:t>
      </w:r>
      <w:r w:rsidR="00EF2E38">
        <w:rPr>
          <w:rFonts w:ascii="Calibri" w:eastAsia="Times New Roman" w:hAnsi="Calibri" w:cs="Calibri"/>
          <w:lang w:eastAsia="sk-SK"/>
        </w:rPr>
        <w:t>,</w:t>
      </w:r>
      <w:r w:rsidR="00E264BE">
        <w:rPr>
          <w:rFonts w:ascii="Calibri" w:eastAsia="Times New Roman" w:hAnsi="Calibri" w:cs="Calibri"/>
          <w:lang w:eastAsia="sk-SK"/>
        </w:rPr>
        <w:t xml:space="preserve"> </w:t>
      </w:r>
      <w:r w:rsidR="00E264BE">
        <w:rPr>
          <w:rFonts w:ascii="Calibri" w:eastAsia="Times New Roman" w:hAnsi="Calibri" w:cs="Calibri"/>
          <w:b/>
          <w:lang w:eastAsia="sk-SK"/>
        </w:rPr>
        <w:t xml:space="preserve">Ing. </w:t>
      </w:r>
      <w:r w:rsidR="00E116EA">
        <w:rPr>
          <w:rFonts w:ascii="Calibri" w:eastAsia="Times New Roman" w:hAnsi="Calibri" w:cs="Calibri"/>
          <w:b/>
          <w:lang w:eastAsia="sk-SK"/>
        </w:rPr>
        <w:t xml:space="preserve">Michal Hudák </w:t>
      </w:r>
      <w:r w:rsidR="00EF2E38">
        <w:rPr>
          <w:rFonts w:ascii="Calibri" w:eastAsia="Times New Roman" w:hAnsi="Calibri" w:cs="Calibri"/>
          <w:lang w:eastAsia="sk-SK"/>
        </w:rPr>
        <w:t xml:space="preserve">tel.: </w:t>
      </w:r>
      <w:r w:rsidR="00E116EA">
        <w:rPr>
          <w:rFonts w:ascii="Calibri" w:eastAsia="Times New Roman" w:hAnsi="Calibri" w:cs="Calibri"/>
          <w:b/>
          <w:lang w:eastAsia="sk-SK"/>
        </w:rPr>
        <w:t>0905 805 556</w:t>
      </w:r>
      <w:r w:rsidRPr="0034095C">
        <w:rPr>
          <w:rFonts w:ascii="Calibri" w:eastAsia="Times New Roman" w:hAnsi="Calibri" w:cs="Calibri"/>
          <w:lang w:eastAsia="sk-SK"/>
        </w:rPr>
        <w:t xml:space="preserve">, , e-mail: </w:t>
      </w:r>
      <w:r w:rsidR="00E116EA">
        <w:rPr>
          <w:rFonts w:ascii="Calibri" w:eastAsia="Times New Roman" w:hAnsi="Calibri" w:cs="Calibri"/>
          <w:b/>
          <w:lang w:eastAsia="sk-SK"/>
        </w:rPr>
        <w:t>michal.hudak</w:t>
      </w:r>
      <w:r w:rsidR="00E264BE">
        <w:rPr>
          <w:rFonts w:ascii="Calibri" w:eastAsia="Times New Roman" w:hAnsi="Calibri" w:cs="Calibri"/>
          <w:b/>
          <w:lang w:eastAsia="sk-SK"/>
        </w:rPr>
        <w:t>@lesy.sk</w:t>
      </w:r>
      <w:r w:rsidRPr="0034095C">
        <w:rPr>
          <w:rFonts w:ascii="Calibri" w:eastAsia="Times New Roman" w:hAnsi="Calibri" w:cs="Calibri"/>
          <w:lang w:eastAsia="sk-SK"/>
        </w:rPr>
        <w:t xml:space="preserve">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vopred. </w:t>
      </w:r>
    </w:p>
    <w:p w14:paraId="703D22A2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466A28D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076E540" w14:textId="77777777" w:rsidR="00EF2E38" w:rsidRDefault="00EF2E38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0C457CA1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14:paraId="60CADEB0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61CDFA99" w14:textId="77777777" w:rsidR="009F48B9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Kupujúci je povinný p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9F48B9">
        <w:rPr>
          <w:rFonts w:ascii="Calibri" w:eastAsia="Times New Roman" w:hAnsi="Calibri" w:cs="Calibri"/>
          <w:lang w:eastAsia="sk-SK"/>
        </w:rPr>
        <w:t>zmluvy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3613B8AB" w14:textId="77777777"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2DA03FF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77C33B13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17BE3F44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0D4862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788DD4D0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42A29D8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  <w:r w:rsidR="000D4862">
        <w:rPr>
          <w:rFonts w:ascii="Calibri" w:eastAsia="Times New Roman" w:hAnsi="Calibri" w:cs="Calibri"/>
          <w:lang w:eastAsia="sk-SK"/>
        </w:rPr>
        <w:t>Predávajúci je povinný p</w:t>
      </w:r>
      <w:r w:rsidRPr="007A050D">
        <w:rPr>
          <w:rFonts w:ascii="Calibri" w:eastAsia="Calibri" w:hAnsi="Calibri" w:cs="Calibri"/>
        </w:rPr>
        <w:t xml:space="preserve">red odovzdaním predmetu kúpy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7A050D">
        <w:rPr>
          <w:rFonts w:ascii="Calibri" w:eastAsia="Calibri" w:hAnsi="Calibri" w:cs="Calibri"/>
        </w:rPr>
        <w:t xml:space="preserve"> predviesť funkčnosť </w:t>
      </w:r>
      <w:r>
        <w:rPr>
          <w:rFonts w:ascii="Calibri" w:eastAsia="Calibri" w:hAnsi="Calibri" w:cs="Calibri"/>
        </w:rPr>
        <w:t xml:space="preserve">dodávaného </w:t>
      </w:r>
      <w:r w:rsidR="00623D6F" w:rsidRPr="00623D6F">
        <w:rPr>
          <w:rFonts w:ascii="Calibri" w:eastAsia="Calibri" w:hAnsi="Calibri" w:cs="Calibri"/>
        </w:rPr>
        <w:t>rozmetávadla maštaľného hnoja a</w:t>
      </w:r>
      <w:r w:rsidR="00623D6F">
        <w:rPr>
          <w:rFonts w:ascii="Calibri" w:eastAsia="Calibri" w:hAnsi="Calibri" w:cs="Calibri"/>
        </w:rPr>
        <w:t> </w:t>
      </w:r>
      <w:r w:rsidR="00623D6F" w:rsidRPr="00623D6F">
        <w:rPr>
          <w:rFonts w:ascii="Calibri" w:eastAsia="Calibri" w:hAnsi="Calibri" w:cs="Calibri"/>
        </w:rPr>
        <w:t>toto</w:t>
      </w:r>
      <w:r w:rsidR="00623D6F">
        <w:rPr>
          <w:rFonts w:ascii="Calibri" w:eastAsia="Calibri" w:hAnsi="Calibri" w:cs="Calibri"/>
        </w:rPr>
        <w:t xml:space="preserve"> </w:t>
      </w:r>
      <w:r w:rsidRPr="007A050D">
        <w:rPr>
          <w:rFonts w:ascii="Calibri" w:eastAsia="Calibri" w:hAnsi="Calibri" w:cs="Calibri"/>
        </w:rPr>
        <w:t>protokolárne odovzdať poverenému zástupcovi kupujúceho v mieste plnenia.</w:t>
      </w:r>
    </w:p>
    <w:p w14:paraId="10942E18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1FB9147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1A536A48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14:paraId="0D211D75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Na dodávaný tovar, príslušenstvo a výbavu </w:t>
      </w:r>
      <w:r w:rsidRPr="00592BA3">
        <w:rPr>
          <w:rFonts w:ascii="Calibri" w:eastAsia="Times New Roman" w:hAnsi="Calibri" w:cs="Calibri"/>
          <w:lang w:eastAsia="sk-SK"/>
        </w:rPr>
        <w:t>predávajúci poskytuje záruku</w:t>
      </w:r>
      <w:r w:rsidR="00E714FE">
        <w:rPr>
          <w:rFonts w:ascii="Calibri" w:eastAsia="Times New Roman" w:hAnsi="Calibri" w:cs="Calibri"/>
          <w:lang w:eastAsia="sk-SK"/>
        </w:rPr>
        <w:t xml:space="preserve"> (min.) </w:t>
      </w:r>
      <w:r w:rsidR="00E714FE" w:rsidRPr="00E264BE">
        <w:rPr>
          <w:rFonts w:ascii="Calibri" w:eastAsia="Times New Roman" w:hAnsi="Calibri" w:cs="Calibri"/>
          <w:b/>
          <w:lang w:eastAsia="sk-SK"/>
        </w:rPr>
        <w:t>24</w:t>
      </w:r>
      <w:r w:rsidR="00EF2E38" w:rsidRPr="00E264BE">
        <w:rPr>
          <w:rFonts w:ascii="Calibri" w:eastAsia="Times New Roman" w:hAnsi="Calibri" w:cs="Calibri"/>
          <w:b/>
          <w:lang w:eastAsia="sk-SK"/>
        </w:rPr>
        <w:t xml:space="preserve"> mesiacov</w:t>
      </w:r>
      <w:r w:rsidRPr="00E264BE">
        <w:rPr>
          <w:rFonts w:ascii="Calibri" w:eastAsia="Times New Roman" w:hAnsi="Calibri" w:cs="Calibri"/>
          <w:lang w:eastAsia="sk-SK"/>
        </w:rPr>
        <w:t xml:space="preserve"> </w:t>
      </w:r>
      <w:r w:rsidR="00EF2E38">
        <w:rPr>
          <w:rFonts w:ascii="Calibri" w:eastAsia="Times New Roman" w:hAnsi="Calibri" w:cs="Calibri"/>
          <w:lang w:eastAsia="sk-SK"/>
        </w:rPr>
        <w:t>od dátumu predaja</w:t>
      </w:r>
      <w:r>
        <w:rPr>
          <w:rFonts w:ascii="Calibri" w:eastAsia="Times New Roman" w:hAnsi="Calibri" w:cs="Calibri"/>
          <w:b/>
          <w:lang w:eastAsia="sk-SK"/>
        </w:rPr>
        <w:t xml:space="preserve"> </w:t>
      </w:r>
      <w:r w:rsidRPr="00EF2E38">
        <w:rPr>
          <w:rFonts w:ascii="Calibri" w:eastAsia="Times New Roman" w:hAnsi="Calibri" w:cs="Calibri"/>
          <w:lang w:eastAsia="sk-SK"/>
        </w:rPr>
        <w:t>na kompletný stroj</w:t>
      </w:r>
      <w:r w:rsidRPr="00E62547">
        <w:rPr>
          <w:rFonts w:ascii="Calibri" w:eastAsia="Times New Roman" w:hAnsi="Calibri" w:cs="Calibri"/>
          <w:b/>
          <w:lang w:eastAsia="sk-SK"/>
        </w:rPr>
        <w:t xml:space="preserve"> </w:t>
      </w:r>
      <w:r w:rsidRPr="00E62547">
        <w:rPr>
          <w:rFonts w:ascii="Calibri" w:eastAsia="Times New Roman" w:hAnsi="Calibri" w:cs="Calibri"/>
          <w:lang w:eastAsia="sk-SK"/>
        </w:rPr>
        <w:t>(všetky súčasti s výnimkou rýchlo sa opotrebujúcich dielov)</w:t>
      </w:r>
      <w:r w:rsidR="00E714FE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lang w:eastAsia="sk-SK"/>
        </w:rPr>
        <w:t xml:space="preserve">  </w:t>
      </w:r>
    </w:p>
    <w:p w14:paraId="4A73C80D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56CE7D8D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14:paraId="4AB37A77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26E04D0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závady, ktoré boli spôsobené neodbornou prevádzkou, obsluhou a údržbou. </w:t>
      </w:r>
    </w:p>
    <w:p w14:paraId="31BB9ABF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52C5C8B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lastRenderedPageBreak/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14:paraId="11E6FB18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53B7CD7" w14:textId="77777777" w:rsidR="009F48B9" w:rsidRPr="008715CF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36313BFE" w14:textId="77777777" w:rsidR="009F48B9" w:rsidRPr="008715CF" w:rsidRDefault="009F48B9" w:rsidP="00EF2E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19D74ABB" w14:textId="77777777"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8715CF">
        <w:rPr>
          <w:rFonts w:ascii="Calibri" w:eastAsia="Calibri" w:hAnsi="Calibri" w:cs="Times New Roman"/>
          <w:lang w:eastAsia="sk-SK"/>
        </w:rPr>
        <w:t xml:space="preserve">Predávajúci sa zaväzuje  </w:t>
      </w:r>
      <w:r w:rsidRPr="006850DB">
        <w:rPr>
          <w:rFonts w:ascii="Calibri" w:eastAsia="Calibri" w:hAnsi="Calibri" w:cs="Times New Roman"/>
          <w:lang w:eastAsia="sk-SK"/>
        </w:rPr>
        <w:t xml:space="preserve">poskytovať </w:t>
      </w:r>
      <w:r w:rsidRPr="008715CF">
        <w:rPr>
          <w:rFonts w:ascii="Calibri" w:eastAsia="Calibri" w:hAnsi="Calibri" w:cs="Times New Roman"/>
          <w:lang w:eastAsia="sk-SK"/>
        </w:rPr>
        <w:t xml:space="preserve">záručný a pozáručný autorizovaný servis </w:t>
      </w:r>
      <w:r w:rsidRPr="000D4862">
        <w:rPr>
          <w:rFonts w:ascii="Calibri" w:eastAsia="Calibri" w:hAnsi="Calibri" w:cs="Times New Roman"/>
          <w:lang w:eastAsia="sk-SK"/>
        </w:rPr>
        <w:t xml:space="preserve">najmenej po dobu  </w:t>
      </w:r>
      <w:r w:rsidR="00C201F7" w:rsidRPr="00F01BE2">
        <w:rPr>
          <w:rFonts w:ascii="Calibri" w:eastAsia="Calibri" w:hAnsi="Calibri" w:cs="Times New Roman"/>
          <w:lang w:eastAsia="sk-SK"/>
        </w:rPr>
        <w:t>10</w:t>
      </w:r>
      <w:r w:rsidR="00E714FE" w:rsidRPr="00F01BE2">
        <w:rPr>
          <w:rFonts w:ascii="Calibri" w:eastAsia="Calibri" w:hAnsi="Calibri" w:cs="Times New Roman"/>
          <w:lang w:eastAsia="sk-SK"/>
        </w:rPr>
        <w:t xml:space="preserve"> </w:t>
      </w:r>
      <w:r w:rsidR="0017721E" w:rsidRPr="00F01BE2">
        <w:rPr>
          <w:rFonts w:ascii="Calibri" w:eastAsia="Calibri" w:hAnsi="Calibri" w:cs="Times New Roman"/>
          <w:lang w:eastAsia="sk-SK"/>
        </w:rPr>
        <w:t xml:space="preserve">rokov </w:t>
      </w:r>
      <w:r w:rsidR="0017721E" w:rsidRPr="000D4862">
        <w:rPr>
          <w:rFonts w:ascii="Calibri" w:eastAsia="Calibri" w:hAnsi="Calibri" w:cs="Times New Roman"/>
          <w:lang w:eastAsia="sk-SK"/>
        </w:rPr>
        <w:t>od posledného plnenia</w:t>
      </w:r>
      <w:r w:rsidR="0017721E" w:rsidRPr="00E714FE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8715CF">
        <w:rPr>
          <w:rFonts w:ascii="Calibri" w:eastAsia="Calibri" w:hAnsi="Calibri" w:cs="Times New Roman"/>
          <w:lang w:eastAsia="sk-SK"/>
        </w:rPr>
        <w:t xml:space="preserve">spočívajúci v poskytovaní servisných prehliadok, opráv, údržby a dodávok originálnych náhradných dielov </w:t>
      </w:r>
      <w:r w:rsidRPr="006850DB">
        <w:rPr>
          <w:rFonts w:ascii="Calibri" w:eastAsia="Calibri" w:hAnsi="Calibri" w:cs="Times New Roman"/>
          <w:lang w:eastAsia="sk-SK"/>
        </w:rPr>
        <w:t xml:space="preserve">so záväzkom vykonania uvedených služieb </w:t>
      </w:r>
      <w:r w:rsidRPr="00744FA5">
        <w:rPr>
          <w:rFonts w:ascii="Calibri" w:eastAsia="Calibri" w:hAnsi="Calibri" w:cs="Times New Roman"/>
          <w:lang w:eastAsia="sk-SK"/>
        </w:rPr>
        <w:t>v primeranom čase</w:t>
      </w:r>
      <w:r>
        <w:rPr>
          <w:rFonts w:ascii="Calibri" w:eastAsia="Calibri" w:hAnsi="Calibri" w:cs="Times New Roman"/>
          <w:lang w:eastAsia="sk-SK"/>
        </w:rPr>
        <w:t xml:space="preserve">. </w:t>
      </w:r>
    </w:p>
    <w:p w14:paraId="735A9809" w14:textId="77777777"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758782A2" w14:textId="77777777" w:rsidR="000D4862" w:rsidRDefault="009F48B9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Calibri" w:hAnsi="Calibri" w:cs="Times New Roman"/>
          <w:lang w:eastAsia="sk-SK"/>
        </w:rPr>
        <w:t xml:space="preserve">2. </w:t>
      </w:r>
      <w:r>
        <w:rPr>
          <w:rFonts w:ascii="Calibri" w:eastAsia="Calibri" w:hAnsi="Calibri" w:cs="Times New Roman"/>
          <w:lang w:eastAsia="sk-SK"/>
        </w:rPr>
        <w:t xml:space="preserve">Plnenia podľa bodu 1 tohto článku zmluvy bude predávajúci poskytovať </w:t>
      </w:r>
      <w:r w:rsidRPr="008715CF">
        <w:rPr>
          <w:rFonts w:ascii="Calibri" w:eastAsia="Calibri" w:hAnsi="Calibri" w:cs="Times New Roman"/>
          <w:lang w:eastAsia="sk-SK"/>
        </w:rPr>
        <w:t>vo vlastných servisných strediskách alebo servisných strediskách zmluvných partnerov</w:t>
      </w:r>
      <w:r>
        <w:rPr>
          <w:rFonts w:ascii="Calibri" w:eastAsia="Calibri" w:hAnsi="Calibri" w:cs="Times New Roman"/>
          <w:lang w:eastAsia="sk-SK"/>
        </w:rPr>
        <w:t xml:space="preserve">, pričom, tieto služby budú poskytované minimálne v jednom servisnom stredisku na území Slovenskej republiky. Predávajúci je povinný najneskôr ku dňu dodania predmetu tejto zmluvy oznámiť kupujúcemu sídlo tohto strediska.  </w:t>
      </w:r>
      <w:r w:rsidRPr="00671663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>
        <w:rPr>
          <w:rFonts w:ascii="Calibri" w:eastAsia="Calibri" w:hAnsi="Calibri" w:cs="Times New Roman"/>
          <w:lang w:eastAsia="sk-SK"/>
        </w:rPr>
        <w:t xml:space="preserve">bezodkladne aj </w:t>
      </w:r>
      <w:r w:rsidRPr="00671663">
        <w:rPr>
          <w:rFonts w:ascii="Calibri" w:eastAsia="Calibri" w:hAnsi="Calibri" w:cs="Times New Roman"/>
          <w:lang w:eastAsia="sk-SK"/>
        </w:rPr>
        <w:t>zmenu servisného strediska, príp. zmenu jeho sídla.</w:t>
      </w:r>
    </w:p>
    <w:p w14:paraId="6AAB7A4F" w14:textId="77777777" w:rsidR="00594277" w:rsidRPr="00594277" w:rsidRDefault="00594277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4F801379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7F77DC93" w14:textId="77777777"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3455E884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5EC5E632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1CE8A0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15152183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6B35AD5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niektorej povinnosti uvedenej v článku VIII. tejto zmluvy je predávajúci povinný zaplatiť kupujúcemu zmluvnú pokutu vo výške </w:t>
      </w:r>
      <w:r w:rsidR="004F74B8">
        <w:rPr>
          <w:rFonts w:ascii="Calibri" w:eastAsia="Times New Roman" w:hAnsi="Calibri" w:cs="Calibri"/>
          <w:lang w:eastAsia="sk-SK"/>
        </w:rPr>
        <w:t>0,025 % z ceny predmetu plnenia</w:t>
      </w:r>
      <w:r>
        <w:rPr>
          <w:rFonts w:ascii="Calibri" w:eastAsia="Times New Roman" w:hAnsi="Calibri" w:cs="Calibri"/>
          <w:lang w:eastAsia="sk-SK"/>
        </w:rPr>
        <w:t xml:space="preserve">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09B078B8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213EE6E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61AEC5A7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08E193C1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50EDFECC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5554ADFA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2CA32FCE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0B6DBF77" w14:textId="77777777"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lang w:eastAsia="sk-SK"/>
        </w:rPr>
        <w:t xml:space="preserve">2. </w:t>
      </w:r>
      <w:r w:rsidRPr="000D4862">
        <w:rPr>
          <w:rFonts w:ascii="Calibri" w:eastAsia="Times New Roman" w:hAnsi="Calibri" w:cs="Calibri"/>
          <w:bCs/>
          <w:lang w:eastAsia="sk-SK"/>
        </w:rPr>
        <w:t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Z.z..</w:t>
      </w:r>
      <w:r w:rsidRPr="000D4862">
        <w:rPr>
          <w:rFonts w:ascii="Calibri" w:eastAsia="Times New Roman" w:hAnsi="Calibri" w:cs="Calibri"/>
          <w:lang w:eastAsia="sk-SK"/>
        </w:rPr>
        <w:t xml:space="preserve"> </w:t>
      </w:r>
      <w:r w:rsidRPr="000D4862">
        <w:rPr>
          <w:rFonts w:ascii="Calibri" w:eastAsia="Times New Roman" w:hAnsi="Calibri" w:cs="Calibri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neplatí:</w:t>
      </w:r>
    </w:p>
    <w:p w14:paraId="0C56F29A" w14:textId="77777777"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7EA5C486" w14:textId="77777777"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 xml:space="preserve">a)  na vrátenie konkrétneho  plnenia dodaného s takými vadami, ktoré boli príčinou odstúpenia od zmluvy pri ktorých si kupujúci neuplatnil iné nároky z vád plnenia ( zľavu z kúpnej ceny, výmenu tovaru alebo iné..), </w:t>
      </w:r>
    </w:p>
    <w:p w14:paraId="38714CEE" w14:textId="77777777"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6DA110DD" w14:textId="77777777"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b) na vrátenie plnenia dodaného riadne,  ktoré pre kupujúceho stratilo ekonomický a hospodársky význam, napríklad dodanie príslušenstva k  hlavnej veci, ktorá má vady,</w:t>
      </w:r>
    </w:p>
    <w:p w14:paraId="5710D649" w14:textId="77777777"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pričom  kupujúci prejavil vôľu pri odstúpení na vrátenie plnení predávajúcemu.</w:t>
      </w:r>
    </w:p>
    <w:p w14:paraId="3BF98CDB" w14:textId="77777777"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6F9D7B55" w14:textId="77777777"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lastRenderedPageBreak/>
        <w:t>Za podstatné porušenie tejto zmluvy na základe ktorého môže kupujúci okamžite odstúpiť od tejto zmluvy sa považuje najmä ak :</w:t>
      </w:r>
    </w:p>
    <w:p w14:paraId="07915A8D" w14:textId="77777777"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6E4B91A3" w14:textId="77777777"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641EFFD1" w14:textId="77777777"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1448DA75" w14:textId="77777777"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49F172B3" w14:textId="77777777" w:rsidR="009F48B9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4ECA1FB5" w14:textId="77777777"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B2F450F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1F793647" w14:textId="77777777"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082415DE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6B67917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7F44FF7C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150A3627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43CC449E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0E71420F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29FFF911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5C02BCD1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>má povinnosť zapisovať sa do registra partnerov verejného sektora v súlade s § 11 odsek 1 zákona</w:t>
      </w:r>
      <w:r>
        <w:t xml:space="preserve"> č. 343/2015 Z.z.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14:paraId="70128E3E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12E7C515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6080611D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381A6F00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69212831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80FCDCC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14:paraId="5156D776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B94A73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14:paraId="60E04259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65E27DA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obdrží dve vyhotovenia tejto zmluvy. </w:t>
      </w:r>
    </w:p>
    <w:p w14:paraId="352B8FAB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33352CF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42FCB82D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4325C2E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4B0735A4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EA1A1D4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14:paraId="49CA2645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B2B0067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BBB595D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D603EFF" w14:textId="77777777"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05D7A01" w14:textId="77777777"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D1E4922" w14:textId="77777777"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DE89635" w14:textId="77777777"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ED76EEF" w14:textId="77777777"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9C78E14" w14:textId="77777777"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7A28B80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1CE9F9E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1B458F">
        <w:rPr>
          <w:rFonts w:ascii="Calibri" w:eastAsia="Times New Roman" w:hAnsi="Calibri" w:cs="Calibri"/>
          <w:lang w:eastAsia="sk-SK"/>
        </w:rPr>
        <w:t xml:space="preserve">........................, 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...........................</w:t>
      </w:r>
      <w:r w:rsidR="00EF2E38">
        <w:rPr>
          <w:rFonts w:ascii="Calibri" w:eastAsia="Times New Roman" w:hAnsi="Calibri" w:cs="Calibri"/>
          <w:lang w:eastAsia="sk-SK"/>
        </w:rPr>
        <w:t xml:space="preserve">                                       </w:t>
      </w: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8B0411">
        <w:rPr>
          <w:rFonts w:ascii="Calibri" w:eastAsia="Times New Roman" w:hAnsi="Calibri" w:cs="Calibri"/>
          <w:lang w:eastAsia="sk-SK"/>
        </w:rPr>
        <w:t xml:space="preserve">  </w:t>
      </w:r>
      <w:r w:rsidR="001B458F">
        <w:rPr>
          <w:rFonts w:ascii="Calibri" w:eastAsia="Times New Roman" w:hAnsi="Calibri" w:cs="Calibri"/>
          <w:lang w:eastAsia="sk-SK"/>
        </w:rPr>
        <w:t>................... ,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</w:t>
      </w:r>
    </w:p>
    <w:p w14:paraId="5ECE3C73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8F1EFA1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482C3E2" w14:textId="77777777"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7A1B17C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6122A99A" w14:textId="77777777"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9D164B2" w14:textId="77777777" w:rsidR="009F48B9" w:rsidRDefault="009F48B9" w:rsidP="009F48B9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4110BBC8" w14:textId="77777777" w:rsidR="00BB61E2" w:rsidRDefault="00730016" w:rsidP="007424CF">
      <w:pPr>
        <w:tabs>
          <w:tab w:val="center" w:pos="4536"/>
        </w:tabs>
        <w:spacing w:after="0"/>
      </w:pPr>
      <w:r>
        <w:tab/>
      </w:r>
    </w:p>
    <w:p w14:paraId="3A00CD8F" w14:textId="77777777" w:rsidR="00BB61E2" w:rsidRDefault="00BB61E2" w:rsidP="007424CF">
      <w:pPr>
        <w:tabs>
          <w:tab w:val="center" w:pos="4536"/>
        </w:tabs>
        <w:spacing w:after="0"/>
      </w:pPr>
    </w:p>
    <w:p w14:paraId="4BDAC1FD" w14:textId="77777777" w:rsidR="00BB61E2" w:rsidRDefault="00BB61E2" w:rsidP="007424CF">
      <w:pPr>
        <w:tabs>
          <w:tab w:val="center" w:pos="4536"/>
        </w:tabs>
        <w:spacing w:after="0"/>
      </w:pPr>
    </w:p>
    <w:p w14:paraId="2250D4FD" w14:textId="77777777" w:rsidR="00BB61E2" w:rsidRDefault="00BB61E2" w:rsidP="007424CF">
      <w:pPr>
        <w:tabs>
          <w:tab w:val="center" w:pos="4536"/>
        </w:tabs>
        <w:spacing w:after="0"/>
      </w:pPr>
    </w:p>
    <w:p w14:paraId="1207ABBB" w14:textId="77777777" w:rsidR="00BB61E2" w:rsidRDefault="00BB61E2" w:rsidP="007424CF">
      <w:pPr>
        <w:tabs>
          <w:tab w:val="center" w:pos="4536"/>
        </w:tabs>
        <w:spacing w:after="0"/>
      </w:pPr>
    </w:p>
    <w:p w14:paraId="4B53D2CA" w14:textId="77777777" w:rsidR="00BB61E2" w:rsidRDefault="00BB61E2" w:rsidP="007424CF">
      <w:pPr>
        <w:tabs>
          <w:tab w:val="center" w:pos="4536"/>
        </w:tabs>
        <w:spacing w:after="0"/>
      </w:pPr>
    </w:p>
    <w:p w14:paraId="69CA6F83" w14:textId="77777777" w:rsidR="00BB61E2" w:rsidRDefault="00BB61E2" w:rsidP="007424CF">
      <w:pPr>
        <w:tabs>
          <w:tab w:val="center" w:pos="4536"/>
        </w:tabs>
        <w:spacing w:after="0"/>
      </w:pPr>
    </w:p>
    <w:p w14:paraId="1624F685" w14:textId="77777777" w:rsidR="00BB61E2" w:rsidRDefault="00BB61E2" w:rsidP="007424CF">
      <w:pPr>
        <w:tabs>
          <w:tab w:val="center" w:pos="4536"/>
        </w:tabs>
        <w:spacing w:after="0"/>
      </w:pPr>
    </w:p>
    <w:p w14:paraId="2311FE72" w14:textId="77777777" w:rsidR="00BB61E2" w:rsidRDefault="00BB61E2" w:rsidP="007424CF">
      <w:pPr>
        <w:tabs>
          <w:tab w:val="center" w:pos="4536"/>
        </w:tabs>
        <w:spacing w:after="0"/>
      </w:pPr>
    </w:p>
    <w:p w14:paraId="045B22C0" w14:textId="77777777" w:rsidR="00BB61E2" w:rsidRDefault="00BB61E2" w:rsidP="007424CF">
      <w:pPr>
        <w:tabs>
          <w:tab w:val="center" w:pos="4536"/>
        </w:tabs>
        <w:spacing w:after="0"/>
      </w:pPr>
    </w:p>
    <w:p w14:paraId="3750D03B" w14:textId="77777777" w:rsidR="00BB61E2" w:rsidRDefault="00BB61E2" w:rsidP="007424CF">
      <w:pPr>
        <w:tabs>
          <w:tab w:val="center" w:pos="4536"/>
        </w:tabs>
        <w:spacing w:after="0"/>
      </w:pPr>
    </w:p>
    <w:p w14:paraId="32512EEB" w14:textId="77777777" w:rsidR="00594277" w:rsidRDefault="00594277" w:rsidP="007424CF">
      <w:pPr>
        <w:tabs>
          <w:tab w:val="center" w:pos="4536"/>
        </w:tabs>
        <w:spacing w:after="0"/>
      </w:pPr>
    </w:p>
    <w:p w14:paraId="6F81ABC9" w14:textId="77777777" w:rsidR="00594277" w:rsidRDefault="00594277" w:rsidP="007424CF">
      <w:pPr>
        <w:tabs>
          <w:tab w:val="center" w:pos="4536"/>
        </w:tabs>
        <w:spacing w:after="0"/>
      </w:pPr>
    </w:p>
    <w:p w14:paraId="5CA8239F" w14:textId="77777777" w:rsidR="00594277" w:rsidRDefault="00594277" w:rsidP="007424CF">
      <w:pPr>
        <w:tabs>
          <w:tab w:val="center" w:pos="4536"/>
        </w:tabs>
        <w:spacing w:after="0"/>
      </w:pPr>
    </w:p>
    <w:p w14:paraId="396B704A" w14:textId="77777777" w:rsidR="00594277" w:rsidRDefault="00594277" w:rsidP="007424CF">
      <w:pPr>
        <w:tabs>
          <w:tab w:val="center" w:pos="4536"/>
        </w:tabs>
        <w:spacing w:after="0"/>
      </w:pPr>
    </w:p>
    <w:p w14:paraId="69BFA571" w14:textId="77777777" w:rsidR="00594277" w:rsidRDefault="00594277" w:rsidP="007424CF">
      <w:pPr>
        <w:tabs>
          <w:tab w:val="center" w:pos="4536"/>
        </w:tabs>
        <w:spacing w:after="0"/>
      </w:pPr>
    </w:p>
    <w:p w14:paraId="783AC2BA" w14:textId="77777777" w:rsidR="00594277" w:rsidRDefault="00594277" w:rsidP="007424CF">
      <w:pPr>
        <w:tabs>
          <w:tab w:val="center" w:pos="4536"/>
        </w:tabs>
        <w:spacing w:after="0"/>
      </w:pPr>
    </w:p>
    <w:p w14:paraId="014D623E" w14:textId="77777777" w:rsidR="00594277" w:rsidRDefault="00594277" w:rsidP="007424CF">
      <w:pPr>
        <w:tabs>
          <w:tab w:val="center" w:pos="4536"/>
        </w:tabs>
        <w:spacing w:after="0"/>
      </w:pPr>
    </w:p>
    <w:p w14:paraId="10BEA3FE" w14:textId="77777777" w:rsidR="00594277" w:rsidRDefault="00594277" w:rsidP="007424CF">
      <w:pPr>
        <w:tabs>
          <w:tab w:val="center" w:pos="4536"/>
        </w:tabs>
        <w:spacing w:after="0"/>
      </w:pPr>
    </w:p>
    <w:p w14:paraId="7CA5F4FA" w14:textId="77777777" w:rsidR="00BB61E2" w:rsidRDefault="00BB61E2" w:rsidP="007424CF">
      <w:pPr>
        <w:tabs>
          <w:tab w:val="center" w:pos="4536"/>
        </w:tabs>
        <w:spacing w:after="0"/>
      </w:pPr>
    </w:p>
    <w:p w14:paraId="05B41EE3" w14:textId="77777777" w:rsidR="00F01BE2" w:rsidRDefault="00F01BE2" w:rsidP="007424CF">
      <w:pPr>
        <w:tabs>
          <w:tab w:val="center" w:pos="4536"/>
        </w:tabs>
        <w:spacing w:after="0"/>
      </w:pPr>
    </w:p>
    <w:p w14:paraId="6A11904D" w14:textId="77777777" w:rsidR="00F01BE2" w:rsidRDefault="00F01BE2" w:rsidP="007424CF">
      <w:pPr>
        <w:tabs>
          <w:tab w:val="center" w:pos="4536"/>
        </w:tabs>
        <w:spacing w:after="0"/>
      </w:pPr>
    </w:p>
    <w:p w14:paraId="3ED9CFC3" w14:textId="77777777" w:rsidR="00F01BE2" w:rsidRDefault="00F01BE2" w:rsidP="007424CF">
      <w:pPr>
        <w:tabs>
          <w:tab w:val="center" w:pos="4536"/>
        </w:tabs>
        <w:spacing w:after="0"/>
      </w:pPr>
    </w:p>
    <w:p w14:paraId="450433FF" w14:textId="77777777" w:rsidR="00F01BE2" w:rsidRDefault="00F01BE2" w:rsidP="007424CF">
      <w:pPr>
        <w:tabs>
          <w:tab w:val="center" w:pos="4536"/>
        </w:tabs>
        <w:spacing w:after="0"/>
      </w:pPr>
    </w:p>
    <w:p w14:paraId="4D4B9467" w14:textId="77777777" w:rsidR="00F01BE2" w:rsidRDefault="00F01BE2" w:rsidP="007424CF">
      <w:pPr>
        <w:tabs>
          <w:tab w:val="center" w:pos="4536"/>
        </w:tabs>
        <w:spacing w:after="0"/>
      </w:pPr>
    </w:p>
    <w:p w14:paraId="67891A4B" w14:textId="77777777" w:rsidR="00F01BE2" w:rsidRDefault="00F01BE2" w:rsidP="007424CF">
      <w:pPr>
        <w:tabs>
          <w:tab w:val="center" w:pos="4536"/>
        </w:tabs>
        <w:spacing w:after="0"/>
      </w:pPr>
    </w:p>
    <w:p w14:paraId="11C29826" w14:textId="77777777" w:rsidR="00F01BE2" w:rsidRDefault="00F01BE2" w:rsidP="007424CF">
      <w:pPr>
        <w:tabs>
          <w:tab w:val="center" w:pos="4536"/>
        </w:tabs>
        <w:spacing w:after="0"/>
      </w:pPr>
    </w:p>
    <w:p w14:paraId="7153A8AB" w14:textId="77777777" w:rsidR="00AF46AE" w:rsidRDefault="00AF46AE" w:rsidP="00AF46AE">
      <w:pPr>
        <w:tabs>
          <w:tab w:val="center" w:pos="4536"/>
        </w:tabs>
        <w:spacing w:after="0"/>
      </w:pPr>
    </w:p>
    <w:p w14:paraId="317A912C" w14:textId="77777777" w:rsidR="00AF46AE" w:rsidRDefault="00AF46AE" w:rsidP="00905162">
      <w:pPr>
        <w:tabs>
          <w:tab w:val="center" w:pos="4536"/>
        </w:tabs>
        <w:spacing w:after="0"/>
        <w:jc w:val="right"/>
      </w:pPr>
      <w:r>
        <w:lastRenderedPageBreak/>
        <w:t xml:space="preserve">Príloha č.1 – Technická špecifikácia predmetu zmluvy                           </w:t>
      </w:r>
    </w:p>
    <w:p w14:paraId="462011F0" w14:textId="77777777" w:rsidR="00AF46AE" w:rsidRPr="00955F2D" w:rsidRDefault="00AF46AE" w:rsidP="00A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F2D">
        <w:rPr>
          <w:rFonts w:ascii="Times New Roman" w:hAnsi="Times New Roman" w:cs="Times New Roman"/>
          <w:b/>
          <w:sz w:val="24"/>
          <w:szCs w:val="24"/>
          <w:u w:val="single"/>
        </w:rPr>
        <w:t>Technická špecifikácia:</w:t>
      </w:r>
    </w:p>
    <w:p w14:paraId="575CEC91" w14:textId="11DDFCED" w:rsidR="00AF46AE" w:rsidRPr="00955F2D" w:rsidRDefault="00AF46AE" w:rsidP="00846C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6C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 ks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</w:t>
      </w:r>
      <w:r w:rsidR="00A10A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rívesný vozí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 valníkový dvojnápravový s kolesami vedľa ložnej plochy s pevnou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06E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celozváranou konštrukciou</w:t>
      </w:r>
      <w:r w:rsidRPr="00506E7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povrchovo uprave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nú žiarovým zinkovaním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. Je štandardne vybavený nájazdovou brzdou s cúvacou automatikou a nápravami s brzdovým systémom. Bočnice prívesu sú z pozinkovaného plechu. Podlah</w:t>
      </w:r>
      <w:r w:rsidR="00C71C27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tvorí vodovzdorná protišmyková</w:t>
      </w:r>
      <w:r w:rsidR="00C71C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preglejka.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2EC625A" w14:textId="77777777" w:rsidR="00AF46AE" w:rsidRPr="00955F2D" w:rsidRDefault="00AF46AE" w:rsidP="00AF46AE">
      <w:pPr>
        <w:shd w:val="clear" w:color="auto" w:fill="FFFFFF"/>
        <w:spacing w:after="0" w:line="37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Technické údaje</w:t>
      </w:r>
    </w:p>
    <w:p w14:paraId="6185CAD8" w14:textId="4B02BBBE" w:rsidR="00AF46AE" w:rsidRPr="00EE480F" w:rsidRDefault="00AF46AE" w:rsidP="00AF46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Ložná plocha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dĺžka 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.........................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mm, šírka 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.........................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mm</w:t>
      </w:r>
    </w:p>
    <w:p w14:paraId="64C3AA7E" w14:textId="48CF7FCA" w:rsidR="00AF46AE" w:rsidRPr="00EE480F" w:rsidRDefault="00AF46AE" w:rsidP="00AF46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Výška ložnej plochy od vozovky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....................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 mm</w:t>
      </w:r>
    </w:p>
    <w:p w14:paraId="41707E70" w14:textId="4A2B08E6" w:rsidR="00AF46AE" w:rsidRPr="00EE480F" w:rsidRDefault="00AF46AE" w:rsidP="00AF46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Celková hmotnosť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bookmarkStart w:id="1" w:name="_Hlk114647037"/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.........................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End w:id="1"/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</w:p>
    <w:p w14:paraId="13AF604A" w14:textId="34256626" w:rsidR="00AF46AE" w:rsidRPr="00EE480F" w:rsidRDefault="00AF46AE" w:rsidP="00AF46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Užitočná hmotnosť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.........................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kg</w:t>
      </w:r>
    </w:p>
    <w:p w14:paraId="4A0DA2F1" w14:textId="73C3FEB6" w:rsidR="00AF46AE" w:rsidRPr="00EE480F" w:rsidRDefault="00AF46AE" w:rsidP="00AF46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Kolesá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:.............../...............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</w:t>
      </w:r>
    </w:p>
    <w:p w14:paraId="0830C9E7" w14:textId="231AE3AA" w:rsidR="00AF46AE" w:rsidRPr="00EE480F" w:rsidRDefault="00AF46AE" w:rsidP="00AF46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Konštrukčná rýchlosť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.........................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km/h</w:t>
      </w:r>
    </w:p>
    <w:p w14:paraId="52BE47EF" w14:textId="4EE4C5D8" w:rsidR="00AF46AE" w:rsidRPr="00EE480F" w:rsidRDefault="00AF46AE" w:rsidP="00AF46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Bočnice výška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.........................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>mm</w:t>
      </w:r>
    </w:p>
    <w:p w14:paraId="68DA6B52" w14:textId="77777777" w:rsidR="00AF46AE" w:rsidRPr="00955F2D" w:rsidRDefault="00AF46AE" w:rsidP="00AF46AE">
      <w:pPr>
        <w:shd w:val="clear" w:color="auto" w:fill="FFFFFF"/>
        <w:spacing w:after="0" w:line="37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Základná výbava</w:t>
      </w:r>
    </w:p>
    <w:p w14:paraId="1E541E47" w14:textId="77777777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Sklápacie a odoberacie zadné čelo</w:t>
      </w:r>
    </w:p>
    <w:p w14:paraId="1C1A5C71" w14:textId="77777777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Oje v tvare ,,V"</w:t>
      </w:r>
    </w:p>
    <w:p w14:paraId="3A591BF0" w14:textId="77777777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Plastové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kovové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tandemové blatníky</w:t>
      </w:r>
    </w:p>
    <w:p w14:paraId="0791AB92" w14:textId="77777777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Elektroinštalácia - 13 pólová zástrčka</w:t>
      </w:r>
    </w:p>
    <w:p w14:paraId="7A6FAA4C" w14:textId="0A8CE08D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Úchytné oká na ráme prívesu 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.........................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ks</w:t>
      </w:r>
    </w:p>
    <w:p w14:paraId="28E51089" w14:textId="160D8E52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Zakladacie kliny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480F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.........................</w:t>
      </w:r>
      <w:r w:rsidR="00EE480F" w:rsidRPr="00EE48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ks</w:t>
      </w:r>
    </w:p>
    <w:p w14:paraId="76B81309" w14:textId="77777777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Oporné koleso s držiakom</w:t>
      </w:r>
    </w:p>
    <w:p w14:paraId="0EBF341D" w14:textId="77777777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Rezervné koleso s držiakom</w:t>
      </w:r>
    </w:p>
    <w:p w14:paraId="583EE91E" w14:textId="77777777" w:rsidR="00AF46AE" w:rsidRPr="00955F2D" w:rsidRDefault="00AF46AE" w:rsidP="00AF46AE">
      <w:pPr>
        <w:shd w:val="clear" w:color="auto" w:fill="FFFFFF"/>
        <w:spacing w:after="0" w:line="37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Doplnková výbava</w:t>
      </w:r>
    </w:p>
    <w:p w14:paraId="008200AA" w14:textId="3E427977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Podlahové oko zapustené </w:t>
      </w:r>
      <w:r w:rsidR="00C71C27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</w:t>
      </w:r>
      <w:r w:rsidR="00C71C27" w:rsidRPr="00C71C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ks</w:t>
      </w:r>
    </w:p>
    <w:p w14:paraId="1660284B" w14:textId="4B105808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Zadné oporné nohy sklopne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2ks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</w:t>
      </w:r>
      <w:r w:rsidRPr="00955F2D">
        <w:rPr>
          <w:rFonts w:ascii="Times New Roman" w:hAnsi="Times New Roman" w:cs="Times New Roman"/>
          <w:sz w:val="24"/>
          <w:szCs w:val="24"/>
        </w:rPr>
        <w:t xml:space="preserve"> Oporné nohy je možné sklopiť do vodorovnej polohy.</w:t>
      </w:r>
      <w:r w:rsidRPr="00BB35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vyklopení je možné nastaviť výšku pomocou kľuky.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Statické zaťaženie </w:t>
      </w:r>
      <w:r w:rsidR="00C71C27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</w:t>
      </w:r>
      <w:r w:rsidR="00C71C27" w:rsidRPr="00C71C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B3554">
        <w:rPr>
          <w:rFonts w:ascii="Times New Roman" w:eastAsia="Times New Roman" w:hAnsi="Times New Roman" w:cs="Times New Roman"/>
          <w:sz w:val="24"/>
          <w:szCs w:val="24"/>
          <w:lang w:eastAsia="sk-SK"/>
        </w:rPr>
        <w:t>kg na jednu opornú nohu.</w:t>
      </w:r>
    </w:p>
    <w:p w14:paraId="01F67102" w14:textId="597A0BE1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Nájazdové lyžiny - </w:t>
      </w:r>
      <w:r w:rsidRPr="00955F2D">
        <w:rPr>
          <w:rFonts w:ascii="Times New Roman" w:hAnsi="Times New Roman" w:cs="Times New Roman"/>
          <w:sz w:val="24"/>
          <w:szCs w:val="24"/>
        </w:rPr>
        <w:t>hliníkové nájazdové lyžiny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Nosnosť lyžín </w:t>
      </w:r>
      <w:r w:rsidR="00C71C27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</w:t>
      </w:r>
      <w:r w:rsidR="00C71C27" w:rsidRPr="00C71C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kg pri vzdialenosti náprav 2 m. </w:t>
      </w:r>
      <w:r w:rsidRPr="00912686">
        <w:rPr>
          <w:rFonts w:ascii="Times New Roman" w:hAnsi="Times New Roman" w:cs="Times New Roman"/>
          <w:sz w:val="24"/>
          <w:szCs w:val="24"/>
        </w:rPr>
        <w:t>Nosnosť je uvedená na pár</w:t>
      </w:r>
      <w:r w:rsidRPr="009E069E">
        <w:rPr>
          <w:rFonts w:ascii="Times New Roman" w:hAnsi="Times New Roman" w:cs="Times New Roman"/>
          <w:sz w:val="24"/>
          <w:szCs w:val="24"/>
        </w:rPr>
        <w:t>, c</w:t>
      </w:r>
      <w:r w:rsidRPr="009E06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elková dĺžka lyžín </w:t>
      </w:r>
      <w:r w:rsidR="00C71C27" w:rsidRPr="009E06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1C27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</w:t>
      </w:r>
      <w:r w:rsidR="00C71C27" w:rsidRPr="009E06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069E">
        <w:rPr>
          <w:rFonts w:ascii="Times New Roman" w:eastAsia="Times New Roman" w:hAnsi="Times New Roman" w:cs="Times New Roman"/>
          <w:sz w:val="24"/>
          <w:szCs w:val="24"/>
          <w:lang w:eastAsia="sk-SK"/>
        </w:rPr>
        <w:t>mm</w:t>
      </w:r>
      <w:r w:rsidRPr="009E069E">
        <w:rPr>
          <w:rFonts w:ascii="Times New Roman" w:hAnsi="Times New Roman" w:cs="Times New Roman"/>
          <w:sz w:val="24"/>
          <w:szCs w:val="24"/>
        </w:rPr>
        <w:t>, v</w:t>
      </w:r>
      <w:r w:rsidRPr="009E06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onkajšia šírka lyžín </w:t>
      </w:r>
      <w:r w:rsidR="00C71C27" w:rsidRPr="009E06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1C27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</w:t>
      </w:r>
      <w:r w:rsidR="00C71C27" w:rsidRPr="009E06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069E">
        <w:rPr>
          <w:rFonts w:ascii="Times New Roman" w:eastAsia="Times New Roman" w:hAnsi="Times New Roman" w:cs="Times New Roman"/>
          <w:sz w:val="24"/>
          <w:szCs w:val="24"/>
          <w:lang w:eastAsia="sk-SK"/>
        </w:rPr>
        <w:t>mm</w:t>
      </w:r>
      <w:r w:rsidRPr="009E069E">
        <w:rPr>
          <w:rFonts w:ascii="Times New Roman" w:hAnsi="Times New Roman" w:cs="Times New Roman"/>
          <w:sz w:val="24"/>
          <w:szCs w:val="24"/>
        </w:rPr>
        <w:t>, v</w:t>
      </w:r>
      <w:r w:rsidRPr="009E069E">
        <w:rPr>
          <w:rFonts w:ascii="Times New Roman" w:eastAsia="Times New Roman" w:hAnsi="Times New Roman" w:cs="Times New Roman"/>
          <w:sz w:val="24"/>
          <w:szCs w:val="24"/>
          <w:lang w:eastAsia="sk-SK"/>
        </w:rPr>
        <w:t>ýška lyžín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1C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1C27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</w:t>
      </w:r>
      <w:r w:rsidR="00C71C27" w:rsidRPr="00C71C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mm</w:t>
      </w:r>
      <w:r w:rsidRPr="00955F2D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aximálna nakladacia výška  </w:t>
      </w:r>
      <w:r w:rsidR="00C71C27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</w:t>
      </w:r>
      <w:r w:rsidR="00C71C27" w:rsidRPr="00C71C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mm</w:t>
      </w:r>
    </w:p>
    <w:p w14:paraId="665A1BB3" w14:textId="77777777" w:rsidR="00AF46AE" w:rsidRPr="00955F2D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Uloženie lyžín pod ložnou plochou</w:t>
      </w:r>
    </w:p>
    <w:p w14:paraId="29E58C8B" w14:textId="77983FEB" w:rsidR="00AF46AE" w:rsidRPr="00955F2D" w:rsidRDefault="00AF46AE" w:rsidP="00AF46AE">
      <w:pPr>
        <w:pStyle w:val="Odsekzoznamu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Nadstavbové bočnice z pozinkovaného plechu - výška nadstavbových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bočníc </w:t>
      </w:r>
      <w:r w:rsidR="00C71C27" w:rsidRPr="002B00BD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................</w:t>
      </w:r>
      <w:r w:rsidR="00C71C27" w:rsidRPr="00C71C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mm.</w:t>
      </w:r>
    </w:p>
    <w:p w14:paraId="664D6F82" w14:textId="77777777" w:rsidR="00AF46AE" w:rsidRPr="00955F2D" w:rsidRDefault="00AF46AE" w:rsidP="00AF46AE">
      <w:pPr>
        <w:pStyle w:val="Odsekzoznamu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Plachtové veko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rozmery daného prívesného vozíka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55F2D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plachtového veka je aj výstuha pod plachtu.</w:t>
      </w:r>
    </w:p>
    <w:p w14:paraId="43BBC536" w14:textId="77777777" w:rsidR="00AF46AE" w:rsidRDefault="00AF46AE" w:rsidP="00AF46AE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55F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Dodanie</w:t>
      </w:r>
    </w:p>
    <w:p w14:paraId="1589938B" w14:textId="77777777" w:rsidR="00AF46AE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 kompletnou dokumentáciou potrebnú pre prihlásenie na dopravnom inšpektoráte</w:t>
      </w:r>
    </w:p>
    <w:p w14:paraId="59EDF6B0" w14:textId="77777777" w:rsidR="00AF46AE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Technická dokumentácia</w:t>
      </w:r>
    </w:p>
    <w:p w14:paraId="191DAAD0" w14:textId="2A923238" w:rsidR="00AF46AE" w:rsidRPr="00AF46AE" w:rsidRDefault="00AF46AE" w:rsidP="00AF46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Adresa: </w:t>
      </w:r>
      <w:r w:rsidRPr="00BC507C">
        <w:rPr>
          <w:rFonts w:ascii="Times New Roman" w:eastAsia="Times New Roman" w:hAnsi="Times New Roman" w:cs="Times New Roman"/>
          <w:sz w:val="24"/>
          <w:szCs w:val="24"/>
          <w:lang w:eastAsia="sk-SK"/>
        </w:rPr>
        <w:t>LESY Slovenskej republiky, š.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50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p. OZ </w:t>
      </w:r>
      <w:r w:rsidR="005F7F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Tatry Juraja Martinku 110/6, 033 01 </w:t>
      </w:r>
    </w:p>
    <w:sectPr w:rsidR="00AF46AE" w:rsidRPr="00AF46AE" w:rsidSect="003E4A43">
      <w:footerReference w:type="default" r:id="rId7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BE41D" w14:textId="77777777" w:rsidR="003065F2" w:rsidRDefault="003065F2" w:rsidP="00F14F05">
      <w:pPr>
        <w:spacing w:after="0" w:line="240" w:lineRule="auto"/>
      </w:pPr>
      <w:r>
        <w:separator/>
      </w:r>
    </w:p>
  </w:endnote>
  <w:endnote w:type="continuationSeparator" w:id="0">
    <w:p w14:paraId="4D1FB668" w14:textId="77777777" w:rsidR="003065F2" w:rsidRDefault="003065F2" w:rsidP="00F1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74451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5DFF69" w14:textId="60F72029" w:rsidR="0035358C" w:rsidRDefault="0035358C" w:rsidP="0035358C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38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383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1C4053" w14:textId="77777777" w:rsidR="0035358C" w:rsidRPr="00FD0ABC" w:rsidRDefault="0035358C" w:rsidP="00FD0ABC">
    <w:pPr>
      <w:pStyle w:val="Pta"/>
    </w:pPr>
    <w:r>
      <w:t xml:space="preserve">CRZ </w:t>
    </w:r>
    <w:r w:rsidR="001B458F">
      <w:t xml:space="preserve">.................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E7B44" w14:textId="77777777" w:rsidR="003065F2" w:rsidRDefault="003065F2" w:rsidP="00F14F05">
      <w:pPr>
        <w:spacing w:after="0" w:line="240" w:lineRule="auto"/>
      </w:pPr>
      <w:r>
        <w:separator/>
      </w:r>
    </w:p>
  </w:footnote>
  <w:footnote w:type="continuationSeparator" w:id="0">
    <w:p w14:paraId="79F8A658" w14:textId="77777777" w:rsidR="003065F2" w:rsidRDefault="003065F2" w:rsidP="00F1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1BB1072"/>
    <w:multiLevelType w:val="multilevel"/>
    <w:tmpl w:val="3E6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15C6D"/>
    <w:multiLevelType w:val="hybridMultilevel"/>
    <w:tmpl w:val="331AE9E0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4C02B97"/>
    <w:multiLevelType w:val="hybridMultilevel"/>
    <w:tmpl w:val="EF588E5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2291"/>
    <w:multiLevelType w:val="multilevel"/>
    <w:tmpl w:val="8AC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34CC8"/>
    <w:multiLevelType w:val="hybridMultilevel"/>
    <w:tmpl w:val="CDB05C30"/>
    <w:lvl w:ilvl="0" w:tplc="041B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9"/>
    <w:rsid w:val="000152C7"/>
    <w:rsid w:val="000648B1"/>
    <w:rsid w:val="000A74D2"/>
    <w:rsid w:val="000B207B"/>
    <w:rsid w:val="000B5BB7"/>
    <w:rsid w:val="000D2C41"/>
    <w:rsid w:val="000D4862"/>
    <w:rsid w:val="000F7283"/>
    <w:rsid w:val="00101C88"/>
    <w:rsid w:val="00123C7C"/>
    <w:rsid w:val="0017721E"/>
    <w:rsid w:val="001B1851"/>
    <w:rsid w:val="001B458F"/>
    <w:rsid w:val="002709CE"/>
    <w:rsid w:val="00285381"/>
    <w:rsid w:val="0028578E"/>
    <w:rsid w:val="002959D2"/>
    <w:rsid w:val="002A1F53"/>
    <w:rsid w:val="002B00BD"/>
    <w:rsid w:val="002B5B11"/>
    <w:rsid w:val="002C4502"/>
    <w:rsid w:val="002C455E"/>
    <w:rsid w:val="002D5DFB"/>
    <w:rsid w:val="002F6105"/>
    <w:rsid w:val="003065F2"/>
    <w:rsid w:val="00350FCA"/>
    <w:rsid w:val="0035358C"/>
    <w:rsid w:val="00366109"/>
    <w:rsid w:val="003932F5"/>
    <w:rsid w:val="00394F2A"/>
    <w:rsid w:val="003A121E"/>
    <w:rsid w:val="003A5755"/>
    <w:rsid w:val="003E4A43"/>
    <w:rsid w:val="003E5CF0"/>
    <w:rsid w:val="00402D5A"/>
    <w:rsid w:val="00435F8C"/>
    <w:rsid w:val="004D48CD"/>
    <w:rsid w:val="004F74B8"/>
    <w:rsid w:val="00501F70"/>
    <w:rsid w:val="00561D23"/>
    <w:rsid w:val="00594277"/>
    <w:rsid w:val="005A6253"/>
    <w:rsid w:val="005D4587"/>
    <w:rsid w:val="005D77A7"/>
    <w:rsid w:val="005F4C86"/>
    <w:rsid w:val="005F7F81"/>
    <w:rsid w:val="00623D6F"/>
    <w:rsid w:val="006408FD"/>
    <w:rsid w:val="00640F36"/>
    <w:rsid w:val="00675D50"/>
    <w:rsid w:val="0069064C"/>
    <w:rsid w:val="006A5AE3"/>
    <w:rsid w:val="006A62BC"/>
    <w:rsid w:val="006B17F8"/>
    <w:rsid w:val="00714562"/>
    <w:rsid w:val="00730016"/>
    <w:rsid w:val="0074103C"/>
    <w:rsid w:val="007424CF"/>
    <w:rsid w:val="00744039"/>
    <w:rsid w:val="00777493"/>
    <w:rsid w:val="00783830"/>
    <w:rsid w:val="007949D3"/>
    <w:rsid w:val="00796475"/>
    <w:rsid w:val="007C5CE8"/>
    <w:rsid w:val="00834B13"/>
    <w:rsid w:val="008372EF"/>
    <w:rsid w:val="00846C70"/>
    <w:rsid w:val="0084729C"/>
    <w:rsid w:val="008A2899"/>
    <w:rsid w:val="008B0411"/>
    <w:rsid w:val="008C5944"/>
    <w:rsid w:val="008D4113"/>
    <w:rsid w:val="008E1F75"/>
    <w:rsid w:val="00905162"/>
    <w:rsid w:val="0093262D"/>
    <w:rsid w:val="009365A0"/>
    <w:rsid w:val="00940E3A"/>
    <w:rsid w:val="00976045"/>
    <w:rsid w:val="00980639"/>
    <w:rsid w:val="0099685D"/>
    <w:rsid w:val="009C4180"/>
    <w:rsid w:val="009D3BB8"/>
    <w:rsid w:val="009E069E"/>
    <w:rsid w:val="009F34BE"/>
    <w:rsid w:val="009F48B9"/>
    <w:rsid w:val="00A0253D"/>
    <w:rsid w:val="00A03874"/>
    <w:rsid w:val="00A10A0C"/>
    <w:rsid w:val="00AF01D2"/>
    <w:rsid w:val="00AF46AE"/>
    <w:rsid w:val="00B14793"/>
    <w:rsid w:val="00B605DF"/>
    <w:rsid w:val="00B65E93"/>
    <w:rsid w:val="00B90F00"/>
    <w:rsid w:val="00B911DB"/>
    <w:rsid w:val="00B91DAD"/>
    <w:rsid w:val="00B921EA"/>
    <w:rsid w:val="00B9441C"/>
    <w:rsid w:val="00BB61E2"/>
    <w:rsid w:val="00BB7B88"/>
    <w:rsid w:val="00BC4193"/>
    <w:rsid w:val="00BD0F66"/>
    <w:rsid w:val="00C05406"/>
    <w:rsid w:val="00C201F7"/>
    <w:rsid w:val="00C31F11"/>
    <w:rsid w:val="00C71C27"/>
    <w:rsid w:val="00C72337"/>
    <w:rsid w:val="00C87516"/>
    <w:rsid w:val="00C97371"/>
    <w:rsid w:val="00CD3094"/>
    <w:rsid w:val="00CD7C4C"/>
    <w:rsid w:val="00CF0D81"/>
    <w:rsid w:val="00D5617B"/>
    <w:rsid w:val="00D85606"/>
    <w:rsid w:val="00D878C0"/>
    <w:rsid w:val="00DF25B6"/>
    <w:rsid w:val="00DF287C"/>
    <w:rsid w:val="00E02BB9"/>
    <w:rsid w:val="00E116EA"/>
    <w:rsid w:val="00E24CD8"/>
    <w:rsid w:val="00E264BE"/>
    <w:rsid w:val="00E714FE"/>
    <w:rsid w:val="00EA7D21"/>
    <w:rsid w:val="00ED1EA0"/>
    <w:rsid w:val="00EE480F"/>
    <w:rsid w:val="00EF15E3"/>
    <w:rsid w:val="00EF2E38"/>
    <w:rsid w:val="00EF3B64"/>
    <w:rsid w:val="00F01BE2"/>
    <w:rsid w:val="00F14F05"/>
    <w:rsid w:val="00FB6328"/>
    <w:rsid w:val="00FC6AE1"/>
    <w:rsid w:val="00FD0ABC"/>
    <w:rsid w:val="00FD0D57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EAABE"/>
  <w15:chartTrackingRefBased/>
  <w15:docId w15:val="{08DE93A7-11E4-4CE0-97D3-A971F13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8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F05"/>
  </w:style>
  <w:style w:type="paragraph" w:styleId="Pta">
    <w:name w:val="footer"/>
    <w:basedOn w:val="Normlny"/>
    <w:link w:val="Pt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F05"/>
  </w:style>
  <w:style w:type="paragraph" w:styleId="Odsekzoznamu">
    <w:name w:val="List Paragraph"/>
    <w:basedOn w:val="Normlny"/>
    <w:uiPriority w:val="34"/>
    <w:qFormat/>
    <w:rsid w:val="00ED1EA0"/>
    <w:pPr>
      <w:ind w:left="720"/>
      <w:contextualSpacing/>
    </w:pPr>
  </w:style>
  <w:style w:type="paragraph" w:styleId="Bezriadkovania">
    <w:name w:val="No Spacing"/>
    <w:uiPriority w:val="1"/>
    <w:qFormat/>
    <w:rsid w:val="000A7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Pecnikova, Emilia</dc:creator>
  <cp:keywords/>
  <dc:description/>
  <cp:lastModifiedBy>Hudak, Michal</cp:lastModifiedBy>
  <cp:revision>2</cp:revision>
  <dcterms:created xsi:type="dcterms:W3CDTF">2022-10-17T10:59:00Z</dcterms:created>
  <dcterms:modified xsi:type="dcterms:W3CDTF">2022-10-17T10:59:00Z</dcterms:modified>
</cp:coreProperties>
</file>