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0E37A8">
        <w:rPr>
          <w:rFonts w:ascii="Arial Narrow" w:hAnsi="Arial Narrow"/>
          <w:sz w:val="21"/>
          <w:szCs w:val="21"/>
        </w:rPr>
        <w:t>elektrickej energie</w:t>
      </w:r>
      <w:r w:rsidR="007E3E73">
        <w:rPr>
          <w:rFonts w:ascii="Arial Narrow" w:hAnsi="Arial Narrow"/>
          <w:sz w:val="21"/>
          <w:szCs w:val="21"/>
        </w:rPr>
        <w:t xml:space="preserve"> –</w:t>
      </w:r>
      <w:r w:rsidR="000A033E">
        <w:rPr>
          <w:rFonts w:ascii="Arial Narrow" w:hAnsi="Arial Narrow"/>
          <w:sz w:val="21"/>
          <w:szCs w:val="21"/>
        </w:rPr>
        <w:t xml:space="preserve"> PSO</w:t>
      </w:r>
      <w:r w:rsidR="000E37A8">
        <w:rPr>
          <w:rFonts w:ascii="Arial Narrow" w:hAnsi="Arial Narrow"/>
          <w:sz w:val="21"/>
          <w:szCs w:val="21"/>
        </w:rPr>
        <w:t xml:space="preserve"> 3</w:t>
      </w:r>
      <w:bookmarkStart w:id="1" w:name="_GoBack"/>
      <w:bookmarkEnd w:id="1"/>
      <w:r w:rsidR="007E3E73">
        <w:rPr>
          <w:rFonts w:ascii="Arial Narrow" w:hAnsi="Arial Narrow"/>
          <w:sz w:val="21"/>
          <w:szCs w:val="21"/>
        </w:rPr>
        <w:t>22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A033E"/>
    <w:rsid w:val="000C65DC"/>
    <w:rsid w:val="000E37A8"/>
    <w:rsid w:val="004338F7"/>
    <w:rsid w:val="004C3429"/>
    <w:rsid w:val="00592251"/>
    <w:rsid w:val="006829E7"/>
    <w:rsid w:val="006E1A9B"/>
    <w:rsid w:val="0077157D"/>
    <w:rsid w:val="007E3E73"/>
    <w:rsid w:val="0087744F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3</cp:revision>
  <dcterms:created xsi:type="dcterms:W3CDTF">2022-10-04T12:56:00Z</dcterms:created>
  <dcterms:modified xsi:type="dcterms:W3CDTF">2022-10-26T08:55:00Z</dcterms:modified>
</cp:coreProperties>
</file>