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5B1C" w14:textId="76FD3EA3" w:rsidR="00833868" w:rsidRPr="00833868" w:rsidRDefault="00833868" w:rsidP="008338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line="276" w:lineRule="auto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b/>
          <w:bCs/>
          <w:sz w:val="22"/>
          <w:szCs w:val="22"/>
        </w:rPr>
        <w:t xml:space="preserve">Príloha č. </w:t>
      </w:r>
      <w:r w:rsidR="00120C3D">
        <w:rPr>
          <w:rFonts w:ascii="Cambria" w:hAnsi="Cambria" w:cs="Arial"/>
          <w:b/>
          <w:bCs/>
          <w:sz w:val="22"/>
          <w:szCs w:val="22"/>
        </w:rPr>
        <w:t>3</w:t>
      </w:r>
    </w:p>
    <w:p w14:paraId="7093A0C0" w14:textId="77777777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b/>
          <w:sz w:val="22"/>
          <w:szCs w:val="22"/>
        </w:rPr>
      </w:pPr>
    </w:p>
    <w:p w14:paraId="6A8AC728" w14:textId="77777777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ambria" w:hAnsi="Cambria" w:cs="Arial"/>
          <w:b/>
          <w:sz w:val="22"/>
          <w:szCs w:val="22"/>
        </w:rPr>
      </w:pPr>
      <w:r w:rsidRPr="00833868">
        <w:rPr>
          <w:rFonts w:ascii="Cambria" w:hAnsi="Cambria" w:cs="Arial"/>
          <w:b/>
          <w:sz w:val="22"/>
          <w:szCs w:val="22"/>
        </w:rPr>
        <w:t>Návrh na plnenie kritérií na vyhodnotenie ponúk</w:t>
      </w:r>
    </w:p>
    <w:p w14:paraId="52A83C63" w14:textId="77777777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b/>
          <w:sz w:val="22"/>
          <w:szCs w:val="22"/>
        </w:rPr>
      </w:pPr>
    </w:p>
    <w:p w14:paraId="1B219608" w14:textId="2EE87C80" w:rsidR="00833868" w:rsidRPr="00D97D72" w:rsidRDefault="00833868" w:rsidP="00D97D72">
      <w:pPr>
        <w:overflowPunct w:val="0"/>
        <w:autoSpaceDE w:val="0"/>
        <w:autoSpaceDN w:val="0"/>
        <w:adjustRightInd w:val="0"/>
        <w:spacing w:line="276" w:lineRule="auto"/>
        <w:ind w:left="2832" w:hanging="2832"/>
        <w:jc w:val="both"/>
        <w:textAlignment w:val="baseline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b/>
          <w:sz w:val="22"/>
          <w:szCs w:val="22"/>
        </w:rPr>
        <w:t xml:space="preserve">Názov zákazky: </w:t>
      </w:r>
      <w:r w:rsidRPr="00833868">
        <w:rPr>
          <w:rFonts w:ascii="Cambria" w:hAnsi="Cambria" w:cs="Arial"/>
          <w:b/>
          <w:sz w:val="22"/>
          <w:szCs w:val="22"/>
        </w:rPr>
        <w:tab/>
      </w:r>
      <w:r w:rsidR="00D97D72" w:rsidRPr="00D97D72">
        <w:rPr>
          <w:rFonts w:ascii="Cambria" w:hAnsi="Cambria"/>
          <w:color w:val="000000"/>
          <w:sz w:val="22"/>
          <w:szCs w:val="22"/>
        </w:rPr>
        <w:t>Licencie Dynatrace (Monitoring aplikácií na platformách Java a Sharepoint) a konzultačné služby</w:t>
      </w:r>
    </w:p>
    <w:p w14:paraId="7285723E" w14:textId="77777777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b/>
          <w:sz w:val="22"/>
          <w:szCs w:val="22"/>
        </w:rPr>
      </w:pPr>
    </w:p>
    <w:p w14:paraId="047C9D5A" w14:textId="4936FA84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sz w:val="22"/>
          <w:szCs w:val="22"/>
        </w:rPr>
        <w:t>Obchodné meno uchádzača</w:t>
      </w:r>
      <w:r w:rsidRPr="00833868">
        <w:rPr>
          <w:rFonts w:ascii="Cambria" w:hAnsi="Cambria" w:cs="Arial"/>
          <w:sz w:val="22"/>
          <w:szCs w:val="22"/>
        </w:rPr>
        <w:tab/>
      </w:r>
      <w:r w:rsidR="00C55397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  <w:highlight w:val="yellow"/>
        </w:rPr>
        <w:t>...................................................................................</w:t>
      </w:r>
    </w:p>
    <w:p w14:paraId="3BAD3DAB" w14:textId="5D3568B4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sz w:val="22"/>
          <w:szCs w:val="22"/>
        </w:rPr>
        <w:t>Sídlo alebo miesto podnikania</w:t>
      </w:r>
      <w:r w:rsidR="00C55397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  <w:highlight w:val="yellow"/>
        </w:rPr>
        <w:t>...................................................................................</w:t>
      </w:r>
    </w:p>
    <w:p w14:paraId="002396E7" w14:textId="64FEA5F1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sz w:val="22"/>
          <w:szCs w:val="22"/>
        </w:rPr>
        <w:t>IČO</w:t>
      </w:r>
      <w:r w:rsidRPr="00833868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</w:rPr>
        <w:tab/>
      </w:r>
      <w:r w:rsidR="00C55397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  <w:highlight w:val="yellow"/>
        </w:rPr>
        <w:t>...................................................................................</w:t>
      </w:r>
    </w:p>
    <w:p w14:paraId="7060BDDC" w14:textId="77777777" w:rsidR="00833868" w:rsidRPr="00833868" w:rsidRDefault="00833868" w:rsidP="00833868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sz w:val="22"/>
          <w:szCs w:val="22"/>
        </w:rPr>
        <w:t>(v prípade skupiny dodávateľov za každého člena skupiny dodávateľov)</w:t>
      </w:r>
    </w:p>
    <w:p w14:paraId="73F33825" w14:textId="77777777" w:rsidR="00833868" w:rsidRPr="00833868" w:rsidRDefault="00833868" w:rsidP="0083386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0FB9D1F8" w14:textId="3C79BB40" w:rsidR="00833868" w:rsidRPr="005A7129" w:rsidRDefault="00833868" w:rsidP="00D97D72">
      <w:pPr>
        <w:tabs>
          <w:tab w:val="left" w:pos="2520"/>
        </w:tabs>
        <w:spacing w:after="120"/>
        <w:ind w:right="-45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A7129">
        <w:rPr>
          <w:rFonts w:ascii="Cambria" w:hAnsi="Cambria" w:cs="Arial"/>
          <w:bCs/>
          <w:sz w:val="22"/>
          <w:szCs w:val="22"/>
        </w:rPr>
        <w:t xml:space="preserve">Kritérium: </w:t>
      </w:r>
      <w:r w:rsidRPr="00BA0599">
        <w:rPr>
          <w:rFonts w:ascii="Cambria" w:hAnsi="Cambria" w:cs="Arial"/>
          <w:b/>
          <w:sz w:val="22"/>
          <w:szCs w:val="22"/>
        </w:rPr>
        <w:t>Celková cena predmet</w:t>
      </w:r>
      <w:r w:rsidR="006B683E" w:rsidRPr="00BA0599">
        <w:rPr>
          <w:rFonts w:ascii="Cambria" w:hAnsi="Cambria" w:cs="Arial"/>
          <w:b/>
          <w:sz w:val="22"/>
          <w:szCs w:val="22"/>
        </w:rPr>
        <w:t>u</w:t>
      </w:r>
      <w:r w:rsidRPr="00BA0599">
        <w:rPr>
          <w:rFonts w:ascii="Cambria" w:hAnsi="Cambria" w:cs="Arial"/>
          <w:b/>
          <w:sz w:val="22"/>
          <w:szCs w:val="22"/>
        </w:rPr>
        <w:t xml:space="preserve"> zákazky v eurách bez DPH.</w:t>
      </w:r>
    </w:p>
    <w:tbl>
      <w:tblPr>
        <w:tblW w:w="96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961"/>
        <w:gridCol w:w="1135"/>
        <w:gridCol w:w="1559"/>
        <w:gridCol w:w="1417"/>
      </w:tblGrid>
      <w:tr w:rsidR="00BA0599" w:rsidRPr="00C01B88" w14:paraId="41A50C3B" w14:textId="77777777" w:rsidTr="005D44B9">
        <w:trPr>
          <w:trHeight w:val="335"/>
        </w:trPr>
        <w:tc>
          <w:tcPr>
            <w:tcW w:w="557" w:type="dxa"/>
            <w:vMerge w:val="restart"/>
            <w:shd w:val="clear" w:color="auto" w:fill="C0C0C0"/>
            <w:noWrap/>
            <w:vAlign w:val="center"/>
          </w:tcPr>
          <w:p w14:paraId="4A0986D9" w14:textId="77777777" w:rsidR="00BA0599" w:rsidRPr="00C01B88" w:rsidRDefault="00BA0599" w:rsidP="005A7129">
            <w:pPr>
              <w:ind w:right="-10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/>
                <w:bCs/>
                <w:sz w:val="20"/>
                <w:szCs w:val="20"/>
              </w:rPr>
              <w:t>Pol.</w:t>
            </w:r>
          </w:p>
        </w:tc>
        <w:tc>
          <w:tcPr>
            <w:tcW w:w="4961" w:type="dxa"/>
            <w:vMerge w:val="restart"/>
            <w:shd w:val="clear" w:color="auto" w:fill="C0C0C0"/>
            <w:vAlign w:val="center"/>
            <w:hideMark/>
          </w:tcPr>
          <w:p w14:paraId="6A8706F9" w14:textId="5F92E675" w:rsidR="00BA0599" w:rsidRPr="00C01B88" w:rsidRDefault="00BA0599" w:rsidP="00D97D7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/>
                <w:sz w:val="20"/>
                <w:szCs w:val="20"/>
              </w:rPr>
              <w:t>Popis</w:t>
            </w:r>
            <w:r>
              <w:rPr>
                <w:rFonts w:ascii="Cambria" w:hAnsi="Cambria" w:cstheme="minorHAnsi"/>
                <w:b/>
                <w:sz w:val="20"/>
                <w:szCs w:val="20"/>
              </w:rPr>
              <w:t xml:space="preserve"> položky a množstvo</w:t>
            </w:r>
          </w:p>
        </w:tc>
        <w:tc>
          <w:tcPr>
            <w:tcW w:w="4111" w:type="dxa"/>
            <w:gridSpan w:val="3"/>
            <w:shd w:val="clear" w:color="auto" w:fill="C0C0C0"/>
          </w:tcPr>
          <w:p w14:paraId="59237DFC" w14:textId="7902FC2C" w:rsidR="00BA0599" w:rsidRPr="00C01B88" w:rsidRDefault="00BA0599" w:rsidP="00D97D7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01B8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Cena za jeden </w:t>
            </w:r>
          </w:p>
        </w:tc>
      </w:tr>
      <w:tr w:rsidR="00BA0599" w:rsidRPr="00C01B88" w14:paraId="4B8C7654" w14:textId="77777777" w:rsidTr="005A7129">
        <w:trPr>
          <w:trHeight w:val="300"/>
        </w:trPr>
        <w:tc>
          <w:tcPr>
            <w:tcW w:w="557" w:type="dxa"/>
            <w:vMerge/>
            <w:vAlign w:val="center"/>
            <w:hideMark/>
          </w:tcPr>
          <w:p w14:paraId="73D30B8C" w14:textId="77777777" w:rsidR="00BA0599" w:rsidRPr="00C01B88" w:rsidRDefault="00BA0599" w:rsidP="00D97D72">
            <w:pPr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14:paraId="026EEB15" w14:textId="77777777" w:rsidR="00BA0599" w:rsidRPr="00C01B88" w:rsidRDefault="00BA0599" w:rsidP="00D97D72">
            <w:pPr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C0C0C0"/>
            <w:vAlign w:val="center"/>
          </w:tcPr>
          <w:p w14:paraId="55F0EC0F" w14:textId="2A9ADFAF" w:rsidR="00BA0599" w:rsidRPr="00C01B88" w:rsidRDefault="005063A2" w:rsidP="005A7129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 xml:space="preserve">osobodeň </w:t>
            </w:r>
            <w:r w:rsidRPr="00C01B88">
              <w:rPr>
                <w:rFonts w:ascii="Cambria" w:hAnsi="Cambria" w:cs="Arial"/>
                <w:b/>
                <w:bCs/>
                <w:sz w:val="20"/>
                <w:szCs w:val="20"/>
              </w:rPr>
              <w:t>v eurách</w:t>
            </w:r>
            <w:r w:rsidRPr="00C01B88">
              <w:rPr>
                <w:rFonts w:ascii="Cambria" w:hAnsi="Cambria" w:cstheme="minorHAnsi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559" w:type="dxa"/>
            <w:shd w:val="clear" w:color="auto" w:fill="C0C0C0"/>
            <w:vAlign w:val="center"/>
            <w:hideMark/>
          </w:tcPr>
          <w:p w14:paraId="743D236C" w14:textId="21D9A701" w:rsidR="00BA0599" w:rsidRPr="00C01B88" w:rsidRDefault="00BA0599" w:rsidP="005A7129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01B88">
              <w:rPr>
                <w:rFonts w:ascii="Cambria" w:hAnsi="Cambria" w:cs="Arial"/>
                <w:b/>
                <w:bCs/>
                <w:sz w:val="20"/>
                <w:szCs w:val="20"/>
              </w:rPr>
              <w:t>rok v eurách</w:t>
            </w:r>
            <w:r w:rsidRPr="00C01B88">
              <w:rPr>
                <w:rFonts w:ascii="Cambria" w:hAnsi="Cambria" w:cstheme="minorHAnsi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417" w:type="dxa"/>
            <w:shd w:val="clear" w:color="auto" w:fill="C0C0C0"/>
            <w:vAlign w:val="center"/>
            <w:hideMark/>
          </w:tcPr>
          <w:p w14:paraId="6884D92D" w14:textId="3833B020" w:rsidR="00BA0599" w:rsidRPr="00C01B88" w:rsidRDefault="00BA0599" w:rsidP="005A7129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01B88">
              <w:rPr>
                <w:rFonts w:ascii="Cambria" w:hAnsi="Cambria" w:cs="Arial"/>
                <w:b/>
                <w:bCs/>
                <w:sz w:val="20"/>
                <w:szCs w:val="20"/>
              </w:rPr>
              <w:t>rok v eurách</w:t>
            </w:r>
            <w:r w:rsidRPr="00C01B88">
              <w:rPr>
                <w:rFonts w:ascii="Cambria" w:hAnsi="Cambria" w:cstheme="minorHAnsi"/>
                <w:b/>
                <w:sz w:val="20"/>
                <w:szCs w:val="20"/>
              </w:rPr>
              <w:t xml:space="preserve"> s DPH</w:t>
            </w:r>
          </w:p>
        </w:tc>
      </w:tr>
      <w:tr w:rsidR="00BA0599" w:rsidRPr="00C01B88" w14:paraId="736B6077" w14:textId="77777777" w:rsidTr="005A7129">
        <w:trPr>
          <w:trHeight w:val="308"/>
        </w:trPr>
        <w:tc>
          <w:tcPr>
            <w:tcW w:w="557" w:type="dxa"/>
            <w:shd w:val="clear" w:color="auto" w:fill="C0C0C0"/>
            <w:noWrap/>
            <w:vAlign w:val="center"/>
          </w:tcPr>
          <w:p w14:paraId="4A8833FE" w14:textId="79CF0E89" w:rsidR="00BA0599" w:rsidRPr="00C01B88" w:rsidRDefault="00BA0599" w:rsidP="00B6697A">
            <w:pPr>
              <w:ind w:left="57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4961" w:type="dxa"/>
            <w:noWrap/>
            <w:vAlign w:val="center"/>
          </w:tcPr>
          <w:p w14:paraId="663F73CF" w14:textId="0A7C20DB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 xml:space="preserve">Cena za licencie </w:t>
            </w:r>
            <w:r>
              <w:rPr>
                <w:rFonts w:ascii="Cambria" w:hAnsi="Cambria" w:cs="Arial"/>
                <w:sz w:val="20"/>
                <w:szCs w:val="20"/>
              </w:rPr>
              <w:t>(</w:t>
            </w:r>
            <w:r w:rsidRPr="00C01B88">
              <w:rPr>
                <w:rFonts w:ascii="Cambria" w:hAnsi="Cambria" w:cs="Arial"/>
                <w:sz w:val="20"/>
                <w:szCs w:val="20"/>
              </w:rPr>
              <w:t>subskripcie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pre Dynatrace Managed Hosts (per Host Units), množstvo 30 Host Units za rok </w:t>
            </w:r>
          </w:p>
        </w:tc>
        <w:tc>
          <w:tcPr>
            <w:tcW w:w="1135" w:type="dxa"/>
            <w:vAlign w:val="center"/>
          </w:tcPr>
          <w:p w14:paraId="1CE84471" w14:textId="4795C2FE" w:rsidR="00BA0599" w:rsidRPr="005A7129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A7129">
              <w:rPr>
                <w:rFonts w:ascii="Cambria" w:hAnsi="Cambria" w:cstheme="minorHAnsi"/>
                <w:sz w:val="20"/>
                <w:szCs w:val="20"/>
              </w:rPr>
              <w:t>---</w:t>
            </w:r>
          </w:p>
        </w:tc>
        <w:tc>
          <w:tcPr>
            <w:tcW w:w="1559" w:type="dxa"/>
            <w:vAlign w:val="center"/>
          </w:tcPr>
          <w:p w14:paraId="2B4AB28E" w14:textId="169CEACC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  <w:tc>
          <w:tcPr>
            <w:tcW w:w="1417" w:type="dxa"/>
            <w:vAlign w:val="center"/>
          </w:tcPr>
          <w:p w14:paraId="6BB0A9B4" w14:textId="4134F406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</w:tr>
      <w:tr w:rsidR="00BA0599" w:rsidRPr="00C01B88" w14:paraId="16336237" w14:textId="77777777" w:rsidTr="005A7129">
        <w:trPr>
          <w:trHeight w:val="308"/>
        </w:trPr>
        <w:tc>
          <w:tcPr>
            <w:tcW w:w="557" w:type="dxa"/>
            <w:shd w:val="clear" w:color="auto" w:fill="C0C0C0"/>
            <w:noWrap/>
            <w:vAlign w:val="center"/>
          </w:tcPr>
          <w:p w14:paraId="32B93872" w14:textId="1EE9CEE7" w:rsidR="00BA0599" w:rsidRPr="00C01B88" w:rsidRDefault="00BA0599" w:rsidP="00B6697A">
            <w:pPr>
              <w:ind w:left="57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4961" w:type="dxa"/>
            <w:noWrap/>
            <w:vAlign w:val="center"/>
          </w:tcPr>
          <w:p w14:paraId="4ED9B5C8" w14:textId="77777777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 xml:space="preserve">Cena za licencie </w:t>
            </w:r>
            <w:r>
              <w:rPr>
                <w:rFonts w:ascii="Cambria" w:hAnsi="Cambria" w:cs="Arial"/>
                <w:sz w:val="20"/>
                <w:szCs w:val="20"/>
              </w:rPr>
              <w:t>(</w:t>
            </w:r>
            <w:r w:rsidRPr="00C01B88">
              <w:rPr>
                <w:rFonts w:ascii="Cambria" w:hAnsi="Cambria" w:cs="Arial"/>
                <w:sz w:val="20"/>
                <w:szCs w:val="20"/>
              </w:rPr>
              <w:t>subskripcie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06B74B14" w14:textId="1E7B99F5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 xml:space="preserve">Dynatrace Davis Data Units </w:t>
            </w:r>
            <w:r>
              <w:rPr>
                <w:rFonts w:ascii="Cambria" w:hAnsi="Cambria" w:cs="Arial"/>
                <w:sz w:val="20"/>
                <w:szCs w:val="20"/>
              </w:rPr>
              <w:t>–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Term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01B88">
              <w:rPr>
                <w:rFonts w:ascii="Cambria" w:hAnsi="Cambria" w:cs="Arial"/>
                <w:sz w:val="20"/>
                <w:szCs w:val="20"/>
              </w:rPr>
              <w:t>licenses, Per Million Annual Units DDU, množstvo 2 DDU</w:t>
            </w:r>
            <w:r>
              <w:rPr>
                <w:rFonts w:ascii="Cambria" w:hAnsi="Cambria" w:cs="Arial"/>
                <w:sz w:val="20"/>
                <w:szCs w:val="20"/>
              </w:rPr>
              <w:t>*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za rok </w:t>
            </w:r>
          </w:p>
        </w:tc>
        <w:tc>
          <w:tcPr>
            <w:tcW w:w="1135" w:type="dxa"/>
            <w:vAlign w:val="center"/>
          </w:tcPr>
          <w:p w14:paraId="446B203D" w14:textId="57DD9553" w:rsidR="00BA0599" w:rsidRPr="005A7129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A7129">
              <w:rPr>
                <w:rFonts w:ascii="Cambria" w:hAnsi="Cambria" w:cstheme="minorHAnsi"/>
                <w:sz w:val="20"/>
                <w:szCs w:val="20"/>
              </w:rPr>
              <w:t>---</w:t>
            </w:r>
          </w:p>
        </w:tc>
        <w:tc>
          <w:tcPr>
            <w:tcW w:w="1559" w:type="dxa"/>
            <w:vAlign w:val="center"/>
          </w:tcPr>
          <w:p w14:paraId="40C7F3B1" w14:textId="15965C99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  <w:tc>
          <w:tcPr>
            <w:tcW w:w="1417" w:type="dxa"/>
            <w:vAlign w:val="center"/>
          </w:tcPr>
          <w:p w14:paraId="51DC9455" w14:textId="0FFBF94A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</w:tr>
      <w:tr w:rsidR="00BA0599" w:rsidRPr="00C01B88" w14:paraId="080C3879" w14:textId="77777777" w:rsidTr="005A7129">
        <w:trPr>
          <w:trHeight w:val="308"/>
        </w:trPr>
        <w:tc>
          <w:tcPr>
            <w:tcW w:w="557" w:type="dxa"/>
            <w:shd w:val="clear" w:color="auto" w:fill="C0C0C0"/>
            <w:noWrap/>
            <w:vAlign w:val="center"/>
          </w:tcPr>
          <w:p w14:paraId="711715DD" w14:textId="19C6B3A7" w:rsidR="00BA0599" w:rsidRPr="00C01B88" w:rsidRDefault="00BA0599" w:rsidP="00B6697A">
            <w:pPr>
              <w:ind w:left="57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>
              <w:rPr>
                <w:rFonts w:ascii="Cambria" w:hAnsi="Cambria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4961" w:type="dxa"/>
            <w:noWrap/>
            <w:vAlign w:val="center"/>
          </w:tcPr>
          <w:p w14:paraId="57354945" w14:textId="77777777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 xml:space="preserve">Cena za licencie </w:t>
            </w:r>
            <w:r>
              <w:rPr>
                <w:rFonts w:ascii="Cambria" w:hAnsi="Cambria" w:cs="Arial"/>
                <w:sz w:val="20"/>
                <w:szCs w:val="20"/>
              </w:rPr>
              <w:t>(</w:t>
            </w:r>
            <w:r w:rsidRPr="00C01B88">
              <w:rPr>
                <w:rFonts w:ascii="Cambria" w:hAnsi="Cambria" w:cs="Arial"/>
                <w:sz w:val="20"/>
                <w:szCs w:val="20"/>
              </w:rPr>
              <w:t>subskripcie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1DAEAA96" w14:textId="3248D082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 xml:space="preserve">Zabbix extension (integrácia Zabbix eventov a problémov do konzoly Dynatrace), množstvo 1ks za rok </w:t>
            </w:r>
          </w:p>
        </w:tc>
        <w:tc>
          <w:tcPr>
            <w:tcW w:w="1135" w:type="dxa"/>
            <w:vAlign w:val="center"/>
          </w:tcPr>
          <w:p w14:paraId="6620C4A9" w14:textId="130B9EB5" w:rsidR="00BA0599" w:rsidRPr="005A7129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A7129">
              <w:rPr>
                <w:rFonts w:ascii="Cambria" w:hAnsi="Cambria" w:cstheme="minorHAnsi"/>
                <w:sz w:val="20"/>
                <w:szCs w:val="20"/>
              </w:rPr>
              <w:t>---</w:t>
            </w:r>
          </w:p>
        </w:tc>
        <w:tc>
          <w:tcPr>
            <w:tcW w:w="1559" w:type="dxa"/>
            <w:vAlign w:val="center"/>
          </w:tcPr>
          <w:p w14:paraId="50D2F42A" w14:textId="5CC0A903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  <w:tc>
          <w:tcPr>
            <w:tcW w:w="1417" w:type="dxa"/>
            <w:vAlign w:val="center"/>
          </w:tcPr>
          <w:p w14:paraId="47EDC786" w14:textId="2AF47F38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</w:tr>
      <w:tr w:rsidR="00BA0599" w:rsidRPr="00C01B88" w14:paraId="1275788B" w14:textId="77777777" w:rsidTr="005A7129">
        <w:trPr>
          <w:trHeight w:val="308"/>
        </w:trPr>
        <w:tc>
          <w:tcPr>
            <w:tcW w:w="557" w:type="dxa"/>
            <w:shd w:val="clear" w:color="auto" w:fill="C0C0C0"/>
            <w:noWrap/>
            <w:vAlign w:val="center"/>
          </w:tcPr>
          <w:p w14:paraId="15A1A8EA" w14:textId="1174CD1C" w:rsidR="00BA0599" w:rsidRPr="00C01B88" w:rsidRDefault="00BA0599" w:rsidP="00B6697A">
            <w:pPr>
              <w:ind w:left="57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>
              <w:rPr>
                <w:rFonts w:ascii="Cambria" w:hAnsi="Cambria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4961" w:type="dxa"/>
            <w:noWrap/>
            <w:vAlign w:val="center"/>
          </w:tcPr>
          <w:p w14:paraId="10EBD11A" w14:textId="77777777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 xml:space="preserve">Cena za licencie </w:t>
            </w:r>
            <w:r>
              <w:rPr>
                <w:rFonts w:ascii="Cambria" w:hAnsi="Cambria" w:cs="Arial"/>
                <w:sz w:val="20"/>
                <w:szCs w:val="20"/>
              </w:rPr>
              <w:t>(</w:t>
            </w:r>
            <w:r w:rsidRPr="00C01B88">
              <w:rPr>
                <w:rFonts w:ascii="Cambria" w:hAnsi="Cambria" w:cs="Arial"/>
                <w:sz w:val="20"/>
                <w:szCs w:val="20"/>
              </w:rPr>
              <w:t>subskripcie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75D9DEFD" w14:textId="7F7DE126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 xml:space="preserve">Digital Experience Monitoring </w:t>
            </w:r>
            <w:r>
              <w:rPr>
                <w:rFonts w:ascii="Cambria" w:hAnsi="Cambria" w:cs="Arial"/>
                <w:sz w:val="20"/>
                <w:szCs w:val="20"/>
              </w:rPr>
              <w:t>–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Term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C01B88">
              <w:rPr>
                <w:rFonts w:ascii="Cambria" w:hAnsi="Cambria" w:cs="Arial"/>
                <w:sz w:val="20"/>
                <w:szCs w:val="20"/>
              </w:rPr>
              <w:t>licenses, Per Million Annual Units DEM, množstvo 0,1 DEM</w:t>
            </w:r>
            <w:r>
              <w:rPr>
                <w:rFonts w:ascii="Cambria" w:hAnsi="Cambria" w:cs="Arial"/>
                <w:sz w:val="20"/>
                <w:szCs w:val="20"/>
              </w:rPr>
              <w:t>**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za rok </w:t>
            </w:r>
          </w:p>
        </w:tc>
        <w:tc>
          <w:tcPr>
            <w:tcW w:w="1135" w:type="dxa"/>
            <w:vAlign w:val="center"/>
          </w:tcPr>
          <w:p w14:paraId="40325F68" w14:textId="6D71E5E5" w:rsidR="00BA0599" w:rsidRPr="005A7129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A7129">
              <w:rPr>
                <w:rFonts w:ascii="Cambria" w:hAnsi="Cambria" w:cstheme="minorHAnsi"/>
                <w:sz w:val="20"/>
                <w:szCs w:val="20"/>
              </w:rPr>
              <w:t>---</w:t>
            </w:r>
          </w:p>
        </w:tc>
        <w:tc>
          <w:tcPr>
            <w:tcW w:w="1559" w:type="dxa"/>
            <w:vAlign w:val="center"/>
          </w:tcPr>
          <w:p w14:paraId="424C99C7" w14:textId="122568CE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  <w:tc>
          <w:tcPr>
            <w:tcW w:w="1417" w:type="dxa"/>
            <w:vAlign w:val="center"/>
          </w:tcPr>
          <w:p w14:paraId="0FB44987" w14:textId="1E7FB941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</w:tr>
      <w:tr w:rsidR="00BA0599" w:rsidRPr="00C01B88" w14:paraId="4E539730" w14:textId="77777777" w:rsidTr="005A7129">
        <w:trPr>
          <w:trHeight w:val="308"/>
        </w:trPr>
        <w:tc>
          <w:tcPr>
            <w:tcW w:w="557" w:type="dxa"/>
            <w:shd w:val="clear" w:color="auto" w:fill="C0C0C0"/>
            <w:noWrap/>
            <w:vAlign w:val="center"/>
            <w:hideMark/>
          </w:tcPr>
          <w:p w14:paraId="66A44C54" w14:textId="74086334" w:rsidR="00BA0599" w:rsidRPr="00C01B88" w:rsidRDefault="00BA0599" w:rsidP="00B6697A">
            <w:pPr>
              <w:ind w:left="57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>
              <w:rPr>
                <w:rFonts w:ascii="Cambria" w:hAnsi="Cambria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4961" w:type="dxa"/>
            <w:noWrap/>
            <w:vAlign w:val="center"/>
            <w:hideMark/>
          </w:tcPr>
          <w:p w14:paraId="471444C7" w14:textId="24FAC1D8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>Cena za obnovu licencií</w:t>
            </w:r>
            <w:r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Pr="00C01B88">
              <w:rPr>
                <w:rFonts w:ascii="Cambria" w:hAnsi="Cambria" w:cs="Arial"/>
                <w:sz w:val="20"/>
                <w:szCs w:val="20"/>
              </w:rPr>
              <w:t>subskripcií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(subscription ren</w:t>
            </w:r>
            <w:r>
              <w:rPr>
                <w:rFonts w:ascii="Cambria" w:hAnsi="Cambria" w:cs="Arial"/>
                <w:sz w:val="20"/>
                <w:szCs w:val="20"/>
              </w:rPr>
              <w:t>e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wal) </w:t>
            </w:r>
            <w:r>
              <w:rPr>
                <w:rFonts w:ascii="Cambria" w:hAnsi="Cambria" w:cs="Arial"/>
                <w:sz w:val="20"/>
                <w:szCs w:val="20"/>
              </w:rPr>
              <w:t xml:space="preserve">všetkých </w:t>
            </w:r>
            <w:r w:rsidRPr="00C01B88">
              <w:rPr>
                <w:rFonts w:ascii="Cambria" w:hAnsi="Cambria" w:cs="Arial"/>
                <w:sz w:val="20"/>
                <w:szCs w:val="20"/>
              </w:rPr>
              <w:t>produktov Dynatrace ktoré už má verejný obstarávateľ</w:t>
            </w:r>
            <w:r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Pr="007A2E31">
              <w:rPr>
                <w:rFonts w:ascii="Cambria" w:hAnsi="Cambria" w:cs="Arial"/>
                <w:sz w:val="20"/>
                <w:szCs w:val="20"/>
              </w:rPr>
              <w:t>License name: National bank of Slovakia RFO-SK - TERM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zakúpené</w:t>
            </w:r>
            <w:r>
              <w:rPr>
                <w:rFonts w:ascii="Cambria" w:hAnsi="Cambria" w:cs="Arial"/>
                <w:sz w:val="20"/>
                <w:szCs w:val="20"/>
              </w:rPr>
              <w:t xml:space="preserve"> a platné do</w:t>
            </w:r>
            <w:r w:rsidRPr="00C01B88">
              <w:rPr>
                <w:rFonts w:ascii="Cambria" w:hAnsi="Cambria" w:cs="Arial"/>
                <w:sz w:val="20"/>
                <w:szCs w:val="20"/>
              </w:rPr>
              <w:t xml:space="preserve"> 30.12.202</w:t>
            </w:r>
            <w:r>
              <w:rPr>
                <w:rFonts w:ascii="Cambria" w:hAnsi="Cambria" w:cs="Arial"/>
                <w:sz w:val="20"/>
                <w:szCs w:val="20"/>
              </w:rPr>
              <w:t>2 (</w:t>
            </w:r>
            <w:r w:rsidRPr="00CC5729">
              <w:rPr>
                <w:rFonts w:ascii="Cambria" w:hAnsi="Cambria" w:cs="Arial"/>
                <w:sz w:val="20"/>
                <w:szCs w:val="20"/>
              </w:rPr>
              <w:t>Valid until: December 30, 2022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1135" w:type="dxa"/>
            <w:vAlign w:val="center"/>
          </w:tcPr>
          <w:p w14:paraId="266EA641" w14:textId="7B044F8C" w:rsidR="00BA0599" w:rsidRPr="005A7129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A7129">
              <w:rPr>
                <w:rFonts w:ascii="Cambria" w:hAnsi="Cambria" w:cstheme="minorHAnsi"/>
                <w:sz w:val="20"/>
                <w:szCs w:val="20"/>
              </w:rPr>
              <w:t>---</w:t>
            </w:r>
          </w:p>
        </w:tc>
        <w:tc>
          <w:tcPr>
            <w:tcW w:w="1559" w:type="dxa"/>
            <w:vAlign w:val="center"/>
          </w:tcPr>
          <w:p w14:paraId="6F9F5AF6" w14:textId="6782F7F0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  <w:tc>
          <w:tcPr>
            <w:tcW w:w="1417" w:type="dxa"/>
            <w:vAlign w:val="center"/>
          </w:tcPr>
          <w:p w14:paraId="4F7172F2" w14:textId="77777777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</w:tr>
      <w:tr w:rsidR="00BA0599" w:rsidRPr="00C01B88" w14:paraId="355C4F8E" w14:textId="77777777" w:rsidTr="005A7129">
        <w:trPr>
          <w:trHeight w:val="259"/>
        </w:trPr>
        <w:tc>
          <w:tcPr>
            <w:tcW w:w="557" w:type="dxa"/>
            <w:shd w:val="clear" w:color="auto" w:fill="C0C0C0"/>
            <w:noWrap/>
            <w:vAlign w:val="center"/>
            <w:hideMark/>
          </w:tcPr>
          <w:p w14:paraId="77DBEE24" w14:textId="2F0594B5" w:rsidR="00BA0599" w:rsidRPr="00C01B88" w:rsidRDefault="00BA0599" w:rsidP="00B6697A">
            <w:pPr>
              <w:ind w:left="57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Cs/>
                <w:sz w:val="20"/>
                <w:szCs w:val="20"/>
              </w:rPr>
              <w:t>P</w:t>
            </w:r>
            <w:r>
              <w:rPr>
                <w:rFonts w:ascii="Cambria" w:hAnsi="Cambria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4961" w:type="dxa"/>
            <w:noWrap/>
            <w:vAlign w:val="center"/>
            <w:hideMark/>
          </w:tcPr>
          <w:p w14:paraId="4B4BD5E3" w14:textId="0ED48C40" w:rsidR="00BA0599" w:rsidRPr="00C01B88" w:rsidRDefault="00BA0599" w:rsidP="00B6697A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>Cena za konzultačné a implementačné služby</w:t>
            </w:r>
          </w:p>
          <w:p w14:paraId="37593437" w14:textId="00D2B8BB" w:rsidR="00BA0599" w:rsidRPr="00C01B88" w:rsidRDefault="00BA0599" w:rsidP="00B6697A">
            <w:pPr>
              <w:rPr>
                <w:rFonts w:ascii="Cambria" w:hAnsi="Cambria" w:cs="Arial"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>(25 človekodní za rok počas nasledujúcich 2 rokov)</w:t>
            </w:r>
          </w:p>
          <w:p w14:paraId="2F209F4D" w14:textId="40E0052E" w:rsidR="00BA0599" w:rsidRPr="00C01B88" w:rsidRDefault="00BA0599" w:rsidP="00B6697A">
            <w:pPr>
              <w:rPr>
                <w:rFonts w:ascii="Cambria" w:hAnsi="Cambria"/>
                <w:iCs/>
                <w:caps/>
                <w:sz w:val="20"/>
                <w:szCs w:val="20"/>
              </w:rPr>
            </w:pPr>
            <w:r w:rsidRPr="00C01B88">
              <w:rPr>
                <w:rFonts w:ascii="Cambria" w:hAnsi="Cambria" w:cs="Arial"/>
                <w:sz w:val="20"/>
                <w:szCs w:val="20"/>
              </w:rPr>
              <w:t>(</w:t>
            </w:r>
            <w:bookmarkStart w:id="0" w:name="_Hlk117514385"/>
            <w:r>
              <w:rPr>
                <w:rFonts w:ascii="Cambria" w:hAnsi="Cambria" w:cs="Arial"/>
                <w:sz w:val="20"/>
                <w:szCs w:val="20"/>
              </w:rPr>
              <w:t>osobo</w:t>
            </w:r>
            <w:r w:rsidRPr="00C01B88">
              <w:rPr>
                <w:rFonts w:ascii="Cambria" w:hAnsi="Cambria" w:cs="Arial"/>
                <w:sz w:val="20"/>
                <w:szCs w:val="20"/>
              </w:rPr>
              <w:t>deň znamená jedna (1) osoba a osem (8) hodín práce počas pracovnej doby (od 8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 w:rsidRPr="00C01B88">
              <w:rPr>
                <w:rFonts w:ascii="Cambria" w:hAnsi="Cambria" w:cs="Arial"/>
                <w:sz w:val="20"/>
                <w:szCs w:val="20"/>
              </w:rPr>
              <w:t>00 h do 16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 w:rsidRPr="00C01B88">
              <w:rPr>
                <w:rFonts w:ascii="Cambria" w:hAnsi="Cambria" w:cs="Arial"/>
                <w:sz w:val="20"/>
                <w:szCs w:val="20"/>
              </w:rPr>
              <w:t>00 h) počas pracovných dní, pričom sa počíta iba naplnených osem hodín)</w:t>
            </w:r>
            <w:bookmarkEnd w:id="0"/>
            <w:r w:rsidRPr="00C01B88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1135" w:type="dxa"/>
            <w:vAlign w:val="center"/>
          </w:tcPr>
          <w:p w14:paraId="007F6F1B" w14:textId="2885864A" w:rsidR="00BA0599" w:rsidRPr="005A7129" w:rsidRDefault="00BA0599" w:rsidP="005A7129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  <w:r w:rsidRPr="00C01B88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18C0A31" w14:textId="7DECCCF3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  <w:r w:rsidRPr="00C01B88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  <w:p w14:paraId="446FBCA3" w14:textId="6B7EE3C4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DA493F5" w14:textId="77777777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  <w:p w14:paraId="7DCCD034" w14:textId="33B2B276" w:rsidR="00BA0599" w:rsidRPr="00C01B88" w:rsidRDefault="00BA0599" w:rsidP="00B6697A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</w:p>
        </w:tc>
      </w:tr>
      <w:tr w:rsidR="005A7129" w:rsidRPr="00C01B88" w14:paraId="552737BA" w14:textId="77777777" w:rsidTr="00FC7224">
        <w:trPr>
          <w:trHeight w:val="259"/>
        </w:trPr>
        <w:tc>
          <w:tcPr>
            <w:tcW w:w="557" w:type="dxa"/>
            <w:shd w:val="clear" w:color="auto" w:fill="C0C0C0"/>
            <w:noWrap/>
            <w:vAlign w:val="center"/>
          </w:tcPr>
          <w:p w14:paraId="5EC188F1" w14:textId="77777777" w:rsidR="005A7129" w:rsidRPr="00C01B88" w:rsidRDefault="005A7129" w:rsidP="00D97D72">
            <w:pPr>
              <w:ind w:left="57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C01B88">
              <w:rPr>
                <w:rFonts w:ascii="Cambria" w:hAnsi="Cambria" w:cstheme="minorHAnsi"/>
                <w:bCs/>
                <w:sz w:val="20"/>
                <w:szCs w:val="20"/>
              </w:rPr>
              <w:t>CC</w:t>
            </w:r>
          </w:p>
        </w:tc>
        <w:tc>
          <w:tcPr>
            <w:tcW w:w="6096" w:type="dxa"/>
            <w:gridSpan w:val="2"/>
            <w:noWrap/>
            <w:vAlign w:val="center"/>
          </w:tcPr>
          <w:p w14:paraId="2E9B5ED3" w14:textId="77777777" w:rsidR="005A7129" w:rsidRDefault="005A7129" w:rsidP="00D97D72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01B8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Celková cena predmetu zákazky </w:t>
            </w:r>
            <w:r w:rsidRPr="005A7129">
              <w:rPr>
                <w:rFonts w:ascii="Cambria" w:hAnsi="Cambria" w:cs="Arial"/>
                <w:b/>
                <w:bCs/>
                <w:sz w:val="20"/>
                <w:szCs w:val="20"/>
              </w:rPr>
              <w:t>v eurách bez DPH</w:t>
            </w:r>
          </w:p>
          <w:p w14:paraId="3734C46F" w14:textId="19918F6F" w:rsidR="005A7129" w:rsidRPr="00C01B88" w:rsidRDefault="005A7129" w:rsidP="005A7129">
            <w:pPr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5A7129">
              <w:rPr>
                <w:rFonts w:ascii="Cambria" w:hAnsi="Cambria" w:cs="Arial"/>
                <w:sz w:val="20"/>
                <w:szCs w:val="20"/>
              </w:rPr>
              <w:t>Vypočítaná ako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súčet cien za položky P1 až P6 vynásobený počtom rokov (2)</w:t>
            </w:r>
          </w:p>
        </w:tc>
        <w:tc>
          <w:tcPr>
            <w:tcW w:w="1559" w:type="dxa"/>
            <w:vAlign w:val="center"/>
          </w:tcPr>
          <w:p w14:paraId="0AD38080" w14:textId="33D616C8" w:rsidR="005A7129" w:rsidRPr="00C01B88" w:rsidRDefault="005A7129" w:rsidP="00D97D72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  <w:tc>
          <w:tcPr>
            <w:tcW w:w="1417" w:type="dxa"/>
            <w:vAlign w:val="center"/>
          </w:tcPr>
          <w:p w14:paraId="6EF55769" w14:textId="77777777" w:rsidR="005A7129" w:rsidRPr="00C01B88" w:rsidRDefault="005A7129" w:rsidP="00D97D72">
            <w:pPr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01B88">
              <w:rPr>
                <w:rFonts w:ascii="Cambria" w:hAnsi="Cambria" w:cstheme="minorHAnsi"/>
                <w:sz w:val="20"/>
                <w:szCs w:val="20"/>
                <w:highlight w:val="yellow"/>
              </w:rPr>
              <w:t>vyplní uchádzač</w:t>
            </w:r>
          </w:p>
        </w:tc>
      </w:tr>
    </w:tbl>
    <w:p w14:paraId="61BE678C" w14:textId="77777777" w:rsidR="002168DF" w:rsidRDefault="00B6697A" w:rsidP="007B7C62">
      <w:pPr>
        <w:ind w:left="142" w:hanging="142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*</w:t>
      </w:r>
      <w:r w:rsidR="002168DF" w:rsidRPr="002168DF">
        <w:rPr>
          <w:rFonts w:ascii="Cambria" w:hAnsi="Cambria" w:cs="Arial"/>
          <w:bCs/>
          <w:sz w:val="20"/>
          <w:szCs w:val="20"/>
        </w:rPr>
        <w:t xml:space="preserve"> </w:t>
      </w:r>
      <w:r w:rsidR="002168DF" w:rsidRPr="005C2D53">
        <w:rPr>
          <w:rFonts w:ascii="Cambria" w:hAnsi="Cambria" w:cs="Arial"/>
          <w:bCs/>
          <w:sz w:val="20"/>
          <w:szCs w:val="20"/>
        </w:rPr>
        <w:t>Davis Data Units (DDU) je licenčná metrika pre rôzne externé dáta ingestované do Dynatrace, napr. Metriky alebo logy.</w:t>
      </w:r>
    </w:p>
    <w:p w14:paraId="36EF2AA6" w14:textId="377EE54E" w:rsidR="00833868" w:rsidRPr="007B7C62" w:rsidRDefault="002168DF" w:rsidP="007B7C62">
      <w:pPr>
        <w:ind w:left="142" w:hanging="142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**</w:t>
      </w:r>
      <w:r w:rsidR="00B6697A" w:rsidRPr="005C2D53">
        <w:rPr>
          <w:rFonts w:ascii="Cambria" w:hAnsi="Cambria" w:cs="Arial"/>
          <w:bCs/>
          <w:sz w:val="20"/>
          <w:szCs w:val="20"/>
        </w:rPr>
        <w:t xml:space="preserve">Digital Experience Monitoring (DEM) je licenčná metrika pre monitoring FrontEndových interakcií (web, </w:t>
      </w:r>
      <w:r w:rsidR="007B7C62">
        <w:rPr>
          <w:rFonts w:ascii="Cambria" w:hAnsi="Cambria" w:cs="Arial"/>
          <w:bCs/>
          <w:sz w:val="20"/>
          <w:szCs w:val="20"/>
        </w:rPr>
        <w:t xml:space="preserve">  </w:t>
      </w:r>
      <w:r w:rsidR="00B6697A" w:rsidRPr="005C2D53">
        <w:rPr>
          <w:rFonts w:ascii="Cambria" w:hAnsi="Cambria" w:cs="Arial"/>
          <w:bCs/>
          <w:sz w:val="20"/>
          <w:szCs w:val="20"/>
        </w:rPr>
        <w:t>mobil, prípadne syntetický monitoring alebo Session Replay) a čerpá sa podľa počtu user sessions.</w:t>
      </w:r>
      <w:r w:rsidR="00B6697A" w:rsidRPr="005C2D53">
        <w:rPr>
          <w:rFonts w:ascii="Cambria" w:hAnsi="Cambria" w:cs="Arial"/>
          <w:bCs/>
          <w:sz w:val="20"/>
          <w:szCs w:val="20"/>
        </w:rPr>
        <w:tab/>
      </w:r>
    </w:p>
    <w:p w14:paraId="0363FD11" w14:textId="77777777" w:rsidR="00F2189F" w:rsidRPr="00833868" w:rsidRDefault="00F2189F" w:rsidP="00833868">
      <w:pPr>
        <w:spacing w:line="276" w:lineRule="auto"/>
        <w:jc w:val="both"/>
        <w:rPr>
          <w:rFonts w:ascii="Cambria" w:hAnsi="Cambria" w:cs="Arial"/>
          <w:noProof w:val="0"/>
          <w:sz w:val="22"/>
          <w:szCs w:val="22"/>
        </w:rPr>
      </w:pPr>
    </w:p>
    <w:p w14:paraId="1F2EB651" w14:textId="0084F6BB" w:rsidR="00833868" w:rsidRPr="00833868" w:rsidRDefault="00833868" w:rsidP="00833868">
      <w:pPr>
        <w:pStyle w:val="Title"/>
        <w:spacing w:line="276" w:lineRule="auto"/>
        <w:jc w:val="both"/>
        <w:rPr>
          <w:rFonts w:ascii="Cambria" w:hAnsi="Cambria"/>
          <w:sz w:val="22"/>
          <w:szCs w:val="22"/>
        </w:rPr>
      </w:pPr>
      <w:r w:rsidRPr="00833868">
        <w:rPr>
          <w:rFonts w:ascii="Cambria" w:hAnsi="Cambria"/>
          <w:b/>
          <w:sz w:val="22"/>
          <w:szCs w:val="22"/>
          <w:lang w:val="de-AT"/>
        </w:rPr>
        <w:t xml:space="preserve">Nie </w:t>
      </w:r>
      <w:r w:rsidRPr="00833868">
        <w:rPr>
          <w:rFonts w:ascii="Cambria" w:hAnsi="Cambria"/>
          <w:b/>
          <w:sz w:val="22"/>
          <w:szCs w:val="22"/>
        </w:rPr>
        <w:t>som platcom DPH</w:t>
      </w:r>
      <w:r w:rsidRPr="00833868">
        <w:rPr>
          <w:rFonts w:ascii="Cambria" w:hAnsi="Cambria"/>
          <w:sz w:val="22"/>
          <w:szCs w:val="22"/>
        </w:rPr>
        <w:t xml:space="preserve"> – uvedie iba uchádzač, ktorý nie je platcom DPH!</w:t>
      </w:r>
    </w:p>
    <w:p w14:paraId="5E14FA38" w14:textId="77777777" w:rsidR="00833868" w:rsidRPr="00833868" w:rsidRDefault="00833868" w:rsidP="00833868">
      <w:pPr>
        <w:spacing w:line="276" w:lineRule="auto"/>
        <w:rPr>
          <w:rFonts w:ascii="Cambria" w:hAnsi="Cambria" w:cs="Arial"/>
          <w:b/>
          <w:noProof w:val="0"/>
          <w:sz w:val="22"/>
          <w:szCs w:val="22"/>
        </w:rPr>
      </w:pPr>
    </w:p>
    <w:p w14:paraId="65D02A68" w14:textId="57E2AF31" w:rsidR="00833868" w:rsidRDefault="00833868" w:rsidP="0083386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2E67D068" w14:textId="5FB2E4F2" w:rsidR="00F2189F" w:rsidRDefault="00F2189F" w:rsidP="0083386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6D05F679" w14:textId="77777777" w:rsidR="00F2189F" w:rsidRPr="00833868" w:rsidRDefault="00F2189F" w:rsidP="0083386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7DF7BF7B" w14:textId="77777777" w:rsidR="00833868" w:rsidRPr="00833868" w:rsidRDefault="00833868" w:rsidP="0083386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2479BA83" w14:textId="77777777" w:rsidR="00833868" w:rsidRPr="00833868" w:rsidRDefault="00833868" w:rsidP="00833868">
      <w:pPr>
        <w:keepNext/>
        <w:spacing w:line="276" w:lineRule="auto"/>
        <w:jc w:val="both"/>
        <w:outlineLvl w:val="8"/>
        <w:rPr>
          <w:rFonts w:ascii="Cambria" w:hAnsi="Cambria" w:cs="Arial"/>
          <w:bCs/>
          <w:sz w:val="22"/>
          <w:szCs w:val="22"/>
        </w:rPr>
      </w:pPr>
      <w:r w:rsidRPr="00833868">
        <w:rPr>
          <w:rFonts w:ascii="Cambria" w:hAnsi="Cambria" w:cs="Arial"/>
          <w:bCs/>
          <w:sz w:val="22"/>
          <w:szCs w:val="22"/>
        </w:rPr>
        <w:t>V ……………….…….., dňa ....................</w:t>
      </w:r>
      <w:r w:rsidRPr="00833868">
        <w:rPr>
          <w:rFonts w:ascii="Cambria" w:hAnsi="Cambria" w:cs="Arial"/>
          <w:bCs/>
          <w:sz w:val="22"/>
          <w:szCs w:val="22"/>
        </w:rPr>
        <w:tab/>
      </w:r>
      <w:r w:rsidRPr="00833868">
        <w:rPr>
          <w:rFonts w:ascii="Cambria" w:hAnsi="Cambria" w:cs="Arial"/>
          <w:b/>
          <w:bCs/>
          <w:sz w:val="22"/>
          <w:szCs w:val="22"/>
        </w:rPr>
        <w:tab/>
      </w:r>
      <w:r w:rsidRPr="00833868">
        <w:rPr>
          <w:rFonts w:ascii="Cambria" w:hAnsi="Cambria" w:cs="Arial"/>
          <w:b/>
          <w:bCs/>
          <w:sz w:val="22"/>
          <w:szCs w:val="22"/>
        </w:rPr>
        <w:tab/>
      </w:r>
      <w:r w:rsidRPr="00833868">
        <w:rPr>
          <w:rFonts w:ascii="Cambria" w:hAnsi="Cambria" w:cs="Arial"/>
          <w:bCs/>
          <w:sz w:val="22"/>
          <w:szCs w:val="22"/>
        </w:rPr>
        <w:t>………………………………..............................</w:t>
      </w:r>
    </w:p>
    <w:p w14:paraId="6CF4EB8F" w14:textId="77777777" w:rsidR="00833868" w:rsidRPr="00833868" w:rsidRDefault="00833868" w:rsidP="00833868">
      <w:pPr>
        <w:spacing w:line="276" w:lineRule="auto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sz w:val="22"/>
          <w:szCs w:val="22"/>
        </w:rPr>
        <w:sym w:font="Symbol" w:char="F05B"/>
      </w:r>
      <w:r w:rsidRPr="00833868">
        <w:rPr>
          <w:rFonts w:ascii="Cambria" w:hAnsi="Cambria" w:cs="Arial"/>
          <w:sz w:val="22"/>
          <w:szCs w:val="22"/>
        </w:rPr>
        <w:t>uviesť miesto a dátum podpisu</w:t>
      </w:r>
      <w:r w:rsidRPr="00833868">
        <w:rPr>
          <w:rFonts w:ascii="Cambria" w:hAnsi="Cambria" w:cs="Arial"/>
          <w:sz w:val="22"/>
          <w:szCs w:val="22"/>
        </w:rPr>
        <w:sym w:font="Symbol" w:char="F05D"/>
      </w:r>
      <w:r w:rsidRPr="00833868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</w:rPr>
        <w:tab/>
      </w:r>
      <w:r w:rsidRPr="00833868">
        <w:rPr>
          <w:rFonts w:ascii="Cambria" w:hAnsi="Cambria" w:cs="Arial"/>
          <w:sz w:val="22"/>
          <w:szCs w:val="22"/>
        </w:rPr>
        <w:sym w:font="Symbol" w:char="F05B"/>
      </w:r>
      <w:r w:rsidRPr="00833868">
        <w:rPr>
          <w:rFonts w:ascii="Cambria" w:hAnsi="Cambria" w:cs="Arial"/>
          <w:sz w:val="22"/>
          <w:szCs w:val="22"/>
        </w:rPr>
        <w:t>vypísať meno, priezvisko a funkciu</w:t>
      </w:r>
    </w:p>
    <w:p w14:paraId="0AFDC117" w14:textId="77777777" w:rsidR="00833868" w:rsidRPr="00833868" w:rsidRDefault="00833868" w:rsidP="00833868">
      <w:pPr>
        <w:spacing w:line="276" w:lineRule="auto"/>
        <w:ind w:left="4955" w:firstLine="1"/>
        <w:rPr>
          <w:rFonts w:ascii="Cambria" w:hAnsi="Cambria" w:cs="Arial"/>
          <w:sz w:val="22"/>
          <w:szCs w:val="22"/>
        </w:rPr>
      </w:pPr>
      <w:r w:rsidRPr="00833868">
        <w:rPr>
          <w:rFonts w:ascii="Cambria" w:hAnsi="Cambria" w:cs="Arial"/>
          <w:sz w:val="22"/>
          <w:szCs w:val="22"/>
        </w:rPr>
        <w:t>oprávnenej osoby uchádzača</w:t>
      </w:r>
      <w:r w:rsidRPr="00833868">
        <w:rPr>
          <w:rFonts w:ascii="Cambria" w:hAnsi="Cambria" w:cs="Arial"/>
          <w:sz w:val="22"/>
          <w:szCs w:val="22"/>
        </w:rPr>
        <w:sym w:font="Symbol" w:char="F05D"/>
      </w:r>
    </w:p>
    <w:p w14:paraId="43E557D0" w14:textId="77777777" w:rsidR="00833868" w:rsidRPr="00833868" w:rsidRDefault="00833868" w:rsidP="00833868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="Cambria" w:hAnsi="Cambria" w:cs="Arial"/>
          <w:i/>
          <w:sz w:val="22"/>
          <w:szCs w:val="22"/>
        </w:rPr>
      </w:pPr>
    </w:p>
    <w:p w14:paraId="506692D7" w14:textId="77777777" w:rsidR="00833868" w:rsidRPr="00833868" w:rsidRDefault="00833868" w:rsidP="00833868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="Cambria" w:hAnsi="Cambria" w:cs="Arial"/>
          <w:i/>
          <w:sz w:val="22"/>
          <w:szCs w:val="22"/>
        </w:rPr>
      </w:pPr>
    </w:p>
    <w:p w14:paraId="0A1C1880" w14:textId="77777777" w:rsidR="00833868" w:rsidRPr="00833868" w:rsidRDefault="00833868" w:rsidP="00833868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="Cambria" w:hAnsi="Cambria" w:cs="Arial"/>
          <w:i/>
          <w:sz w:val="22"/>
          <w:szCs w:val="22"/>
        </w:rPr>
      </w:pPr>
    </w:p>
    <w:p w14:paraId="72E4AA88" w14:textId="77777777" w:rsidR="00833868" w:rsidRPr="000E6AB5" w:rsidRDefault="00833868" w:rsidP="00833868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20"/>
          <w:szCs w:val="20"/>
        </w:rPr>
      </w:pPr>
    </w:p>
    <w:p w14:paraId="41922BFA" w14:textId="77777777" w:rsidR="00833868" w:rsidRPr="000E6AB5" w:rsidRDefault="00833868" w:rsidP="00833868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Theme="majorHAnsi" w:hAnsiTheme="majorHAnsi" w:cs="Arial"/>
          <w:i/>
          <w:sz w:val="20"/>
          <w:szCs w:val="20"/>
        </w:rPr>
      </w:pPr>
    </w:p>
    <w:p w14:paraId="1FADEB2A" w14:textId="77777777" w:rsidR="00833868" w:rsidRPr="00833868" w:rsidRDefault="00833868" w:rsidP="00833868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="Cambria" w:hAnsi="Cambria" w:cs="Arial"/>
          <w:i/>
          <w:sz w:val="20"/>
          <w:szCs w:val="20"/>
        </w:rPr>
      </w:pPr>
    </w:p>
    <w:p w14:paraId="6E237FD3" w14:textId="77777777" w:rsidR="00833868" w:rsidRPr="00833868" w:rsidRDefault="00833868" w:rsidP="00833868">
      <w:pPr>
        <w:tabs>
          <w:tab w:val="right" w:pos="8364"/>
        </w:tabs>
        <w:autoSpaceDE w:val="0"/>
        <w:autoSpaceDN w:val="0"/>
        <w:adjustRightInd w:val="0"/>
        <w:spacing w:line="276" w:lineRule="auto"/>
        <w:ind w:right="720"/>
        <w:jc w:val="both"/>
        <w:rPr>
          <w:rFonts w:ascii="Cambria" w:hAnsi="Cambria" w:cs="Arial"/>
          <w:i/>
          <w:sz w:val="20"/>
          <w:szCs w:val="20"/>
        </w:rPr>
      </w:pPr>
      <w:r w:rsidRPr="00833868">
        <w:rPr>
          <w:rFonts w:ascii="Cambria" w:hAnsi="Cambria" w:cs="Arial"/>
          <w:i/>
          <w:sz w:val="20"/>
          <w:szCs w:val="20"/>
        </w:rPr>
        <w:t>Poznámka:</w:t>
      </w:r>
    </w:p>
    <w:p w14:paraId="62EBAC20" w14:textId="77777777" w:rsidR="00833868" w:rsidRPr="00833868" w:rsidRDefault="00833868" w:rsidP="00833868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0"/>
        <w:ind w:left="567" w:hanging="567"/>
        <w:jc w:val="both"/>
        <w:rPr>
          <w:rFonts w:ascii="Cambria" w:hAnsi="Cambria" w:cs="Arial"/>
          <w:i/>
          <w:sz w:val="20"/>
          <w:szCs w:val="20"/>
        </w:rPr>
      </w:pPr>
      <w:r w:rsidRPr="00833868">
        <w:rPr>
          <w:rFonts w:ascii="Cambria" w:hAnsi="Cambria" w:cs="Arial"/>
          <w:i/>
          <w:sz w:val="20"/>
          <w:szCs w:val="20"/>
        </w:rPr>
        <w:t>dátum musí byť aktuálny vo vzťahu ku dňu uplynutia lehoty na predkladanie ponúk,</w:t>
      </w:r>
    </w:p>
    <w:p w14:paraId="063725D0" w14:textId="77777777" w:rsidR="00833868" w:rsidRPr="00833868" w:rsidRDefault="00833868" w:rsidP="00833868">
      <w:pPr>
        <w:pStyle w:val="ListParagraph"/>
        <w:numPr>
          <w:ilvl w:val="1"/>
          <w:numId w:val="1"/>
        </w:numPr>
        <w:tabs>
          <w:tab w:val="clear" w:pos="1440"/>
          <w:tab w:val="num" w:pos="567"/>
        </w:tabs>
        <w:spacing w:after="0"/>
        <w:ind w:left="567" w:hanging="567"/>
        <w:jc w:val="both"/>
        <w:rPr>
          <w:rFonts w:ascii="Cambria" w:hAnsi="Cambria" w:cs="Arial"/>
          <w:i/>
          <w:sz w:val="20"/>
          <w:szCs w:val="20"/>
        </w:rPr>
      </w:pPr>
      <w:r w:rsidRPr="00833868">
        <w:rPr>
          <w:rFonts w:ascii="Cambria" w:eastAsia="SimSun" w:hAnsi="Cambria" w:cs="Arial"/>
          <w:i/>
          <w:snapToGrid w:val="0"/>
          <w:sz w:val="20"/>
          <w:szCs w:val="20"/>
        </w:rPr>
        <w:t>podpis uchádzača alebo osoby oprávnenej konať za uchádzača</w:t>
      </w:r>
    </w:p>
    <w:p w14:paraId="26142373" w14:textId="77777777" w:rsidR="00833868" w:rsidRPr="00833868" w:rsidRDefault="00833868" w:rsidP="00833868">
      <w:pPr>
        <w:spacing w:line="276" w:lineRule="auto"/>
        <w:rPr>
          <w:rFonts w:ascii="Cambria" w:eastAsia="SimSun" w:hAnsi="Cambria" w:cs="Arial"/>
          <w:i/>
          <w:snapToGrid w:val="0"/>
          <w:sz w:val="20"/>
          <w:szCs w:val="20"/>
        </w:rPr>
      </w:pPr>
      <w:r w:rsidRPr="00833868">
        <w:rPr>
          <w:rFonts w:ascii="Cambria" w:eastAsia="SimSun" w:hAnsi="Cambria" w:cs="Arial"/>
          <w:i/>
          <w:snapToGrid w:val="0"/>
          <w:sz w:val="20"/>
          <w:szCs w:val="20"/>
        </w:rPr>
        <w:t xml:space="preserve">(v prípade skupiny dodávateľov </w:t>
      </w:r>
      <w:r w:rsidRPr="00833868">
        <w:rPr>
          <w:rFonts w:ascii="Cambria" w:eastAsia="SimSun" w:hAnsi="Cambria" w:cs="Arial"/>
          <w:i/>
          <w:snapToGrid w:val="0"/>
          <w:sz w:val="20"/>
          <w:szCs w:val="20"/>
          <w:u w:val="single"/>
        </w:rPr>
        <w:t>podpis každého člena skupiny</w:t>
      </w:r>
      <w:r w:rsidRPr="00833868">
        <w:rPr>
          <w:rFonts w:ascii="Cambria" w:eastAsia="SimSun" w:hAnsi="Cambria" w:cs="Arial"/>
          <w:i/>
          <w:snapToGrid w:val="0"/>
          <w:sz w:val="20"/>
          <w:szCs w:val="20"/>
        </w:rPr>
        <w:t xml:space="preserve"> dodávateľov alebo osoby oprávnenej konať za každého člena skupiny dodávateľov)</w:t>
      </w:r>
    </w:p>
    <w:p w14:paraId="24795B2E" w14:textId="77777777" w:rsidR="00FF04B5" w:rsidRPr="00833868" w:rsidRDefault="00FF04B5" w:rsidP="00B42F36">
      <w:pPr>
        <w:rPr>
          <w:rFonts w:ascii="Cambria" w:hAnsi="Cambria"/>
          <w:sz w:val="20"/>
          <w:szCs w:val="20"/>
        </w:rPr>
      </w:pPr>
    </w:p>
    <w:sectPr w:rsidR="00FF04B5" w:rsidRPr="008338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649A3" w14:textId="77777777" w:rsidR="00053BD2" w:rsidRDefault="00053BD2" w:rsidP="0009480D">
      <w:r>
        <w:separator/>
      </w:r>
    </w:p>
  </w:endnote>
  <w:endnote w:type="continuationSeparator" w:id="0">
    <w:p w14:paraId="557B0195" w14:textId="77777777" w:rsidR="00053BD2" w:rsidRDefault="00053BD2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181" w14:textId="77777777" w:rsidR="00810996" w:rsidRDefault="008109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64E9" w14:textId="77777777" w:rsidR="0009480D" w:rsidRDefault="0009480D" w:rsidP="0009480D">
    <w:pPr>
      <w:pStyle w:val="Patic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E01D8" w14:textId="77777777" w:rsidR="00810996" w:rsidRDefault="008109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ED1E" w14:textId="77777777" w:rsidR="00053BD2" w:rsidRDefault="00053BD2" w:rsidP="0009480D">
      <w:r>
        <w:separator/>
      </w:r>
    </w:p>
  </w:footnote>
  <w:footnote w:type="continuationSeparator" w:id="0">
    <w:p w14:paraId="5838BD3B" w14:textId="77777777" w:rsidR="00053BD2" w:rsidRDefault="00053BD2" w:rsidP="00094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B2BF" w14:textId="77777777" w:rsidR="00810996" w:rsidRDefault="008109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230A" w14:textId="77777777" w:rsidR="00810996" w:rsidRDefault="008109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96FE" w14:textId="77777777" w:rsidR="00810996" w:rsidRDefault="008109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86F5B"/>
    <w:multiLevelType w:val="hybridMultilevel"/>
    <w:tmpl w:val="B07065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B4C77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68"/>
    <w:rsid w:val="00053BD2"/>
    <w:rsid w:val="0009480D"/>
    <w:rsid w:val="000A5BD4"/>
    <w:rsid w:val="00120C3D"/>
    <w:rsid w:val="00130860"/>
    <w:rsid w:val="00151712"/>
    <w:rsid w:val="001663B6"/>
    <w:rsid w:val="001A694C"/>
    <w:rsid w:val="001D01FE"/>
    <w:rsid w:val="001D5F9F"/>
    <w:rsid w:val="00215E53"/>
    <w:rsid w:val="002168DF"/>
    <w:rsid w:val="00225679"/>
    <w:rsid w:val="002B4CD0"/>
    <w:rsid w:val="00342BB6"/>
    <w:rsid w:val="0036341E"/>
    <w:rsid w:val="003636B5"/>
    <w:rsid w:val="00392F01"/>
    <w:rsid w:val="003C0307"/>
    <w:rsid w:val="003D08B2"/>
    <w:rsid w:val="004100B0"/>
    <w:rsid w:val="00445B18"/>
    <w:rsid w:val="00484D9D"/>
    <w:rsid w:val="004C469B"/>
    <w:rsid w:val="004D7E2D"/>
    <w:rsid w:val="005063A2"/>
    <w:rsid w:val="00527E58"/>
    <w:rsid w:val="005316F2"/>
    <w:rsid w:val="00564381"/>
    <w:rsid w:val="005939CC"/>
    <w:rsid w:val="005A1CD3"/>
    <w:rsid w:val="005A7129"/>
    <w:rsid w:val="00636741"/>
    <w:rsid w:val="006470E3"/>
    <w:rsid w:val="006B683E"/>
    <w:rsid w:val="00745C09"/>
    <w:rsid w:val="00754FF2"/>
    <w:rsid w:val="00782367"/>
    <w:rsid w:val="00787300"/>
    <w:rsid w:val="007A2E31"/>
    <w:rsid w:val="007B7C62"/>
    <w:rsid w:val="00806377"/>
    <w:rsid w:val="00810996"/>
    <w:rsid w:val="00833868"/>
    <w:rsid w:val="008D5444"/>
    <w:rsid w:val="00914B8B"/>
    <w:rsid w:val="00931765"/>
    <w:rsid w:val="00971156"/>
    <w:rsid w:val="009841D6"/>
    <w:rsid w:val="009A6FA0"/>
    <w:rsid w:val="00A42D73"/>
    <w:rsid w:val="00A60A15"/>
    <w:rsid w:val="00A719D6"/>
    <w:rsid w:val="00B31C02"/>
    <w:rsid w:val="00B42F36"/>
    <w:rsid w:val="00B6697A"/>
    <w:rsid w:val="00B674BC"/>
    <w:rsid w:val="00BA0599"/>
    <w:rsid w:val="00BA2B13"/>
    <w:rsid w:val="00BA4BE5"/>
    <w:rsid w:val="00BE1EE6"/>
    <w:rsid w:val="00BF2120"/>
    <w:rsid w:val="00C0062B"/>
    <w:rsid w:val="00C01B88"/>
    <w:rsid w:val="00C35E8A"/>
    <w:rsid w:val="00C55397"/>
    <w:rsid w:val="00C57137"/>
    <w:rsid w:val="00CB7C08"/>
    <w:rsid w:val="00CC514C"/>
    <w:rsid w:val="00CC5729"/>
    <w:rsid w:val="00D26317"/>
    <w:rsid w:val="00D97D72"/>
    <w:rsid w:val="00DA2E8B"/>
    <w:rsid w:val="00DC19D0"/>
    <w:rsid w:val="00DC1E23"/>
    <w:rsid w:val="00DE7493"/>
    <w:rsid w:val="00EF4C1A"/>
    <w:rsid w:val="00F17CC0"/>
    <w:rsid w:val="00F2189F"/>
    <w:rsid w:val="00F91350"/>
    <w:rsid w:val="00FD6548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ECB5E"/>
  <w15:chartTrackingRefBased/>
  <w15:docId w15:val="{683723FF-08F4-4667-B121-D8A332C8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86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character" w:styleId="PageNumber">
    <w:name w:val="page number"/>
    <w:basedOn w:val="DefaultParagraphFont"/>
    <w:rsid w:val="00833868"/>
    <w:rPr>
      <w:rFonts w:cs="Times New Roman"/>
    </w:rPr>
  </w:style>
  <w:style w:type="paragraph" w:styleId="Title">
    <w:name w:val="Title"/>
    <w:basedOn w:val="Normal"/>
    <w:link w:val="TitleChar"/>
    <w:qFormat/>
    <w:rsid w:val="00833868"/>
    <w:pPr>
      <w:jc w:val="center"/>
    </w:pPr>
    <w:rPr>
      <w:rFonts w:ascii="Arial" w:hAnsi="Arial" w:cs="Arial"/>
      <w:noProof w:val="0"/>
    </w:rPr>
  </w:style>
  <w:style w:type="character" w:customStyle="1" w:styleId="TitleChar">
    <w:name w:val="Title Char"/>
    <w:basedOn w:val="DefaultParagraphFont"/>
    <w:link w:val="Title"/>
    <w:rsid w:val="00833868"/>
    <w:rPr>
      <w:rFonts w:ascii="Arial" w:eastAsia="Times New Roman" w:hAnsi="Arial" w:cs="Arial"/>
      <w:sz w:val="24"/>
      <w:szCs w:val="24"/>
      <w:lang w:eastAsia="sk-SK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833868"/>
    <w:pPr>
      <w:spacing w:after="200" w:line="276" w:lineRule="auto"/>
      <w:ind w:left="720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833868"/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8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868"/>
    <w:rPr>
      <w:rFonts w:ascii="Segoe UI" w:eastAsia="Times New Roman" w:hAnsi="Segoe UI" w:cs="Segoe UI"/>
      <w:noProof/>
      <w:sz w:val="18"/>
      <w:szCs w:val="18"/>
      <w:lang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669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9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97A"/>
    <w:rPr>
      <w:rFonts w:ascii="Times New Roman" w:eastAsia="Times New Roman" w:hAnsi="Times New Roman" w:cs="Times New Roman"/>
      <w:noProof/>
      <w:lang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9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97A"/>
    <w:rPr>
      <w:rFonts w:ascii="Times New Roman" w:eastAsia="Times New Roman" w:hAnsi="Times New Roman" w:cs="Times New Roman"/>
      <w:b/>
      <w:bCs/>
      <w:noProof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Milan</dc:creator>
  <cp:keywords/>
  <dc:description/>
  <cp:lastModifiedBy>Kučera Milan</cp:lastModifiedBy>
  <cp:revision>4</cp:revision>
  <dcterms:created xsi:type="dcterms:W3CDTF">2022-10-24T12:17:00Z</dcterms:created>
  <dcterms:modified xsi:type="dcterms:W3CDTF">2022-10-24T13:29:00Z</dcterms:modified>
</cp:coreProperties>
</file>