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2E486F1D" w:rsidR="00603DB1" w:rsidRPr="001E64FA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E64FA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E64FA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B049D0" w:rsidRPr="001E64FA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E64FA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246591" w:rsidRPr="001E64FA">
        <w:rPr>
          <w:rFonts w:ascii="Cambria" w:hAnsi="Cambria"/>
          <w:b/>
          <w:bCs/>
          <w:i/>
          <w:iCs/>
          <w:sz w:val="20"/>
          <w:szCs w:val="20"/>
        </w:rPr>
        <w:t>C-NBS1-000-077-098</w:t>
      </w:r>
    </w:p>
    <w:p w14:paraId="651DB204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E64FA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E64FA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E64FA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E64FA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E64FA">
        <w:rPr>
          <w:rFonts w:ascii="Cambria" w:hAnsi="Cambria"/>
          <w:bCs/>
        </w:rPr>
        <w:t>Špecifikácia ceny</w:t>
      </w:r>
    </w:p>
    <w:p w14:paraId="281AF72D" w14:textId="77777777" w:rsidR="00545B07" w:rsidRPr="001E64FA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E64FA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E64FA">
        <w:rPr>
          <w:rFonts w:ascii="Cambria" w:hAnsi="Cambria"/>
          <w:bCs/>
        </w:rPr>
        <w:br w:type="page"/>
      </w:r>
    </w:p>
    <w:p w14:paraId="39896D11" w14:textId="2534E91F" w:rsidR="009F33C8" w:rsidRPr="001E64FA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E64FA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E64FA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E64FA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E64FA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E64FA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E64FA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E64FA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E64FA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E64FA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E64FA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E64FA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E64FA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E64FA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E64FA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E64FA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E64FA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E64FA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E64FA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1E64FA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E64FA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E64FA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1E64FA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E64FA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1E64FA" w14:paraId="2A423911" w14:textId="77777777" w:rsidTr="00AE0368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E64FA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E64FA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E64FA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E64FA" w14:paraId="50508BF9" w14:textId="77777777" w:rsidTr="00AE0368">
        <w:trPr>
          <w:trHeight w:val="315"/>
        </w:trPr>
        <w:tc>
          <w:tcPr>
            <w:tcW w:w="972" w:type="dxa"/>
            <w:gridSpan w:val="2"/>
            <w:vMerge/>
            <w:tcBorders>
              <w:left w:val="single" w:sz="24" w:space="0" w:color="auto"/>
            </w:tcBorders>
            <w:noWrap/>
            <w:vAlign w:val="center"/>
          </w:tcPr>
          <w:p w14:paraId="46531ADD" w14:textId="50484C20" w:rsidR="00DD3143" w:rsidRPr="001E64FA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E64FA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6" w:type="dxa"/>
            <w:vMerge/>
            <w:tcBorders>
              <w:right w:val="single" w:sz="24" w:space="0" w:color="auto"/>
            </w:tcBorders>
            <w:vAlign w:val="center"/>
          </w:tcPr>
          <w:p w14:paraId="499410AD" w14:textId="7183B988" w:rsidR="00DD3143" w:rsidRPr="001E64FA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E64FA" w14:paraId="78B4D151" w14:textId="77777777" w:rsidTr="00AE0368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24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E64FA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1E64FA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1E64FA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9D7D936" w14:textId="56F3FA38" w:rsidR="00260D02" w:rsidRPr="001E64FA" w:rsidRDefault="05675489" w:rsidP="7EC9EA4E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  <w:tr w:rsidR="0096382B" w:rsidRPr="001E64FA" w14:paraId="694B41D6" w14:textId="77777777" w:rsidTr="00AE0368">
        <w:trPr>
          <w:trHeight w:val="495"/>
        </w:trPr>
        <w:tc>
          <w:tcPr>
            <w:tcW w:w="721" w:type="dxa"/>
            <w:tcBorders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E64FA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24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E64FA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24" w:space="0" w:color="auto"/>
            </w:tcBorders>
            <w:vAlign w:val="center"/>
          </w:tcPr>
          <w:p w14:paraId="18E7D69F" w14:textId="68D77B6C" w:rsidR="00260D02" w:rsidRPr="001E64FA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F96958" w14:textId="64209B2E" w:rsidR="00260D02" w:rsidRPr="001E64FA" w:rsidRDefault="05675489" w:rsidP="7EC9EA4E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1E64FA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1E64FA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E64FA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1E64FA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1E64FA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1E64FA" w14:paraId="02397077" w14:textId="77777777" w:rsidTr="00AE0368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1E64FA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1E64FA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1E64FA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1E64FA" w14:paraId="0B7AFAB3" w14:textId="77777777" w:rsidTr="00AE0368">
        <w:trPr>
          <w:trHeight w:val="315"/>
        </w:trPr>
        <w:tc>
          <w:tcPr>
            <w:tcW w:w="972" w:type="dxa"/>
            <w:gridSpan w:val="2"/>
            <w:vMerge/>
            <w:tcBorders>
              <w:left w:val="single" w:sz="24" w:space="0" w:color="auto"/>
            </w:tcBorders>
            <w:noWrap/>
            <w:vAlign w:val="center"/>
          </w:tcPr>
          <w:p w14:paraId="709C3FD2" w14:textId="77777777" w:rsidR="00A42853" w:rsidRPr="001E64FA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1E64FA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right w:val="single" w:sz="24" w:space="0" w:color="auto"/>
            </w:tcBorders>
            <w:vAlign w:val="center"/>
          </w:tcPr>
          <w:p w14:paraId="5A87169A" w14:textId="77777777" w:rsidR="00A42853" w:rsidRPr="001E64FA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1E64FA" w14:paraId="566BDC9E" w14:textId="77777777" w:rsidTr="00AE0368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24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86DE2C7" w:rsidR="00A42853" w:rsidRPr="001E64FA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1E64FA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1E64FA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134173A" w14:textId="77777777" w:rsidR="00A42853" w:rsidRPr="001E64FA" w:rsidRDefault="7432E5AC" w:rsidP="7EC9EA4E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  <w:tr w:rsidR="0096382B" w:rsidRPr="001E64FA" w14:paraId="7B5E9DA2" w14:textId="77777777" w:rsidTr="00AE0368">
        <w:trPr>
          <w:trHeight w:val="495"/>
        </w:trPr>
        <w:tc>
          <w:tcPr>
            <w:tcW w:w="721" w:type="dxa"/>
            <w:tcBorders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1AA1B799" w:rsidR="00A42853" w:rsidRPr="001E64FA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51" w:type="dxa"/>
            <w:tcBorders>
              <w:left w:val="nil"/>
              <w:bottom w:val="single" w:sz="24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1E64FA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24" w:space="0" w:color="auto"/>
            </w:tcBorders>
            <w:vAlign w:val="center"/>
          </w:tcPr>
          <w:p w14:paraId="23FAE803" w14:textId="77777777" w:rsidR="00A42853" w:rsidRPr="001E64FA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A38628" w14:textId="77777777" w:rsidR="00A42853" w:rsidRPr="001E64FA" w:rsidRDefault="7432E5AC" w:rsidP="7EC9EA4E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</w:tbl>
    <w:p w14:paraId="0A6017F2" w14:textId="5EE0F945" w:rsidR="00A42853" w:rsidRPr="001E64FA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77C7BE2E" w14:textId="77777777" w:rsidR="00D920EF" w:rsidRPr="001E64FA" w:rsidRDefault="00D920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12CF872C" w:rsidR="009F33C8" w:rsidRPr="001E64FA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1E64FA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1E64FA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1E64FA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09C84873" w:rsidR="009F33C8" w:rsidRPr="001E64FA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E64FA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100496" w:rsidRPr="001E64FA">
        <w:rPr>
          <w:rFonts w:ascii="Cambria" w:hAnsi="Cambria"/>
          <w:b/>
          <w:bCs/>
          <w:sz w:val="20"/>
          <w:szCs w:val="20"/>
          <w:lang w:val="sk-SK"/>
        </w:rPr>
        <w:t>u</w:t>
      </w:r>
      <w:r w:rsidR="005056AD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E64FA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E64FA">
        <w:rPr>
          <w:rFonts w:ascii="Cambria" w:hAnsi="Cambria"/>
          <w:b/>
          <w:bCs/>
          <w:sz w:val="20"/>
          <w:szCs w:val="20"/>
          <w:lang w:val="sk-SK"/>
        </w:rPr>
        <w:t>ácia</w:t>
      </w:r>
    </w:p>
    <w:p w14:paraId="4D7172D7" w14:textId="20AA9E78" w:rsidR="009F33C8" w:rsidRPr="001E64FA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E64FA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E64FA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100496" w:rsidRPr="001E64FA">
        <w:rPr>
          <w:rFonts w:ascii="Cambria" w:hAnsi="Cambria"/>
          <w:color w:val="000000"/>
          <w:sz w:val="20"/>
          <w:szCs w:val="20"/>
          <w:lang w:val="sk-SK"/>
        </w:rPr>
        <w:t>u</w:t>
      </w:r>
      <w:r w:rsidR="00966704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45DEA" w:rsidRPr="001E64FA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E64FA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E64FA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E64FA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E64FA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1E64FA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E64FA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E64FA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E64FA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E64FA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19B95BAC" w14:textId="77777777" w:rsidR="00BC522E" w:rsidRPr="001E64FA" w:rsidRDefault="00BC522E" w:rsidP="00B97575">
      <w:pPr>
        <w:spacing w:after="120"/>
        <w:rPr>
          <w:rFonts w:ascii="Cambria" w:hAnsi="Cambria" w:cs="Arial"/>
          <w:b/>
          <w:sz w:val="20"/>
          <w:szCs w:val="20"/>
          <w:lang w:val="sk-SK"/>
        </w:rPr>
      </w:pPr>
    </w:p>
    <w:p w14:paraId="5945DC55" w14:textId="2646D1B3" w:rsidR="00BC522E" w:rsidRPr="001E64FA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E64FA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E64FA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1E64FA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E64FA">
        <w:rPr>
          <w:rFonts w:ascii="Cambria" w:hAnsi="Cambria"/>
          <w:b/>
          <w:bCs/>
          <w:sz w:val="20"/>
          <w:szCs w:val="20"/>
          <w:lang w:val="sk-SK"/>
        </w:rPr>
        <w:t>služby</w:t>
      </w:r>
      <w:r w:rsidR="00100496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46618" w:rsidRPr="001E64FA">
        <w:rPr>
          <w:rFonts w:ascii="Cambria" w:hAnsi="Cambria"/>
          <w:b/>
          <w:bCs/>
          <w:sz w:val="20"/>
          <w:szCs w:val="20"/>
          <w:lang w:val="sk-SK"/>
        </w:rPr>
        <w:t xml:space="preserve"> Implementácia</w:t>
      </w:r>
    </w:p>
    <w:tbl>
      <w:tblPr>
        <w:tblpPr w:leftFromText="141" w:rightFromText="141" w:vertAnchor="text" w:tblpY="126"/>
        <w:tblW w:w="508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329"/>
        <w:gridCol w:w="2998"/>
        <w:gridCol w:w="4227"/>
        <w:gridCol w:w="1551"/>
      </w:tblGrid>
      <w:tr w:rsidR="0097143E" w:rsidRPr="001E64FA" w14:paraId="077D7A19" w14:textId="77777777" w:rsidTr="00AE0368">
        <w:trPr>
          <w:trHeight w:val="298"/>
        </w:trPr>
        <w:tc>
          <w:tcPr>
            <w:tcW w:w="497" w:type="pct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E64FA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707" w:type="pct"/>
            <w:gridSpan w:val="2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E64FA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797" w:type="pct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1E64FA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1E64FA" w14:paraId="3BDF0515" w14:textId="77777777" w:rsidTr="00AE0368">
        <w:trPr>
          <w:trHeight w:val="260"/>
        </w:trPr>
        <w:tc>
          <w:tcPr>
            <w:tcW w:w="497" w:type="pct"/>
            <w:gridSpan w:val="2"/>
            <w:vMerge/>
            <w:tcBorders>
              <w:left w:val="single" w:sz="24" w:space="0" w:color="auto"/>
            </w:tcBorders>
            <w:noWrap/>
            <w:vAlign w:val="center"/>
          </w:tcPr>
          <w:p w14:paraId="73C1D770" w14:textId="77777777" w:rsidR="0097143E" w:rsidRPr="001E64FA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3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E64FA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16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51672C6A" w:rsidR="0097143E" w:rsidRPr="001E64FA" w:rsidRDefault="005E2781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>P</w:t>
            </w:r>
            <w:r w:rsidR="3653A462" w:rsidRPr="001E64FA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 xml:space="preserve">očet </w:t>
            </w:r>
            <w:r w:rsidR="40AED6CD" w:rsidRPr="001E64FA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 xml:space="preserve"> </w:t>
            </w:r>
            <w:r w:rsidR="3653A462" w:rsidRPr="001E64FA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 xml:space="preserve">osobohodín počas doby </w:t>
            </w:r>
            <w:r w:rsidR="354017BA" w:rsidRPr="001E64FA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797" w:type="pct"/>
            <w:vMerge/>
            <w:tcBorders>
              <w:right w:val="single" w:sz="24" w:space="0" w:color="auto"/>
            </w:tcBorders>
            <w:vAlign w:val="center"/>
          </w:tcPr>
          <w:p w14:paraId="6F877D4E" w14:textId="77777777" w:rsidR="0097143E" w:rsidRPr="001E64FA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1E64FA" w14:paraId="5C52E2C6" w14:textId="77777777" w:rsidTr="00AE0368">
        <w:trPr>
          <w:trHeight w:val="495"/>
        </w:trPr>
        <w:tc>
          <w:tcPr>
            <w:tcW w:w="328" w:type="pc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1E64FA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top w:val="single" w:sz="18" w:space="0" w:color="auto"/>
              <w:left w:val="nil"/>
              <w:bottom w:val="single" w:sz="24" w:space="0" w:color="auto"/>
            </w:tcBorders>
            <w:shd w:val="clear" w:color="auto" w:fill="auto"/>
            <w:noWrap/>
            <w:vAlign w:val="center"/>
          </w:tcPr>
          <w:p w14:paraId="34BF4FD1" w14:textId="77777777" w:rsidR="0097143E" w:rsidRPr="001E64FA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1538" w:type="pct"/>
            <w:tcBorders>
              <w:top w:val="single" w:sz="18" w:space="0" w:color="auto"/>
              <w:bottom w:val="single" w:sz="24" w:space="0" w:color="auto"/>
            </w:tcBorders>
            <w:noWrap/>
            <w:vAlign w:val="center"/>
          </w:tcPr>
          <w:p w14:paraId="2A65D7DF" w14:textId="05E7845E" w:rsidR="0097143E" w:rsidRPr="001E64FA" w:rsidRDefault="00FA7FDD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</w:t>
            </w:r>
            <w:r w:rsidR="0097143E"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- osobohodina </w:t>
            </w:r>
          </w:p>
        </w:tc>
        <w:tc>
          <w:tcPr>
            <w:tcW w:w="2168" w:type="pct"/>
            <w:tcBorders>
              <w:top w:val="single" w:sz="18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201762C6" w14:textId="66053D37" w:rsidR="0097143E" w:rsidRPr="001E64FA" w:rsidRDefault="1A8F0E99" w:rsidP="00F1473D">
            <w:pPr>
              <w:spacing w:line="259" w:lineRule="auto"/>
              <w:jc w:val="center"/>
              <w:rPr>
                <w:rFonts w:ascii="Cambria" w:eastAsia="Cambria" w:hAnsi="Cambria" w:cs="Cambria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000000" w:themeColor="text1"/>
                <w:sz w:val="20"/>
                <w:szCs w:val="20"/>
                <w:lang w:val="sk-SK"/>
              </w:rPr>
              <w:t>3968</w:t>
            </w:r>
          </w:p>
        </w:tc>
        <w:tc>
          <w:tcPr>
            <w:tcW w:w="797" w:type="pct"/>
            <w:tcBorders>
              <w:top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351AD3" w14:textId="77777777" w:rsidR="0097143E" w:rsidRPr="001E64FA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</w:tbl>
    <w:p w14:paraId="0D06AAB5" w14:textId="71A19098" w:rsidR="0097143E" w:rsidRPr="001E64FA" w:rsidRDefault="0097143E" w:rsidP="00BC522E">
      <w:pPr>
        <w:spacing w:after="120"/>
        <w:jc w:val="right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page" w:horzAnchor="margin" w:tblpY="13831"/>
        <w:tblW w:w="5087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2"/>
        <w:gridCol w:w="2976"/>
        <w:gridCol w:w="4253"/>
        <w:gridCol w:w="1558"/>
      </w:tblGrid>
      <w:tr w:rsidR="00833608" w:rsidRPr="001E64FA" w14:paraId="6B3BEB81" w14:textId="77777777" w:rsidTr="00AE0368">
        <w:trPr>
          <w:trHeight w:val="298"/>
        </w:trPr>
        <w:tc>
          <w:tcPr>
            <w:tcW w:w="498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7273DE5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70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77E83C3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79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0B919633" w14:textId="77777777" w:rsidR="00833608" w:rsidRPr="001E64FA" w:rsidRDefault="00833608" w:rsidP="0083360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833608" w:rsidRPr="001E64FA" w14:paraId="66CF8C2C" w14:textId="77777777" w:rsidTr="00AE0368">
        <w:trPr>
          <w:trHeight w:val="260"/>
        </w:trPr>
        <w:tc>
          <w:tcPr>
            <w:tcW w:w="498" w:type="pct"/>
            <w:vMerge/>
            <w:noWrap/>
            <w:vAlign w:val="center"/>
          </w:tcPr>
          <w:p w14:paraId="74C6B0EA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7E075C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17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EECFBC2" w14:textId="77777777" w:rsidR="00833608" w:rsidRPr="001E64FA" w:rsidRDefault="00833608" w:rsidP="0083360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>P</w:t>
            </w:r>
            <w:r w:rsidRPr="001E64FA">
              <w:rPr>
                <w:rFonts w:ascii="Cambria" w:hAnsi="Cambria" w:cs="Arial"/>
                <w:b/>
                <w:bCs/>
                <w:color w:val="000000" w:themeColor="text1"/>
                <w:sz w:val="20"/>
                <w:szCs w:val="20"/>
                <w:lang w:val="sk-SK" w:eastAsia="sk-SK"/>
              </w:rPr>
              <w:t>očet  osobohodín počas doby trvania Servisnej zmluvy</w:t>
            </w:r>
          </w:p>
        </w:tc>
        <w:tc>
          <w:tcPr>
            <w:tcW w:w="798" w:type="pct"/>
            <w:vMerge/>
            <w:vAlign w:val="center"/>
          </w:tcPr>
          <w:p w14:paraId="7483292D" w14:textId="77777777" w:rsidR="00833608" w:rsidRPr="001E64FA" w:rsidRDefault="00833608" w:rsidP="0083360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833608" w:rsidRPr="001E64FA" w14:paraId="0659A3CF" w14:textId="77777777" w:rsidTr="00AE0368">
        <w:trPr>
          <w:trHeight w:val="495"/>
        </w:trPr>
        <w:tc>
          <w:tcPr>
            <w:tcW w:w="498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43415252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3</w:t>
            </w:r>
          </w:p>
          <w:p w14:paraId="3BFFE191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25" w:type="pct"/>
            <w:tcBorders>
              <w:top w:val="single" w:sz="18" w:space="0" w:color="auto"/>
            </w:tcBorders>
            <w:noWrap/>
            <w:vAlign w:val="center"/>
          </w:tcPr>
          <w:p w14:paraId="627D3FFB" w14:textId="77777777" w:rsidR="00833608" w:rsidRPr="001E64FA" w:rsidRDefault="00833608" w:rsidP="00833608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E64FA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Implementácia- osobohodina </w:t>
            </w:r>
          </w:p>
        </w:tc>
        <w:tc>
          <w:tcPr>
            <w:tcW w:w="217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A0C64E2" w14:textId="77777777" w:rsidR="00833608" w:rsidRPr="001E64FA" w:rsidRDefault="00833608" w:rsidP="00833608">
            <w:pPr>
              <w:spacing w:line="259" w:lineRule="auto"/>
              <w:jc w:val="center"/>
              <w:rPr>
                <w:rFonts w:ascii="Cambria" w:eastAsia="Cambria" w:hAnsi="Cambria" w:cs="Cambria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000000" w:themeColor="text1"/>
                <w:sz w:val="20"/>
                <w:szCs w:val="20"/>
                <w:lang w:val="sk-SK"/>
              </w:rPr>
              <w:t>1984</w:t>
            </w:r>
          </w:p>
        </w:tc>
        <w:tc>
          <w:tcPr>
            <w:tcW w:w="798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873719" w14:textId="77777777" w:rsidR="00833608" w:rsidRPr="001E64FA" w:rsidRDefault="00833608" w:rsidP="00833608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</w:tbl>
    <w:p w14:paraId="11D7BDAC" w14:textId="1DCDC771" w:rsidR="00BC522E" w:rsidRPr="001E64FA" w:rsidRDefault="00BC522E" w:rsidP="00BC522E">
      <w:pPr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1E64FA">
        <w:rPr>
          <w:rFonts w:ascii="Cambria" w:hAnsi="Cambria"/>
          <w:b/>
          <w:bCs/>
          <w:sz w:val="20"/>
          <w:szCs w:val="20"/>
          <w:lang w:val="sk-SK"/>
        </w:rPr>
        <w:t>Cena za poskytovanie služby Implementácia  Opcia 1</w:t>
      </w:r>
    </w:p>
    <w:p w14:paraId="64DACF01" w14:textId="77777777" w:rsidR="00BC522E" w:rsidRPr="001E64FA" w:rsidRDefault="00BC522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09DF4EB2" w14:textId="56DAB2EB" w:rsidR="00BC522E" w:rsidRPr="001E64FA" w:rsidRDefault="00BC522E" w:rsidP="00BC522E">
      <w:pPr>
        <w:rPr>
          <w:rFonts w:ascii="Cambria" w:hAnsi="Cambria"/>
          <w:sz w:val="20"/>
          <w:szCs w:val="20"/>
          <w:lang w:val="sk-SK"/>
        </w:rPr>
      </w:pPr>
      <w:bookmarkStart w:id="0" w:name="_Hlk54805208"/>
      <w:bookmarkEnd w:id="0"/>
    </w:p>
    <w:p w14:paraId="179CEF1A" w14:textId="075072B5" w:rsidR="00BC522E" w:rsidRPr="001E64FA" w:rsidRDefault="00BC522E" w:rsidP="00BC522E">
      <w:pPr>
        <w:pStyle w:val="ListParagraph"/>
        <w:numPr>
          <w:ilvl w:val="1"/>
          <w:numId w:val="17"/>
        </w:numPr>
        <w:tabs>
          <w:tab w:val="left" w:pos="720"/>
        </w:tabs>
        <w:spacing w:before="120" w:after="120"/>
        <w:ind w:right="566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E64FA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344D4D1E" w14:textId="77777777" w:rsidR="00BC522E" w:rsidRPr="001E64FA" w:rsidRDefault="00BC522E" w:rsidP="00BC522E">
      <w:pPr>
        <w:pStyle w:val="ListParagraph"/>
        <w:tabs>
          <w:tab w:val="left" w:pos="720"/>
        </w:tabs>
        <w:spacing w:before="120" w:after="120"/>
        <w:ind w:left="360" w:right="566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7A8D7BF4" w14:textId="12742543" w:rsidR="00BC522E" w:rsidRPr="001E64FA" w:rsidRDefault="00BC522E" w:rsidP="00BC522E">
      <w:pPr>
        <w:pStyle w:val="ListParagraph"/>
        <w:numPr>
          <w:ilvl w:val="2"/>
          <w:numId w:val="17"/>
        </w:numPr>
        <w:spacing w:before="1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Cena za Doplnkové služby </w:t>
      </w:r>
      <w:r w:rsidR="00100496"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 (</w:t>
      </w:r>
      <w:proofErr w:type="spellStart"/>
      <w:r w:rsidRPr="001E64FA">
        <w:rPr>
          <w:rFonts w:ascii="Cambria" w:hAnsi="Cambria"/>
          <w:color w:val="000000" w:themeColor="text1"/>
          <w:sz w:val="20"/>
          <w:szCs w:val="20"/>
          <w:lang w:val="sk-SK"/>
        </w:rPr>
        <w:t>Exit</w:t>
      </w:r>
      <w:proofErr w:type="spellEnd"/>
      <w:r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 služba </w:t>
      </w:r>
      <w:r w:rsidR="00100496"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) </w:t>
      </w:r>
      <w:r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sa vypočíta ako cena za jednu osobohodinu poskytnutia služby podľa tabuľky č. </w:t>
      </w:r>
      <w:r w:rsidR="520995E7" w:rsidRPr="001E64FA">
        <w:rPr>
          <w:rFonts w:ascii="Cambria" w:hAnsi="Cambria"/>
          <w:color w:val="000000" w:themeColor="text1"/>
          <w:sz w:val="20"/>
          <w:szCs w:val="20"/>
          <w:lang w:val="sk-SK"/>
        </w:rPr>
        <w:t>3</w:t>
      </w:r>
      <w:r w:rsidRPr="001E64FA">
        <w:rPr>
          <w:rFonts w:ascii="Cambria" w:hAnsi="Cambria"/>
          <w:color w:val="000000" w:themeColor="text1"/>
          <w:sz w:val="20"/>
          <w:szCs w:val="20"/>
          <w:lang w:val="sk-SK"/>
        </w:rPr>
        <w:t xml:space="preserve"> vynásobená počtom hodín trvania poskytovanej služby na základe výkazu prác odsúhlaseného oboma zmluvnými stranami.</w:t>
      </w:r>
    </w:p>
    <w:p w14:paraId="20D932BC" w14:textId="1502E006" w:rsidR="00BC522E" w:rsidRPr="001E64FA" w:rsidRDefault="00BC522E" w:rsidP="00BC522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1E64FA">
        <w:rPr>
          <w:rFonts w:ascii="Cambria" w:hAnsi="Cambria" w:cs="Arial"/>
          <w:b/>
          <w:sz w:val="20"/>
          <w:szCs w:val="20"/>
          <w:lang w:val="sk-SK"/>
        </w:rPr>
        <w:t>TABUĽKA č. 3 Cena za poskytovanie Doplnkových služieb</w:t>
      </w:r>
    </w:p>
    <w:tbl>
      <w:tblPr>
        <w:tblW w:w="891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BC522E" w:rsidRPr="001E64FA" w14:paraId="7B38D332" w14:textId="77777777" w:rsidTr="2DDF7368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8EAADB" w:themeFill="accent1" w:themeFillTint="99"/>
            <w:noWrap/>
            <w:vAlign w:val="center"/>
          </w:tcPr>
          <w:p w14:paraId="477C09C6" w14:textId="77777777" w:rsidR="00BC522E" w:rsidRPr="001E64FA" w:rsidRDefault="00BC522E" w:rsidP="003A00A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8EAADB" w:themeFill="accent1" w:themeFillTint="99"/>
            <w:vAlign w:val="center"/>
          </w:tcPr>
          <w:p w14:paraId="7C8FC299" w14:textId="77777777" w:rsidR="00BC522E" w:rsidRPr="001E64FA" w:rsidRDefault="00BC522E" w:rsidP="003A00A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8EAADB" w:themeFill="accent1" w:themeFillTint="99"/>
            <w:vAlign w:val="center"/>
          </w:tcPr>
          <w:p w14:paraId="32296756" w14:textId="7E1FD08C" w:rsidR="00BC522E" w:rsidRPr="001E64FA" w:rsidRDefault="005E2781" w:rsidP="003A00A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</w:t>
            </w:r>
            <w:r w:rsidR="00BC522E" w:rsidRPr="001E64FA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ozsah prác a služieb (osobohodiny)</w:t>
            </w:r>
          </w:p>
        </w:tc>
        <w:tc>
          <w:tcPr>
            <w:tcW w:w="2127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8EAADB" w:themeFill="accent1" w:themeFillTint="99"/>
            <w:vAlign w:val="center"/>
          </w:tcPr>
          <w:p w14:paraId="796E1C8A" w14:textId="77777777" w:rsidR="00BC522E" w:rsidRPr="001E64FA" w:rsidRDefault="00BC522E" w:rsidP="003A00A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Cena v EUR bez DPH za 1 osobohodinu </w:t>
            </w:r>
          </w:p>
          <w:p w14:paraId="1049D338" w14:textId="77777777" w:rsidR="00BC522E" w:rsidRPr="001E64FA" w:rsidRDefault="00BC522E" w:rsidP="003A00A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BC522E" w:rsidRPr="001E64FA" w14:paraId="15028C61" w14:textId="77777777" w:rsidTr="2DDF7368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noWrap/>
            <w:vAlign w:val="center"/>
          </w:tcPr>
          <w:p w14:paraId="4E0B2CC9" w14:textId="77777777" w:rsidR="00BC522E" w:rsidRPr="001E64FA" w:rsidRDefault="00BC522E" w:rsidP="003A00A5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E64FA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noWrap/>
          </w:tcPr>
          <w:p w14:paraId="1DC1EC2B" w14:textId="77777777" w:rsidR="00BC522E" w:rsidRPr="001E64FA" w:rsidRDefault="00BC522E" w:rsidP="003A00A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E64FA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E64FA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38DFC99" w14:textId="133D6102" w:rsidR="00BC522E" w:rsidRPr="001E64FA" w:rsidRDefault="42F3FB26" w:rsidP="00792703">
            <w:pPr>
              <w:spacing w:line="259" w:lineRule="auto"/>
              <w:jc w:val="center"/>
            </w:pPr>
            <w:r w:rsidRPr="001E64FA">
              <w:rPr>
                <w:rFonts w:ascii="Cambria" w:hAnsi="Cambria" w:cs="Arial"/>
                <w:i/>
                <w:iCs/>
                <w:color w:val="000000" w:themeColor="text1"/>
                <w:sz w:val="20"/>
                <w:szCs w:val="20"/>
                <w:lang w:val="sk-SK"/>
              </w:rPr>
              <w:t>300</w:t>
            </w:r>
          </w:p>
        </w:tc>
        <w:tc>
          <w:tcPr>
            <w:tcW w:w="212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9203E4A" w14:textId="77777777" w:rsidR="00BC522E" w:rsidRPr="001E64FA" w:rsidRDefault="00BC522E" w:rsidP="00882E26">
            <w:pPr>
              <w:jc w:val="center"/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</w:pPr>
            <w:r w:rsidRPr="001E64FA">
              <w:rPr>
                <w:rFonts w:ascii="Cambria" w:hAnsi="Cambria" w:cs="Arial"/>
                <w:i/>
                <w:iCs/>
                <w:color w:val="2B579A"/>
                <w:sz w:val="20"/>
                <w:szCs w:val="20"/>
                <w:shd w:val="clear" w:color="auto" w:fill="E6E6E6"/>
                <w:lang w:val="sk-SK"/>
              </w:rPr>
              <w:t>&lt;vyplní uchádzač&gt;</w:t>
            </w:r>
          </w:p>
        </w:tc>
      </w:tr>
    </w:tbl>
    <w:p w14:paraId="28FD33C8" w14:textId="77777777" w:rsidR="00BC522E" w:rsidRPr="00092BD7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2AE48559" w14:textId="0554246C" w:rsidR="00BC522E" w:rsidRPr="00BC522E" w:rsidRDefault="00BC522E" w:rsidP="00BC522E">
      <w:pPr>
        <w:tabs>
          <w:tab w:val="left" w:pos="1995"/>
        </w:tabs>
        <w:rPr>
          <w:rFonts w:ascii="Cambria" w:hAnsi="Cambria"/>
          <w:sz w:val="20"/>
          <w:szCs w:val="20"/>
          <w:lang w:val="sk-SK"/>
        </w:rPr>
      </w:pPr>
    </w:p>
    <w:p w14:paraId="733D9EB5" w14:textId="1DFE84C3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4837DBD2" w14:textId="21F8DCDC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633DA808" w14:textId="4F641904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4E208DB0" w14:textId="51E86D9B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5CC1B6E3" w14:textId="0E920BAB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13D65380" w14:textId="204E07B4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6C8A52B0" w14:textId="11932306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54B36509" w14:textId="0137EB88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59536B0A" w14:textId="703E4608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20119FB0" w14:textId="5F27E34D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1847DBF0" w14:textId="17CD4D4C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p w14:paraId="10E7A8E1" w14:textId="77777777" w:rsidR="00BC522E" w:rsidRPr="00BC522E" w:rsidRDefault="00BC522E" w:rsidP="00BC522E">
      <w:pPr>
        <w:rPr>
          <w:rFonts w:ascii="Cambria" w:hAnsi="Cambria"/>
          <w:sz w:val="20"/>
          <w:szCs w:val="20"/>
          <w:lang w:val="sk-SK"/>
        </w:rPr>
      </w:pPr>
    </w:p>
    <w:sectPr w:rsidR="00BC522E" w:rsidRPr="00BC522E" w:rsidSect="00AE2942">
      <w:headerReference w:type="default" r:id="rId7"/>
      <w:footerReference w:type="default" r:id="rId8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35DC" w14:textId="77777777" w:rsidR="00054625" w:rsidRDefault="00054625">
      <w:r>
        <w:separator/>
      </w:r>
    </w:p>
  </w:endnote>
  <w:endnote w:type="continuationSeparator" w:id="0">
    <w:p w14:paraId="746BA925" w14:textId="77777777" w:rsidR="00054625" w:rsidRDefault="000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color w:val="2B579A"/>
        <w:sz w:val="16"/>
        <w:szCs w:val="16"/>
        <w:shd w:val="clear" w:color="auto" w:fill="E6E6E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color w:val="2B579A"/>
        <w:sz w:val="16"/>
        <w:szCs w:val="16"/>
        <w:shd w:val="clear" w:color="auto" w:fill="E6E6E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C7A5" w14:textId="77777777" w:rsidR="00054625" w:rsidRDefault="00054625">
      <w:r>
        <w:separator/>
      </w:r>
    </w:p>
  </w:footnote>
  <w:footnote w:type="continuationSeparator" w:id="0">
    <w:p w14:paraId="4081EEB8" w14:textId="77777777" w:rsidR="00054625" w:rsidRDefault="0005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color w:val="2B579A"/>
        <w:sz w:val="18"/>
        <w:szCs w:val="18"/>
        <w:shd w:val="clear" w:color="auto" w:fill="E6E6E6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D5A9D3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PnRhNtkAAAAEAQAADwAAAGRycy9kb3ducmV2LnhtbEyPy07D&#10;MBBF90j9B2sqsalap6nEI8SpKiA7NhRQt9N4SCLicRq7beDrGdjA8uiO7j2Tr0fXqRMNofVsYLlI&#10;QBFX3rZcG3h9Kec3oEJEtth5JgOfFGBdTC5yzKw/8zOdtrFWUsIhQwNNjH2mdagachgWvieW7N0P&#10;DqPgUGs74FnKXafTJLnSDluWhQZ7um+o+tgenYFQvtGh/JpVs2S3qj2lh4enRzTmcjpu7kBFGuPf&#10;MfzoizoU4rT3R7ZBdQbkkWhgJfoS3l6nwvtf1kWu/8sX3wAAAP//AwBQSwECLQAUAAYACAAAACEA&#10;toM4kv4AAADhAQAAEwAAAAAAAAAAAAAAAAAAAAAAW0NvbnRlbnRfVHlwZXNdLnhtbFBLAQItABQA&#10;BgAIAAAAIQA4/SH/1gAAAJQBAAALAAAAAAAAAAAAAAAAAC8BAABfcmVscy8ucmVsc1BLAQItABQA&#10;BgAIAAAAIQAoOVOFrwEAAEgDAAAOAAAAAAAAAAAAAAAAAC4CAABkcnMvZTJvRG9jLnhtbFBLAQIt&#10;ABQABgAIAAAAIQA+dGE22QAAAAQBAAAPAAAAAAAAAAAAAAAAAAkEAABkcnMvZG93bnJldi54bWxQ&#10;SwUGAAAAAAQABADzAAAADwUAAAAA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97611"/>
    <w:multiLevelType w:val="multilevel"/>
    <w:tmpl w:val="547A32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8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2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7"/>
  </w:num>
  <w:num w:numId="14">
    <w:abstractNumId w:val="8"/>
  </w:num>
  <w:num w:numId="15">
    <w:abstractNumId w:val="14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17E"/>
    <w:rsid w:val="00026C99"/>
    <w:rsid w:val="00030EDB"/>
    <w:rsid w:val="00043605"/>
    <w:rsid w:val="0004638E"/>
    <w:rsid w:val="00054625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A08"/>
    <w:rsid w:val="000F6C77"/>
    <w:rsid w:val="00100496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B63AA"/>
    <w:rsid w:val="001C7405"/>
    <w:rsid w:val="001D52A6"/>
    <w:rsid w:val="001E64FA"/>
    <w:rsid w:val="001E66D7"/>
    <w:rsid w:val="001F2DA5"/>
    <w:rsid w:val="0022688E"/>
    <w:rsid w:val="0022737E"/>
    <w:rsid w:val="00241784"/>
    <w:rsid w:val="00244704"/>
    <w:rsid w:val="00246591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353FD"/>
    <w:rsid w:val="0034428D"/>
    <w:rsid w:val="00352D97"/>
    <w:rsid w:val="0035361B"/>
    <w:rsid w:val="0035630C"/>
    <w:rsid w:val="00357FC2"/>
    <w:rsid w:val="00370131"/>
    <w:rsid w:val="00373A05"/>
    <w:rsid w:val="00384B5F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2085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269D"/>
    <w:rsid w:val="005D3169"/>
    <w:rsid w:val="005D35D8"/>
    <w:rsid w:val="005D373D"/>
    <w:rsid w:val="005E2781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B7DFF"/>
    <w:rsid w:val="006D735F"/>
    <w:rsid w:val="006E5142"/>
    <w:rsid w:val="006F6B12"/>
    <w:rsid w:val="00701F43"/>
    <w:rsid w:val="00705FFF"/>
    <w:rsid w:val="0071156E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2703"/>
    <w:rsid w:val="00794FAF"/>
    <w:rsid w:val="007B5217"/>
    <w:rsid w:val="007C3850"/>
    <w:rsid w:val="007C423C"/>
    <w:rsid w:val="007C75D4"/>
    <w:rsid w:val="007D3219"/>
    <w:rsid w:val="007E7BBD"/>
    <w:rsid w:val="0080111A"/>
    <w:rsid w:val="00804057"/>
    <w:rsid w:val="00833608"/>
    <w:rsid w:val="008528D5"/>
    <w:rsid w:val="008561D9"/>
    <w:rsid w:val="00857890"/>
    <w:rsid w:val="00863A06"/>
    <w:rsid w:val="00864EA8"/>
    <w:rsid w:val="00874861"/>
    <w:rsid w:val="00882E26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472E3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2576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368"/>
    <w:rsid w:val="00AE0C79"/>
    <w:rsid w:val="00AE2942"/>
    <w:rsid w:val="00AF5E55"/>
    <w:rsid w:val="00B0107A"/>
    <w:rsid w:val="00B049D0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7529E"/>
    <w:rsid w:val="00B835B6"/>
    <w:rsid w:val="00B837A4"/>
    <w:rsid w:val="00B907DB"/>
    <w:rsid w:val="00B9381D"/>
    <w:rsid w:val="00B97575"/>
    <w:rsid w:val="00BA1950"/>
    <w:rsid w:val="00BB05BC"/>
    <w:rsid w:val="00BB7387"/>
    <w:rsid w:val="00BC522E"/>
    <w:rsid w:val="00BC7347"/>
    <w:rsid w:val="00BD352F"/>
    <w:rsid w:val="00BE3EEF"/>
    <w:rsid w:val="00BE6E21"/>
    <w:rsid w:val="00BF6561"/>
    <w:rsid w:val="00BF7446"/>
    <w:rsid w:val="00C0013F"/>
    <w:rsid w:val="00C05E86"/>
    <w:rsid w:val="00C11062"/>
    <w:rsid w:val="00C22DF5"/>
    <w:rsid w:val="00C41806"/>
    <w:rsid w:val="00C5642E"/>
    <w:rsid w:val="00C80D3E"/>
    <w:rsid w:val="00C8522C"/>
    <w:rsid w:val="00C863EB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615B7"/>
    <w:rsid w:val="00D629AC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473D"/>
    <w:rsid w:val="00F16A0A"/>
    <w:rsid w:val="00F17D26"/>
    <w:rsid w:val="00F21FF1"/>
    <w:rsid w:val="00F24D71"/>
    <w:rsid w:val="00F3289B"/>
    <w:rsid w:val="00F34E44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A7FDD"/>
    <w:rsid w:val="00FB15EB"/>
    <w:rsid w:val="00FC15FE"/>
    <w:rsid w:val="00FC1AC5"/>
    <w:rsid w:val="00FD53DC"/>
    <w:rsid w:val="00FE49DA"/>
    <w:rsid w:val="00FE73A0"/>
    <w:rsid w:val="00FF15F4"/>
    <w:rsid w:val="00FF5A88"/>
    <w:rsid w:val="00FF6FAF"/>
    <w:rsid w:val="00FF79CD"/>
    <w:rsid w:val="047D10A7"/>
    <w:rsid w:val="05675489"/>
    <w:rsid w:val="0A4F8B11"/>
    <w:rsid w:val="0F17B5AD"/>
    <w:rsid w:val="1119D44E"/>
    <w:rsid w:val="1A8F0E99"/>
    <w:rsid w:val="26991412"/>
    <w:rsid w:val="2DDF7368"/>
    <w:rsid w:val="333652D4"/>
    <w:rsid w:val="334857F4"/>
    <w:rsid w:val="354017BA"/>
    <w:rsid w:val="3653A462"/>
    <w:rsid w:val="36E61D38"/>
    <w:rsid w:val="40AED6CD"/>
    <w:rsid w:val="42060B74"/>
    <w:rsid w:val="42F3FB26"/>
    <w:rsid w:val="520995E7"/>
    <w:rsid w:val="5C47835D"/>
    <w:rsid w:val="5EE34924"/>
    <w:rsid w:val="657D84A4"/>
    <w:rsid w:val="690CDE08"/>
    <w:rsid w:val="6BE41B08"/>
    <w:rsid w:val="72048FA3"/>
    <w:rsid w:val="7432E5AC"/>
    <w:rsid w:val="74F6324D"/>
    <w:rsid w:val="7E5B183E"/>
    <w:rsid w:val="7EC9E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5E2781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2022-12-14T07:33:00Z</dcterms:created>
  <dcterms:modified xsi:type="dcterms:W3CDTF">2022-12-14T07:33:00Z</dcterms:modified>
</cp:coreProperties>
</file>