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5F748C" w:rsidRPr="00E913AF" w:rsidRDefault="005F748C" w:rsidP="005F748C">
      <w:pPr>
        <w:widowControl w:val="0"/>
        <w:numPr>
          <w:ilvl w:val="0"/>
          <w:numId w:val="11"/>
        </w:numPr>
        <w:autoSpaceDE w:val="0"/>
        <w:adjustRightInd w:val="0"/>
        <w:contextualSpacing/>
        <w:rPr>
          <w:rFonts w:ascii="Garamond" w:hAnsi="Garamond"/>
          <w:w w:val="105"/>
          <w:sz w:val="22"/>
          <w:szCs w:val="22"/>
        </w:rPr>
      </w:pPr>
      <w:r w:rsidRPr="00E913AF">
        <w:rPr>
          <w:rFonts w:ascii="Garamond" w:hAnsi="Garamond"/>
          <w:w w:val="105"/>
          <w:sz w:val="22"/>
          <w:szCs w:val="22"/>
        </w:rPr>
        <w:t>Objednávateľ:</w:t>
      </w:r>
      <w:r w:rsidRPr="00E913AF">
        <w:rPr>
          <w:rFonts w:ascii="Garamond" w:hAnsi="Garamond"/>
          <w:w w:val="105"/>
          <w:sz w:val="22"/>
          <w:szCs w:val="22"/>
        </w:rPr>
        <w:tab/>
        <w:t xml:space="preserve">      </w:t>
      </w:r>
      <w:r w:rsidRPr="00E913AF">
        <w:rPr>
          <w:rFonts w:ascii="Garamond" w:hAnsi="Garamond" w:cs="Calibri"/>
          <w:sz w:val="22"/>
          <w:szCs w:val="22"/>
        </w:rPr>
        <w:t>Fakultná nemocnica s poliklinikou F.D. Roosevelta Banská Bystrica</w:t>
      </w:r>
    </w:p>
    <w:p w:rsidR="005F748C" w:rsidRPr="00E913AF" w:rsidRDefault="005F748C" w:rsidP="005F748C">
      <w:pPr>
        <w:ind w:firstLine="720"/>
        <w:rPr>
          <w:rFonts w:ascii="Garamond" w:hAnsi="Garamond"/>
          <w:sz w:val="22"/>
          <w:szCs w:val="22"/>
        </w:rPr>
      </w:pPr>
      <w:r w:rsidRPr="00E913AF">
        <w:rPr>
          <w:rFonts w:ascii="Garamond" w:hAnsi="Garamond"/>
          <w:sz w:val="22"/>
          <w:szCs w:val="22"/>
        </w:rPr>
        <w:t>Sídlo:</w:t>
      </w:r>
      <w:r w:rsidRPr="00E913AF">
        <w:rPr>
          <w:rFonts w:ascii="Garamond" w:hAnsi="Garamond"/>
          <w:sz w:val="22"/>
          <w:szCs w:val="22"/>
        </w:rPr>
        <w:tab/>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L. Svobodu 1, 975 17 Banská Bystrica</w:t>
      </w:r>
      <w:r w:rsidRPr="00E913AF">
        <w:rPr>
          <w:rFonts w:ascii="Garamond" w:hAnsi="Garamond"/>
          <w:sz w:val="22"/>
          <w:szCs w:val="22"/>
        </w:rPr>
        <w:t xml:space="preserve"> </w:t>
      </w:r>
    </w:p>
    <w:p w:rsidR="005F748C" w:rsidRPr="00E913AF" w:rsidRDefault="005F748C" w:rsidP="005F748C">
      <w:pPr>
        <w:ind w:left="284"/>
        <w:rPr>
          <w:rFonts w:ascii="Garamond" w:hAnsi="Garamond" w:cs="Calibri"/>
          <w:sz w:val="22"/>
          <w:szCs w:val="22"/>
        </w:rPr>
      </w:pPr>
      <w:r>
        <w:rPr>
          <w:rFonts w:ascii="Garamond" w:hAnsi="Garamond"/>
          <w:sz w:val="22"/>
          <w:szCs w:val="22"/>
        </w:rPr>
        <w:t xml:space="preserve">       </w:t>
      </w:r>
      <w:r w:rsidRPr="00E913AF">
        <w:rPr>
          <w:rFonts w:ascii="Garamond" w:hAnsi="Garamond"/>
          <w:sz w:val="22"/>
          <w:szCs w:val="22"/>
        </w:rPr>
        <w:t xml:space="preserve">Zastúpený: </w:t>
      </w:r>
      <w:r w:rsidRPr="00E913AF">
        <w:rPr>
          <w:rFonts w:ascii="Garamond" w:hAnsi="Garamond"/>
          <w:sz w:val="22"/>
          <w:szCs w:val="22"/>
        </w:rPr>
        <w:tab/>
      </w:r>
      <w:r>
        <w:rPr>
          <w:rFonts w:ascii="Garamond" w:hAnsi="Garamond"/>
          <w:sz w:val="22"/>
          <w:szCs w:val="22"/>
        </w:rPr>
        <w:t xml:space="preserve">      </w:t>
      </w:r>
      <w:r w:rsidRPr="00E913AF">
        <w:rPr>
          <w:rFonts w:ascii="Garamond" w:hAnsi="Garamond" w:cs="Calibri"/>
          <w:sz w:val="22"/>
          <w:szCs w:val="22"/>
        </w:rPr>
        <w:t>Ing. Miriam Lapuníková, MBA, generálna riaditeľka</w:t>
      </w:r>
    </w:p>
    <w:p w:rsidR="005F748C" w:rsidRPr="00E913AF" w:rsidRDefault="005F748C" w:rsidP="005F748C">
      <w:pPr>
        <w:ind w:left="284"/>
        <w:rPr>
          <w:rFonts w:ascii="Garamond" w:hAnsi="Garamond" w:cs="Calibri"/>
          <w:sz w:val="22"/>
          <w:szCs w:val="22"/>
        </w:rPr>
      </w:pPr>
      <w:r w:rsidRPr="00E913AF">
        <w:rPr>
          <w:rFonts w:ascii="Garamond" w:hAnsi="Garamond" w:cs="Calibri"/>
          <w:sz w:val="22"/>
          <w:szCs w:val="22"/>
        </w:rPr>
        <w:tab/>
        <w:t xml:space="preserve"> </w:t>
      </w:r>
      <w:r>
        <w:rPr>
          <w:rFonts w:ascii="Garamond" w:hAnsi="Garamond" w:cs="Calibri"/>
          <w:sz w:val="22"/>
          <w:szCs w:val="22"/>
        </w:rPr>
        <w:t xml:space="preserve">                            </w:t>
      </w:r>
      <w:r w:rsidRPr="00E913AF">
        <w:rPr>
          <w:rFonts w:ascii="Garamond" w:hAnsi="Garamond" w:cs="Calibri"/>
          <w:sz w:val="22"/>
          <w:szCs w:val="22"/>
        </w:rPr>
        <w:t xml:space="preserve"> Ing. Ivana Sklenková, ekonomická riaditeľka </w:t>
      </w:r>
    </w:p>
    <w:p w:rsidR="005F748C" w:rsidRPr="00E913AF" w:rsidRDefault="005F748C" w:rsidP="005F748C">
      <w:pPr>
        <w:rPr>
          <w:rFonts w:ascii="Garamond" w:hAnsi="Garamond"/>
          <w:sz w:val="22"/>
          <w:szCs w:val="22"/>
        </w:rPr>
      </w:pPr>
      <w:r>
        <w:rPr>
          <w:rFonts w:ascii="Garamond" w:hAnsi="Garamond"/>
          <w:sz w:val="22"/>
          <w:szCs w:val="22"/>
        </w:rPr>
        <w:t xml:space="preserve">             </w:t>
      </w:r>
      <w:r w:rsidRPr="00E913AF">
        <w:rPr>
          <w:rFonts w:ascii="Garamond" w:hAnsi="Garamond"/>
          <w:sz w:val="22"/>
          <w:szCs w:val="22"/>
        </w:rPr>
        <w:t>Zriadená Zriaďovacou listinou MZ SR č. 1842/90-A/II-I z 18.12.1990 v znení neskorších zmien</w:t>
      </w:r>
    </w:p>
    <w:p w:rsidR="005F748C" w:rsidRPr="00E913AF" w:rsidRDefault="005F748C" w:rsidP="005F748C">
      <w:pPr>
        <w:rPr>
          <w:rFonts w:ascii="Garamond" w:hAnsi="Garamond"/>
          <w:color w:val="000000"/>
          <w:sz w:val="22"/>
          <w:szCs w:val="22"/>
        </w:rPr>
      </w:pPr>
      <w:r w:rsidRPr="00E913AF">
        <w:rPr>
          <w:rFonts w:ascii="Garamond" w:hAnsi="Garamond"/>
          <w:sz w:val="22"/>
          <w:szCs w:val="22"/>
        </w:rPr>
        <w:t xml:space="preserve">    </w:t>
      </w:r>
      <w:r w:rsidRPr="00E913AF">
        <w:rPr>
          <w:rFonts w:ascii="Garamond" w:hAnsi="Garamond"/>
          <w:sz w:val="22"/>
          <w:szCs w:val="22"/>
        </w:rPr>
        <w:tab/>
        <w:t xml:space="preserve">IBAN:      </w:t>
      </w:r>
      <w:r w:rsidRPr="00E913AF">
        <w:rPr>
          <w:rFonts w:ascii="Garamond" w:hAnsi="Garamond"/>
          <w:sz w:val="22"/>
          <w:szCs w:val="22"/>
        </w:rPr>
        <w:tab/>
      </w:r>
      <w:r w:rsidRPr="00E913AF">
        <w:rPr>
          <w:rFonts w:ascii="Garamond" w:hAnsi="Garamond"/>
          <w:sz w:val="22"/>
          <w:szCs w:val="22"/>
        </w:rPr>
        <w:tab/>
      </w:r>
      <w:r w:rsidRPr="00E913AF">
        <w:rPr>
          <w:rFonts w:ascii="Garamond" w:hAnsi="Garamond"/>
          <w:color w:val="000000"/>
          <w:sz w:val="22"/>
          <w:szCs w:val="22"/>
        </w:rPr>
        <w:t>SK35 8180 0000 0070 0027 8282</w:t>
      </w:r>
    </w:p>
    <w:p w:rsidR="005F748C" w:rsidRPr="00E913AF" w:rsidRDefault="005F748C" w:rsidP="005F748C">
      <w:pPr>
        <w:rPr>
          <w:rFonts w:ascii="Garamond" w:hAnsi="Garamond"/>
          <w:sz w:val="22"/>
          <w:szCs w:val="22"/>
        </w:rPr>
      </w:pPr>
      <w:r w:rsidRPr="00E913AF">
        <w:rPr>
          <w:rFonts w:ascii="Garamond" w:hAnsi="Garamond"/>
          <w:sz w:val="22"/>
          <w:szCs w:val="22"/>
        </w:rPr>
        <w:t xml:space="preserve">            IČO:</w:t>
      </w:r>
      <w:r w:rsidRPr="00E913AF">
        <w:rPr>
          <w:rFonts w:ascii="Garamond" w:hAnsi="Garamond"/>
          <w:sz w:val="22"/>
          <w:szCs w:val="22"/>
        </w:rPr>
        <w:tab/>
      </w:r>
      <w:r w:rsidRPr="00E913AF">
        <w:rPr>
          <w:rFonts w:ascii="Garamond" w:hAnsi="Garamond"/>
          <w:sz w:val="22"/>
          <w:szCs w:val="22"/>
        </w:rPr>
        <w:tab/>
      </w:r>
      <w:r w:rsidRPr="00E913AF">
        <w:rPr>
          <w:rFonts w:ascii="Garamond" w:hAnsi="Garamond"/>
          <w:sz w:val="22"/>
          <w:szCs w:val="22"/>
        </w:rPr>
        <w:tab/>
        <w:t>00 165 549</w:t>
      </w:r>
    </w:p>
    <w:p w:rsidR="005F748C" w:rsidRPr="00E913AF" w:rsidRDefault="005F748C" w:rsidP="005F748C">
      <w:pPr>
        <w:ind w:firstLine="708"/>
        <w:rPr>
          <w:rFonts w:ascii="Garamond" w:hAnsi="Garamond"/>
          <w:sz w:val="22"/>
          <w:szCs w:val="22"/>
        </w:rPr>
      </w:pPr>
      <w:r w:rsidRPr="00E913AF">
        <w:rPr>
          <w:rFonts w:ascii="Garamond" w:hAnsi="Garamond"/>
          <w:sz w:val="22"/>
          <w:szCs w:val="22"/>
        </w:rPr>
        <w:t xml:space="preserve"> (ďalej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w:t>
      </w:r>
      <w:r w:rsidRPr="00444994">
        <w:rPr>
          <w:rFonts w:ascii="Garamond" w:hAnsi="Garamond"/>
          <w:w w:val="105"/>
          <w:sz w:val="22"/>
          <w:szCs w:val="22"/>
        </w:rPr>
        <w:lastRenderedPageBreak/>
        <w:t xml:space="preserve">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8353DB"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sidR="00B6693B" w:rsidRPr="00982AB1">
        <w:rPr>
          <w:rFonts w:ascii="Garamond" w:hAnsi="Garamond"/>
          <w:spacing w:val="-1"/>
          <w:sz w:val="22"/>
          <w:szCs w:val="22"/>
        </w:rPr>
        <w:t>meno, priezvisko, funkcia: ..................</w:t>
      </w:r>
      <w:r w:rsidR="00BF1367" w:rsidRPr="00982AB1">
        <w:rPr>
          <w:rFonts w:ascii="Garamond" w:hAnsi="Garamond"/>
          <w:spacing w:val="-1"/>
          <w:sz w:val="22"/>
          <w:szCs w:val="22"/>
        </w:rPr>
        <w:t>.....</w:t>
      </w:r>
      <w:r w:rsidR="00B6693B" w:rsidRPr="00982AB1">
        <w:rPr>
          <w:rFonts w:ascii="Garamond" w:hAnsi="Garamond"/>
          <w:spacing w:val="-1"/>
          <w:sz w:val="22"/>
          <w:szCs w:val="22"/>
        </w:rPr>
        <w:t>, e-mail: .........................., tel. číslo: ...............</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351"/>
        <w:tblW w:w="9056" w:type="dxa"/>
        <w:tblLook w:val="04A0"/>
      </w:tblPr>
      <w:tblGrid>
        <w:gridCol w:w="5240"/>
        <w:gridCol w:w="3816"/>
      </w:tblGrid>
      <w:tr w:rsidR="00DF7782" w:rsidRPr="00102B2E" w:rsidTr="00DF7782">
        <w:trPr>
          <w:cnfStyle w:val="100000000000"/>
          <w:trHeight w:val="252"/>
        </w:trPr>
        <w:tc>
          <w:tcPr>
            <w:cnfStyle w:val="001000000000"/>
            <w:tcW w:w="5240" w:type="dxa"/>
            <w:noWrap/>
            <w:hideMark/>
          </w:tcPr>
          <w:p w:rsidR="00DF7782" w:rsidRPr="00102B2E" w:rsidRDefault="00DF7782" w:rsidP="00DF7782">
            <w:pPr>
              <w:rPr>
                <w:rFonts w:ascii="Calibri" w:hAnsi="Calibri" w:cs="Calibri"/>
                <w:color w:val="000000"/>
              </w:rPr>
            </w:pPr>
            <w:r>
              <w:rPr>
                <w:rFonts w:ascii="Calibri" w:hAnsi="Calibri" w:cs="Calibri"/>
                <w:color w:val="000000"/>
              </w:rPr>
              <w:t>Prístroj/lokalita</w:t>
            </w:r>
          </w:p>
        </w:tc>
        <w:tc>
          <w:tcPr>
            <w:tcW w:w="3816" w:type="dxa"/>
            <w:noWrap/>
            <w:hideMark/>
          </w:tcPr>
          <w:p w:rsidR="00DF7782" w:rsidRPr="00102B2E" w:rsidRDefault="00DF7782" w:rsidP="00DF7782">
            <w:pPr>
              <w:jc w:val="center"/>
              <w:cnfStyle w:val="100000000000"/>
              <w:rPr>
                <w:rFonts w:ascii="Calibri" w:hAnsi="Calibri" w:cs="Calibri"/>
                <w:color w:val="000000"/>
              </w:rPr>
            </w:pPr>
            <w:r w:rsidRPr="00102B2E">
              <w:rPr>
                <w:rFonts w:ascii="Calibri" w:hAnsi="Calibri" w:cs="Calibri"/>
                <w:color w:val="000000"/>
              </w:rPr>
              <w:t>počet kusov</w:t>
            </w:r>
          </w:p>
        </w:tc>
      </w:tr>
      <w:tr w:rsidR="00381649" w:rsidRPr="00102B2E" w:rsidTr="00DF7782">
        <w:trPr>
          <w:trHeight w:val="252"/>
        </w:trPr>
        <w:tc>
          <w:tcPr>
            <w:cnfStyle w:val="001000000000"/>
            <w:tcW w:w="5240" w:type="dxa"/>
            <w:noWrap/>
          </w:tcPr>
          <w:p w:rsidR="00381649" w:rsidRPr="0026224A" w:rsidRDefault="00381649" w:rsidP="00381649">
            <w:pPr>
              <w:rPr>
                <w:rFonts w:ascii="Calibri" w:hAnsi="Calibri" w:cs="Calibri"/>
                <w:color w:val="000000"/>
                <w:szCs w:val="20"/>
              </w:rPr>
            </w:pPr>
          </w:p>
        </w:tc>
        <w:tc>
          <w:tcPr>
            <w:tcW w:w="3816" w:type="dxa"/>
            <w:noWrap/>
          </w:tcPr>
          <w:p w:rsidR="00381649" w:rsidRPr="0026224A" w:rsidRDefault="00381649" w:rsidP="00381649">
            <w:pPr>
              <w:jc w:val="center"/>
              <w:cnfStyle w:val="000000000000"/>
              <w:rPr>
                <w:rFonts w:ascii="Calibri" w:hAnsi="Calibri" w:cs="Calibri"/>
                <w:bCs/>
                <w:color w:val="000000"/>
                <w:szCs w:val="20"/>
              </w:rPr>
            </w:pPr>
          </w:p>
        </w:tc>
      </w:tr>
      <w:tr w:rsidR="00381649" w:rsidRPr="00102B2E" w:rsidTr="00DF7782">
        <w:trPr>
          <w:trHeight w:val="252"/>
        </w:trPr>
        <w:tc>
          <w:tcPr>
            <w:cnfStyle w:val="001000000000"/>
            <w:tcW w:w="5240" w:type="dxa"/>
            <w:noWrap/>
          </w:tcPr>
          <w:p w:rsidR="00381649" w:rsidRPr="001F0387" w:rsidRDefault="00381649" w:rsidP="00B43574">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Pr>
                <w:rFonts w:ascii="Calibri" w:hAnsi="Calibri" w:cs="Calibri"/>
                <w:b w:val="0"/>
                <w:color w:val="FF0000"/>
                <w:szCs w:val="20"/>
              </w:rPr>
              <w:t xml:space="preserve"> </w:t>
            </w:r>
          </w:p>
        </w:tc>
        <w:tc>
          <w:tcPr>
            <w:tcW w:w="3816" w:type="dxa"/>
            <w:noWrap/>
          </w:tcPr>
          <w:p w:rsidR="00381649" w:rsidRPr="002A11E0" w:rsidRDefault="00381649" w:rsidP="00381649">
            <w:pPr>
              <w:jc w:val="center"/>
              <w:cnfStyle w:val="000000000000"/>
              <w:rPr>
                <w:rFonts w:ascii="Calibri" w:hAnsi="Calibri" w:cs="Calibri"/>
                <w:bCs/>
                <w:color w:val="000000"/>
                <w:szCs w:val="20"/>
                <w:highlight w:val="yellow"/>
              </w:rPr>
            </w:pPr>
            <w:r>
              <w:rPr>
                <w:rFonts w:ascii="Calibri" w:hAnsi="Calibri" w:cs="Calibri"/>
                <w:bCs/>
                <w:color w:val="000000"/>
                <w:szCs w:val="20"/>
                <w:highlight w:val="yellow"/>
              </w:rPr>
              <w:t>44</w:t>
            </w:r>
          </w:p>
        </w:tc>
      </w:tr>
      <w:tr w:rsidR="00381649" w:rsidRPr="00102B2E" w:rsidTr="00DF7782">
        <w:trPr>
          <w:trHeight w:val="252"/>
        </w:trPr>
        <w:tc>
          <w:tcPr>
            <w:cnfStyle w:val="001000000000"/>
            <w:tcW w:w="5240" w:type="dxa"/>
            <w:noWrap/>
          </w:tcPr>
          <w:p w:rsidR="00381649" w:rsidRPr="0026224A" w:rsidRDefault="00381649" w:rsidP="00B43574">
            <w:pPr>
              <w:rPr>
                <w:rFonts w:ascii="Calibri" w:hAnsi="Calibri" w:cs="Calibri"/>
                <w:b w:val="0"/>
                <w:color w:val="000000"/>
                <w:szCs w:val="20"/>
              </w:rPr>
            </w:pPr>
            <w:r w:rsidRPr="0026224A">
              <w:rPr>
                <w:rFonts w:ascii="Calibri" w:hAnsi="Calibri" w:cs="Calibri"/>
                <w:b w:val="0"/>
                <w:color w:val="000000"/>
                <w:szCs w:val="20"/>
              </w:rPr>
              <w:t xml:space="preserve">Typ 2 </w:t>
            </w:r>
            <w:r w:rsidRPr="0026224A">
              <w:rPr>
                <w:rFonts w:ascii="Calibri" w:hAnsi="Calibri" w:cs="Calibri"/>
                <w:b w:val="0"/>
                <w:color w:val="FF0000"/>
                <w:szCs w:val="20"/>
              </w:rPr>
              <w:t>(</w:t>
            </w:r>
            <w:r>
              <w:rPr>
                <w:rFonts w:ascii="Calibri" w:hAnsi="Calibri" w:cs="Calibri"/>
                <w:b w:val="0"/>
                <w:color w:val="FF0000"/>
                <w:szCs w:val="20"/>
              </w:rPr>
              <w:t>volumetrická pumpa</w:t>
            </w:r>
            <w:r w:rsidRPr="0026224A">
              <w:rPr>
                <w:rFonts w:ascii="Calibri" w:hAnsi="Calibri" w:cs="Calibri"/>
                <w:b w:val="0"/>
                <w:color w:val="FF0000"/>
                <w:szCs w:val="20"/>
              </w:rPr>
              <w:t>)</w:t>
            </w:r>
            <w:r>
              <w:rPr>
                <w:rFonts w:ascii="Calibri" w:hAnsi="Calibri" w:cs="Calibri"/>
                <w:b w:val="0"/>
                <w:color w:val="FF0000"/>
                <w:szCs w:val="20"/>
              </w:rPr>
              <w:t xml:space="preserve"> </w:t>
            </w:r>
          </w:p>
        </w:tc>
        <w:tc>
          <w:tcPr>
            <w:tcW w:w="3816" w:type="dxa"/>
            <w:noWrap/>
          </w:tcPr>
          <w:p w:rsidR="00381649" w:rsidRPr="002A11E0" w:rsidRDefault="00381649" w:rsidP="00381649">
            <w:pPr>
              <w:jc w:val="center"/>
              <w:cnfStyle w:val="000000000000"/>
              <w:rPr>
                <w:rFonts w:ascii="Calibri" w:hAnsi="Calibri" w:cs="Calibri"/>
                <w:bCs/>
                <w:color w:val="000000"/>
                <w:szCs w:val="20"/>
                <w:highlight w:val="yellow"/>
              </w:rPr>
            </w:pPr>
            <w:r>
              <w:rPr>
                <w:rFonts w:ascii="Calibri" w:hAnsi="Calibri" w:cs="Calibri"/>
                <w:bCs/>
                <w:color w:val="000000"/>
                <w:szCs w:val="20"/>
                <w:highlight w:val="yellow"/>
              </w:rPr>
              <w:t>33</w:t>
            </w:r>
          </w:p>
        </w:tc>
      </w:tr>
      <w:tr w:rsidR="00381649" w:rsidRPr="00102B2E" w:rsidTr="00DF7782">
        <w:trPr>
          <w:trHeight w:val="252"/>
        </w:trPr>
        <w:tc>
          <w:tcPr>
            <w:cnfStyle w:val="001000000000"/>
            <w:tcW w:w="5240" w:type="dxa"/>
            <w:noWrap/>
          </w:tcPr>
          <w:p w:rsidR="00381649" w:rsidRPr="0026224A" w:rsidRDefault="00381649" w:rsidP="00B43574">
            <w:pPr>
              <w:rPr>
                <w:rFonts w:ascii="Calibri" w:hAnsi="Calibri" w:cs="Calibri"/>
                <w:b w:val="0"/>
                <w:color w:val="00000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dokovacia stanica</w:t>
            </w:r>
            <w:r w:rsidRPr="0026224A">
              <w:rPr>
                <w:rFonts w:ascii="Calibri" w:hAnsi="Calibri" w:cs="Calibri"/>
                <w:b w:val="0"/>
                <w:color w:val="FF0000"/>
                <w:szCs w:val="20"/>
              </w:rPr>
              <w:t>)</w:t>
            </w:r>
            <w:r>
              <w:rPr>
                <w:rFonts w:ascii="Calibri" w:hAnsi="Calibri" w:cs="Calibri"/>
                <w:b w:val="0"/>
                <w:color w:val="FF0000"/>
                <w:szCs w:val="20"/>
              </w:rPr>
              <w:t xml:space="preserve"> </w:t>
            </w:r>
            <w:r>
              <w:rPr>
                <w:rFonts w:ascii="Calibri" w:hAnsi="Calibri" w:cs="Calibri"/>
                <w:b w:val="0"/>
                <w:szCs w:val="20"/>
              </w:rPr>
              <w:t xml:space="preserve"> </w:t>
            </w:r>
          </w:p>
        </w:tc>
        <w:tc>
          <w:tcPr>
            <w:tcW w:w="3816" w:type="dxa"/>
            <w:noWrap/>
          </w:tcPr>
          <w:p w:rsidR="00381649" w:rsidRPr="002A11E0" w:rsidRDefault="00381649" w:rsidP="00381649">
            <w:pPr>
              <w:jc w:val="center"/>
              <w:cnfStyle w:val="000000000000"/>
              <w:rPr>
                <w:rFonts w:ascii="Calibri" w:hAnsi="Calibri" w:cs="Calibri"/>
                <w:color w:val="000000"/>
                <w:szCs w:val="20"/>
                <w:highlight w:val="yellow"/>
              </w:rPr>
            </w:pPr>
            <w:r>
              <w:rPr>
                <w:rFonts w:ascii="Calibri" w:hAnsi="Calibri" w:cs="Calibri"/>
                <w:color w:val="000000"/>
                <w:szCs w:val="20"/>
                <w:highlight w:val="yellow"/>
              </w:rPr>
              <w:t>4</w:t>
            </w:r>
          </w:p>
        </w:tc>
      </w:tr>
      <w:tr w:rsidR="00381649" w:rsidRPr="00102B2E" w:rsidTr="00DF7782">
        <w:trPr>
          <w:trHeight w:val="252"/>
        </w:trPr>
        <w:tc>
          <w:tcPr>
            <w:cnfStyle w:val="001000000000"/>
            <w:tcW w:w="5240" w:type="dxa"/>
            <w:noWrap/>
          </w:tcPr>
          <w:p w:rsidR="00381649" w:rsidRPr="001F0387" w:rsidRDefault="00381649" w:rsidP="00381649">
            <w:pPr>
              <w:rPr>
                <w:rFonts w:ascii="Calibri" w:hAnsi="Calibri" w:cs="Calibri"/>
                <w:color w:val="000000"/>
                <w:szCs w:val="20"/>
              </w:rPr>
            </w:pPr>
          </w:p>
        </w:tc>
        <w:tc>
          <w:tcPr>
            <w:tcW w:w="3816" w:type="dxa"/>
            <w:noWrap/>
          </w:tcPr>
          <w:p w:rsidR="00381649" w:rsidRPr="00E03E79" w:rsidRDefault="00381649" w:rsidP="00381649">
            <w:pPr>
              <w:jc w:val="center"/>
              <w:cnfStyle w:val="000000000000"/>
              <w:rPr>
                <w:rFonts w:ascii="Calibri" w:hAnsi="Calibri" w:cs="Calibri"/>
                <w:bCs/>
                <w:color w:val="000000"/>
                <w:szCs w:val="20"/>
              </w:rPr>
            </w:pPr>
          </w:p>
        </w:tc>
      </w:tr>
      <w:tr w:rsidR="00381649" w:rsidRPr="00102B2E" w:rsidTr="00DF7782">
        <w:trPr>
          <w:trHeight w:val="252"/>
        </w:trPr>
        <w:tc>
          <w:tcPr>
            <w:cnfStyle w:val="001000000000"/>
            <w:tcW w:w="5240" w:type="dxa"/>
            <w:noWrap/>
          </w:tcPr>
          <w:p w:rsidR="00381649" w:rsidRPr="0026224A" w:rsidRDefault="00381649" w:rsidP="00381649">
            <w:pPr>
              <w:rPr>
                <w:rFonts w:ascii="Calibri" w:hAnsi="Calibri" w:cs="Calibri"/>
                <w:color w:val="000000"/>
                <w:szCs w:val="20"/>
              </w:rPr>
            </w:pPr>
          </w:p>
        </w:tc>
        <w:tc>
          <w:tcPr>
            <w:tcW w:w="3816" w:type="dxa"/>
            <w:noWrap/>
          </w:tcPr>
          <w:p w:rsidR="00381649" w:rsidRPr="00E03E79" w:rsidRDefault="00381649" w:rsidP="00381649">
            <w:pPr>
              <w:jc w:val="center"/>
              <w:cnfStyle w:val="000000000000"/>
              <w:rPr>
                <w:rFonts w:ascii="Calibri" w:hAnsi="Calibri" w:cs="Calibri"/>
                <w:color w:val="000000"/>
                <w:szCs w:val="20"/>
              </w:rPr>
            </w:pPr>
          </w:p>
        </w:tc>
      </w:tr>
      <w:tr w:rsidR="00381649" w:rsidRPr="00102B2E" w:rsidTr="00DF7782">
        <w:trPr>
          <w:trHeight w:val="252"/>
        </w:trPr>
        <w:tc>
          <w:tcPr>
            <w:cnfStyle w:val="001000000000"/>
            <w:tcW w:w="5240" w:type="dxa"/>
            <w:noWrap/>
          </w:tcPr>
          <w:p w:rsidR="00381649" w:rsidRPr="0026224A" w:rsidRDefault="00381649" w:rsidP="00381649">
            <w:pPr>
              <w:rPr>
                <w:rFonts w:ascii="Calibri" w:hAnsi="Calibri" w:cs="Calibri"/>
                <w:color w:val="000000"/>
                <w:szCs w:val="20"/>
              </w:rPr>
            </w:pPr>
          </w:p>
        </w:tc>
        <w:tc>
          <w:tcPr>
            <w:tcW w:w="3816" w:type="dxa"/>
            <w:noWrap/>
          </w:tcPr>
          <w:p w:rsidR="00381649" w:rsidRPr="00E03E79" w:rsidRDefault="00381649" w:rsidP="00381649">
            <w:pPr>
              <w:jc w:val="center"/>
              <w:cnfStyle w:val="000000000000"/>
              <w:rPr>
                <w:rFonts w:ascii="Calibri" w:hAnsi="Calibri" w:cs="Calibri"/>
                <w:color w:val="000000"/>
                <w:szCs w:val="20"/>
              </w:rPr>
            </w:pPr>
          </w:p>
        </w:tc>
      </w:tr>
      <w:tr w:rsidR="00381649" w:rsidRPr="00102B2E" w:rsidTr="00DF7782">
        <w:trPr>
          <w:trHeight w:val="252"/>
        </w:trPr>
        <w:tc>
          <w:tcPr>
            <w:cnfStyle w:val="001000000000"/>
            <w:tcW w:w="5240" w:type="dxa"/>
            <w:noWrap/>
          </w:tcPr>
          <w:p w:rsidR="00381649" w:rsidRPr="0026224A" w:rsidRDefault="00381649" w:rsidP="00381649">
            <w:pPr>
              <w:rPr>
                <w:rFonts w:ascii="Calibri" w:hAnsi="Calibri" w:cs="Calibri"/>
                <w:color w:val="000000"/>
                <w:szCs w:val="20"/>
              </w:rPr>
            </w:pPr>
          </w:p>
        </w:tc>
        <w:tc>
          <w:tcPr>
            <w:tcW w:w="3816" w:type="dxa"/>
            <w:noWrap/>
          </w:tcPr>
          <w:p w:rsidR="00381649" w:rsidRPr="00E03E79" w:rsidRDefault="00381649" w:rsidP="00381649">
            <w:pPr>
              <w:jc w:val="center"/>
              <w:cnfStyle w:val="000000000000"/>
              <w:rPr>
                <w:rFonts w:ascii="Calibri" w:hAnsi="Calibri" w:cs="Calibri"/>
                <w:color w:val="000000"/>
                <w:szCs w:val="20"/>
              </w:rPr>
            </w:pPr>
          </w:p>
        </w:tc>
      </w:tr>
      <w:tr w:rsidR="00381649" w:rsidRPr="00102B2E" w:rsidTr="00DF7782">
        <w:trPr>
          <w:trHeight w:val="252"/>
        </w:trPr>
        <w:tc>
          <w:tcPr>
            <w:cnfStyle w:val="001000000000"/>
            <w:tcW w:w="5240" w:type="dxa"/>
            <w:noWrap/>
          </w:tcPr>
          <w:p w:rsidR="00381649" w:rsidRPr="0026224A" w:rsidRDefault="00381649" w:rsidP="00381649">
            <w:pPr>
              <w:rPr>
                <w:rFonts w:ascii="Calibri" w:hAnsi="Calibri" w:cs="Calibri"/>
                <w:color w:val="000000"/>
                <w:szCs w:val="20"/>
              </w:rPr>
            </w:pPr>
          </w:p>
        </w:tc>
        <w:tc>
          <w:tcPr>
            <w:tcW w:w="3816" w:type="dxa"/>
            <w:noWrap/>
          </w:tcPr>
          <w:p w:rsidR="00381649" w:rsidRPr="005447AF" w:rsidRDefault="00381649" w:rsidP="00381649">
            <w:pPr>
              <w:jc w:val="center"/>
              <w:cnfStyle w:val="000000000000"/>
              <w:rPr>
                <w:rFonts w:ascii="Calibri" w:hAnsi="Calibri" w:cs="Calibri"/>
                <w:color w:val="000000"/>
              </w:rPr>
            </w:pPr>
          </w:p>
        </w:tc>
      </w:tr>
      <w:tr w:rsidR="00381649" w:rsidRPr="00102B2E" w:rsidTr="00DF7782">
        <w:trPr>
          <w:trHeight w:val="252"/>
        </w:trPr>
        <w:tc>
          <w:tcPr>
            <w:cnfStyle w:val="001000000000"/>
            <w:tcW w:w="5240" w:type="dxa"/>
            <w:noWrap/>
          </w:tcPr>
          <w:p w:rsidR="00381649" w:rsidRPr="001F0387" w:rsidRDefault="00381649" w:rsidP="00381649">
            <w:pPr>
              <w:rPr>
                <w:rFonts w:ascii="Calibri" w:hAnsi="Calibri" w:cs="Calibri"/>
                <w:color w:val="000000"/>
                <w:szCs w:val="20"/>
              </w:rPr>
            </w:pPr>
          </w:p>
        </w:tc>
        <w:tc>
          <w:tcPr>
            <w:tcW w:w="3816" w:type="dxa"/>
            <w:noWrap/>
          </w:tcPr>
          <w:p w:rsidR="00381649" w:rsidRPr="005447AF" w:rsidRDefault="00381649" w:rsidP="00381649">
            <w:pPr>
              <w:jc w:val="center"/>
              <w:cnfStyle w:val="000000000000"/>
              <w:rPr>
                <w:rFonts w:ascii="Calibri" w:hAnsi="Calibri" w:cs="Calibri"/>
                <w:color w:val="000000"/>
              </w:rPr>
            </w:pP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DF7782" w:rsidRDefault="00DF7782">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D74738" w:rsidP="008353DB">
      <w:pPr>
        <w:pStyle w:val="Odsekzoznamu"/>
        <w:ind w:left="1004"/>
        <w:jc w:val="both"/>
        <w:rPr>
          <w:rFonts w:ascii="Garamond" w:hAnsi="Garamond"/>
          <w:szCs w:val="22"/>
        </w:rPr>
      </w:pPr>
      <w:r>
        <w:rPr>
          <w:rFonts w:ascii="Garamond" w:hAnsi="Garamond"/>
          <w:szCs w:val="22"/>
        </w:rPr>
        <w:t>2</w:t>
      </w:r>
      <w:r w:rsidR="005F748C">
        <w:rPr>
          <w:rFonts w:ascii="Garamond" w:hAnsi="Garamond"/>
          <w:szCs w:val="22"/>
        </w:rPr>
        <w:t>0</w:t>
      </w:r>
      <w:r w:rsidR="008353DB" w:rsidRPr="007866AA">
        <w:rPr>
          <w:rFonts w:ascii="Garamond" w:hAnsi="Garamond"/>
          <w:szCs w:val="22"/>
        </w:rPr>
        <w:t xml:space="preserve">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5F748C" w:rsidP="008353DB">
      <w:pPr>
        <w:pStyle w:val="Odsekzoznamu"/>
        <w:ind w:left="1004"/>
        <w:jc w:val="both"/>
        <w:rPr>
          <w:rFonts w:ascii="Garamond" w:hAnsi="Garamond"/>
          <w:szCs w:val="22"/>
        </w:rPr>
      </w:pPr>
      <w:r>
        <w:rPr>
          <w:rFonts w:ascii="Garamond" w:hAnsi="Garamond"/>
          <w:szCs w:val="22"/>
        </w:rPr>
        <w:t>20</w:t>
      </w:r>
      <w:r w:rsidR="008353DB" w:rsidRPr="007866AA">
        <w:rPr>
          <w:rFonts w:ascii="Garamond" w:hAnsi="Garamond"/>
          <w:szCs w:val="22"/>
        </w:rPr>
        <w:t xml:space="preserve">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D74738" w:rsidP="008353DB">
      <w:pPr>
        <w:pStyle w:val="Odsekzoznamu"/>
        <w:ind w:left="1004"/>
        <w:jc w:val="both"/>
        <w:rPr>
          <w:rFonts w:ascii="Garamond" w:hAnsi="Garamond"/>
          <w:szCs w:val="22"/>
        </w:rPr>
      </w:pPr>
      <w:r>
        <w:rPr>
          <w:rFonts w:ascii="Garamond" w:hAnsi="Garamond"/>
          <w:szCs w:val="22"/>
        </w:rPr>
        <w:t>2</w:t>
      </w:r>
      <w:r w:rsidR="005F748C">
        <w:rPr>
          <w:rFonts w:ascii="Garamond" w:hAnsi="Garamond"/>
          <w:szCs w:val="22"/>
        </w:rPr>
        <w:t>0</w:t>
      </w:r>
      <w:bookmarkStart w:id="6" w:name="_GoBack"/>
      <w:bookmarkEnd w:id="6"/>
      <w:r w:rsidR="008353DB" w:rsidRPr="007866AA">
        <w:rPr>
          <w:rFonts w:ascii="Garamond" w:hAnsi="Garamond"/>
          <w:szCs w:val="22"/>
        </w:rPr>
        <w:t xml:space="preserve">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14638D">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AD2" w:rsidRDefault="00470AD2" w:rsidP="00C109F7">
      <w:r>
        <w:separator/>
      </w:r>
    </w:p>
  </w:endnote>
  <w:endnote w:type="continuationSeparator" w:id="0">
    <w:p w:rsidR="00470AD2" w:rsidRDefault="00470AD2"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BC07FC">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B43574">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AD2" w:rsidRDefault="00470AD2" w:rsidP="00C109F7">
      <w:r>
        <w:separator/>
      </w:r>
    </w:p>
  </w:footnote>
  <w:footnote w:type="continuationSeparator" w:id="0">
    <w:p w:rsidR="00470AD2" w:rsidRDefault="00470AD2"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638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1649"/>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0AD2"/>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5F748C"/>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4DB"/>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01E9"/>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3574"/>
    <w:rsid w:val="00B4735F"/>
    <w:rsid w:val="00B601C8"/>
    <w:rsid w:val="00B60906"/>
    <w:rsid w:val="00B65793"/>
    <w:rsid w:val="00B6693B"/>
    <w:rsid w:val="00BC07FC"/>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74738"/>
    <w:rsid w:val="00D87293"/>
    <w:rsid w:val="00D903AD"/>
    <w:rsid w:val="00DA292F"/>
    <w:rsid w:val="00DA59F7"/>
    <w:rsid w:val="00DA5A51"/>
    <w:rsid w:val="00DC06D8"/>
    <w:rsid w:val="00DF18EB"/>
    <w:rsid w:val="00DF733B"/>
    <w:rsid w:val="00DF7782"/>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EE5C1B"/>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Outline List 2"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DF778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85DB-5119-451E-BC66-6A27BDB5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6509</Words>
  <Characters>37103</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lbobrova</cp:lastModifiedBy>
  <cp:revision>2</cp:revision>
  <cp:lastPrinted>2018-02-16T11:26:00Z</cp:lastPrinted>
  <dcterms:created xsi:type="dcterms:W3CDTF">2019-04-24T06:57:00Z</dcterms:created>
  <dcterms:modified xsi:type="dcterms:W3CDTF">2019-04-24T06:57:00Z</dcterms:modified>
</cp:coreProperties>
</file>