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608955D9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D43396">
        <w:rPr>
          <w:rFonts w:ascii="Times New Roman" w:hAnsi="Times New Roman"/>
          <w:b/>
          <w:sz w:val="36"/>
          <w:szCs w:val="36"/>
        </w:rPr>
        <w:t xml:space="preserve">licencií a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4795DACE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5BC82430" w:rsidR="001D3D93" w:rsidRPr="006E3BAE" w:rsidRDefault="00F8685A" w:rsidP="00D43396">
      <w:pPr>
        <w:numPr>
          <w:ilvl w:val="0"/>
          <w:numId w:val="1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D43396" w:rsidRPr="00D43396">
        <w:rPr>
          <w:rFonts w:ascii="Times New Roman" w:hAnsi="Times New Roman"/>
          <w:bCs/>
          <w:i/>
          <w:noProof/>
          <w:sz w:val="24"/>
          <w:szCs w:val="24"/>
        </w:rPr>
        <w:t>Nákup licencií a podpora licencií na zabezpečenie prevádzky Národnéh</w:t>
      </w:r>
      <w:r w:rsidR="00D43396">
        <w:rPr>
          <w:rFonts w:ascii="Times New Roman" w:hAnsi="Times New Roman"/>
          <w:bCs/>
          <w:i/>
          <w:noProof/>
          <w:sz w:val="24"/>
          <w:szCs w:val="24"/>
        </w:rPr>
        <w:t>o vízového informačného systému</w:t>
      </w:r>
      <w:r w:rsidR="00D43396" w:rsidRPr="00D43396">
        <w:rPr>
          <w:rFonts w:ascii="Times New Roman" w:hAnsi="Times New Roman"/>
          <w:bCs/>
          <w:i/>
          <w:noProof/>
          <w:sz w:val="24"/>
          <w:szCs w:val="24"/>
        </w:rPr>
        <w:t>“</w:t>
      </w:r>
      <w:r w:rsidR="00D4339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D43396">
        <w:rPr>
          <w:rFonts w:ascii="Times New Roman" w:hAnsi="Times New Roman"/>
          <w:bCs/>
          <w:i/>
          <w:noProof/>
          <w:sz w:val="24"/>
          <w:szCs w:val="24"/>
        </w:rPr>
        <w:t>8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075A4BB1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000EEB">
        <w:rPr>
          <w:rFonts w:ascii="Times New Roman" w:hAnsi="Times New Roman"/>
          <w:sz w:val="24"/>
          <w:szCs w:val="24"/>
        </w:rPr>
        <w:t>sú licencie a</w:t>
      </w:r>
      <w:r w:rsidR="00CF4AEE" w:rsidRPr="004259F3">
        <w:rPr>
          <w:rFonts w:ascii="Times New Roman" w:hAnsi="Times New Roman"/>
          <w:sz w:val="24"/>
          <w:szCs w:val="24"/>
        </w:rPr>
        <w:t xml:space="preserve">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zabezpečenie </w:t>
      </w:r>
      <w:r w:rsidR="004675BB">
        <w:rPr>
          <w:rFonts w:ascii="Times New Roman" w:hAnsi="Times New Roman"/>
          <w:bCs/>
          <w:sz w:val="24"/>
          <w:szCs w:val="24"/>
        </w:rPr>
        <w:t xml:space="preserve">prevádzky </w:t>
      </w:r>
      <w:r w:rsidR="00000EEB" w:rsidRPr="00000EEB">
        <w:rPr>
          <w:rFonts w:ascii="Times New Roman" w:hAnsi="Times New Roman"/>
          <w:bCs/>
          <w:sz w:val="24"/>
          <w:szCs w:val="24"/>
        </w:rPr>
        <w:t>Národného vízového informačného systému</w:t>
      </w:r>
      <w:r w:rsidR="00000EEB">
        <w:rPr>
          <w:rFonts w:ascii="Times New Roman" w:hAnsi="Times New Roman"/>
          <w:bCs/>
          <w:sz w:val="24"/>
          <w:szCs w:val="24"/>
        </w:rPr>
        <w:t>,</w:t>
      </w:r>
      <w:r w:rsidR="00D111C1" w:rsidRPr="004259F3">
        <w:rPr>
          <w:rFonts w:ascii="Times New Roman" w:hAnsi="Times New Roman"/>
          <w:sz w:val="24"/>
          <w:szCs w:val="24"/>
        </w:rPr>
        <w:t xml:space="preserve"> </w:t>
      </w:r>
      <w:r w:rsidR="00232B92" w:rsidRPr="00232B92">
        <w:rPr>
          <w:rFonts w:ascii="Times New Roman" w:hAnsi="Times New Roman"/>
          <w:sz w:val="24"/>
          <w:szCs w:val="24"/>
        </w:rPr>
        <w:t>vrátane inštalácie a</w:t>
      </w:r>
      <w:r w:rsidR="00232B92">
        <w:rPr>
          <w:rFonts w:ascii="Times New Roman" w:hAnsi="Times New Roman"/>
          <w:sz w:val="24"/>
          <w:szCs w:val="24"/>
        </w:rPr>
        <w:t> </w:t>
      </w:r>
      <w:r w:rsidR="00232B92" w:rsidRPr="00232B92">
        <w:rPr>
          <w:rFonts w:ascii="Times New Roman" w:hAnsi="Times New Roman"/>
          <w:sz w:val="24"/>
          <w:szCs w:val="24"/>
        </w:rPr>
        <w:t>konfigurácie</w:t>
      </w:r>
      <w:r w:rsidR="00232B92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000EEB">
        <w:rPr>
          <w:rFonts w:ascii="Times New Roman" w:hAnsi="Times New Roman"/>
          <w:sz w:val="24"/>
          <w:szCs w:val="24"/>
        </w:rPr>
        <w:t>ako je uvedené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14234525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 xml:space="preserve">do </w:t>
      </w:r>
      <w:r w:rsidR="005176DF">
        <w:rPr>
          <w:rFonts w:ascii="Times New Roman" w:hAnsi="Times New Roman"/>
          <w:sz w:val="24"/>
          <w:szCs w:val="24"/>
        </w:rPr>
        <w:t>30</w:t>
      </w:r>
      <w:r w:rsidR="00DB3E4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3827"/>
        <w:gridCol w:w="1554"/>
        <w:gridCol w:w="2268"/>
        <w:gridCol w:w="1842"/>
        <w:gridCol w:w="2127"/>
      </w:tblGrid>
      <w:tr w:rsidR="000470C7" w:rsidRPr="00F93997" w14:paraId="0D895B96" w14:textId="77777777" w:rsidTr="000470C7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0470C7" w:rsidRPr="00F93997" w:rsidRDefault="000470C7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0470C7" w:rsidRPr="00F93997" w:rsidRDefault="000470C7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0A403397" w:rsidR="000470C7" w:rsidRPr="00F93997" w:rsidRDefault="000470C7" w:rsidP="00A4539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licencií /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4119646E" w:rsidR="000470C7" w:rsidRPr="00F93997" w:rsidRDefault="000470C7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 </w:t>
            </w:r>
            <w:r w:rsidR="00CF788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resp.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0470C7" w:rsidRPr="00F93997" w:rsidRDefault="000470C7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57F49FAA" w:rsidR="000470C7" w:rsidRPr="00F93997" w:rsidRDefault="000470C7" w:rsidP="00A45394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 </w:t>
            </w:r>
            <w:r w:rsidR="00CF788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resp.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licencií,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0470C7" w:rsidRPr="00F93997" w14:paraId="2BDBD150" w14:textId="77777777" w:rsidTr="000470C7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4A95" w14:textId="5FC282B0" w:rsidR="00A45394" w:rsidRPr="00A45394" w:rsidRDefault="00E65A0E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E65A0E">
              <w:rPr>
                <w:rFonts w:ascii="Times New Roman" w:eastAsiaTheme="minorHAnsi" w:hAnsi="Times New Roman"/>
                <w:color w:val="000000"/>
              </w:rPr>
              <w:t>Authority</w:t>
            </w:r>
            <w:proofErr w:type="spellEnd"/>
            <w:r w:rsidRPr="00E65A0E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65A0E">
              <w:rPr>
                <w:rFonts w:ascii="Times New Roman" w:eastAsiaTheme="minorHAnsi" w:hAnsi="Times New Roman"/>
                <w:color w:val="000000"/>
              </w:rPr>
              <w:t>Document</w:t>
            </w:r>
            <w:proofErr w:type="spellEnd"/>
            <w:r w:rsidRPr="00E65A0E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E65A0E">
              <w:rPr>
                <w:rFonts w:ascii="Times New Roman" w:eastAsiaTheme="minorHAnsi" w:hAnsi="Times New Roman"/>
                <w:color w:val="000000"/>
              </w:rPr>
              <w:t>Signing</w:t>
            </w:r>
            <w:proofErr w:type="spellEnd"/>
            <w:r w:rsidRPr="00E65A0E">
              <w:rPr>
                <w:rFonts w:ascii="Times New Roman" w:eastAsiaTheme="minorHAnsi" w:hAnsi="Times New Roman"/>
                <w:color w:val="000000"/>
              </w:rPr>
              <w:t xml:space="preserve"> Service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- </w:t>
            </w:r>
            <w:r w:rsidR="00A45394" w:rsidRPr="00A45394">
              <w:rPr>
                <w:rFonts w:ascii="Times New Roman" w:eastAsiaTheme="minorHAnsi" w:hAnsi="Times New Roman"/>
                <w:color w:val="000000"/>
              </w:rPr>
              <w:t xml:space="preserve">Služba </w:t>
            </w:r>
            <w:r w:rsidR="00A45394" w:rsidRPr="003C7C73">
              <w:rPr>
                <w:rFonts w:ascii="Times New Roman" w:eastAsiaTheme="minorHAnsi" w:hAnsi="Times New Roman"/>
                <w:color w:val="000000"/>
              </w:rPr>
              <w:t>má byť komponentom</w:t>
            </w:r>
            <w:r w:rsidR="00A45394"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="00A45394" w:rsidRPr="00A45394">
              <w:rPr>
                <w:rFonts w:ascii="Times New Roman" w:eastAsiaTheme="minorHAnsi" w:hAnsi="Times New Roman"/>
                <w:color w:val="000000"/>
              </w:rPr>
              <w:t>Document</w:t>
            </w:r>
            <w:proofErr w:type="spellEnd"/>
            <w:r w:rsidR="00A45394"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="00A45394" w:rsidRPr="00A45394">
              <w:rPr>
                <w:rFonts w:ascii="Times New Roman" w:eastAsiaTheme="minorHAnsi" w:hAnsi="Times New Roman"/>
                <w:color w:val="000000"/>
              </w:rPr>
              <w:t>Signer</w:t>
            </w:r>
            <w:proofErr w:type="spellEnd"/>
            <w:r w:rsidR="00A45394" w:rsidRPr="00A45394">
              <w:rPr>
                <w:rFonts w:ascii="Times New Roman" w:eastAsiaTheme="minorHAnsi" w:hAnsi="Times New Roman"/>
                <w:color w:val="000000"/>
              </w:rPr>
              <w:t xml:space="preserve"> v systéme BAC. Služba ma integrovať niekoľko hlavných služieb:</w:t>
            </w:r>
          </w:p>
          <w:p w14:paraId="0EC234C3" w14:textId="77777777" w:rsidR="00A45394" w:rsidRPr="00A45394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color w:val="000000"/>
              </w:rPr>
              <w:t>• Verifikačný server</w:t>
            </w:r>
          </w:p>
          <w:p w14:paraId="4B6ECF6B" w14:textId="77777777" w:rsidR="00A45394" w:rsidRPr="00A45394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color w:val="000000"/>
              </w:rPr>
              <w:t xml:space="preserve">Verifikačný server poskytuje služby digitálneho podpisu. Pokiaľ ide o riešenie BAC, Verifikačný server overuje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Logical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Data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Structure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Object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(SOLDS) obsiahnutý v MRTD poskytnutím digitálneho podpisu pomocou poverení vydaných CSCA. Digitálny podpis poskytuje dôkaz, že MRTD bolo vydané autorizovaným systémom vydávania MRTD a že MRTD nebolo žiadnym spôsobom zmenené. Podpísané SOLDS sa označujú ako objekt zabezpečenia dokumentov (SOD). Po digitálnom podpise SOLDS, Verifikačný server vráti SOD službe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Signature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Delivery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Service, ktorá ho potom vráti do systému vydávania MRTD na umiestnenie do objektu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Elementary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File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Document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Object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. </w:t>
            </w:r>
          </w:p>
          <w:p w14:paraId="751806A6" w14:textId="77777777" w:rsidR="00A45394" w:rsidRPr="00A45394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color w:val="000000"/>
              </w:rPr>
              <w:t xml:space="preserve">Poznámka: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Verification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Server obsahuje ďalšie služby, ktoré riešenie CSCA nepoužíva. </w:t>
            </w:r>
          </w:p>
          <w:p w14:paraId="35C3F2C9" w14:textId="77777777" w:rsidR="00A45394" w:rsidRPr="00A45394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color w:val="000000"/>
              </w:rPr>
              <w:t>• Podpisová doručovacia služba</w:t>
            </w:r>
          </w:p>
          <w:p w14:paraId="3945D2D3" w14:textId="77777777" w:rsidR="00A45394" w:rsidRPr="00A45394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color w:val="000000"/>
              </w:rPr>
              <w:t xml:space="preserve">Služba doručovania podpisov prijíma požiadavky na digitálne podpisy zo systému vydávania MRTD. Rozhranie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Signature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Delivery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Service spracováva a overuje údaje v každej požiadavke. Okrem informácií o verzii a štruktúre obsahuje požiadavka objekt zabezpečenia logickej štruktúry údajov (SOLDS), ktorý sa má digitálne podpísať. Služba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Signature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lastRenderedPageBreak/>
              <w:t>Delivery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Service naformátuje a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hashuje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údaje SOLDS a odošle ich na overovací server na podpísanie. Podpísané SOLDS sa označujú ako objekt zabezpečenia dokumentov (SOD). Po podpísaní overovacím serverom vráti služba doručovania podpisu SOD do systému vydávania MRTD v objekte zabezpečenia základných súborov. </w:t>
            </w:r>
          </w:p>
          <w:p w14:paraId="46B5BF45" w14:textId="77777777" w:rsidR="00A45394" w:rsidRPr="00A45394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color w:val="000000"/>
              </w:rPr>
              <w:t>• Vytváranie profilu</w:t>
            </w:r>
          </w:p>
          <w:p w14:paraId="45779302" w14:textId="77777777" w:rsidR="00A45394" w:rsidRPr="00A45394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color w:val="000000"/>
              </w:rPr>
              <w:t xml:space="preserve">Vytváranie profilu má umožniť vytvárať digitálne identifikátory vyžadované podpisovateľom dokumentov, keď máte online prístup (sieťové pripojenie) k aplikácii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Manager. Ak nemáte sieťové pripojenie k nástroju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Manager, na vytvorenie digitálnych identifikátorov musíte použiť službu na vytváranie tokenov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offline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. </w:t>
            </w:r>
          </w:p>
          <w:p w14:paraId="174F7E82" w14:textId="77777777" w:rsidR="00A45394" w:rsidRPr="00A45394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color w:val="000000"/>
              </w:rPr>
              <w:t xml:space="preserve">• Vytváranie tokenov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offline</w:t>
            </w:r>
            <w:proofErr w:type="spellEnd"/>
          </w:p>
          <w:p w14:paraId="2D228C55" w14:textId="77777777" w:rsidR="000470C7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color w:val="000000"/>
              </w:rPr>
              <w:t xml:space="preserve">Vytváranie tokenov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offline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umožňuje vytvoriť profil do súboru .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epf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na hardvérovom bezpečnostnom module (HSM), keď je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 xml:space="preserve"> Manager </w:t>
            </w:r>
            <w:proofErr w:type="spellStart"/>
            <w:r w:rsidRPr="00A45394">
              <w:rPr>
                <w:rFonts w:ascii="Times New Roman" w:eastAsiaTheme="minorHAnsi" w:hAnsi="Times New Roman"/>
                <w:color w:val="000000"/>
              </w:rPr>
              <w:t>offline</w:t>
            </w:r>
            <w:proofErr w:type="spellEnd"/>
            <w:r w:rsidRPr="00A45394">
              <w:rPr>
                <w:rFonts w:ascii="Times New Roman" w:eastAsiaTheme="minorHAnsi" w:hAnsi="Times New Roman"/>
                <w:color w:val="000000"/>
              </w:rPr>
              <w:t>. Profil musí spravovať kľúč a certifikát pre verifikačný server, ktorý sa používa na podpísanie objektu zabezpečenia logickej štruktúry údajov umiestneného v MRTD.</w:t>
            </w:r>
          </w:p>
          <w:p w14:paraId="5B44871B" w14:textId="083CC9F5" w:rsidR="00A45394" w:rsidRPr="001E6E64" w:rsidRDefault="00A45394" w:rsidP="00A4539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i/>
                <w:color w:val="FF0000"/>
              </w:rPr>
              <w:t>Pozn.: Konkrétny názov licencie bude doplnený podľa ponuky úspešného uchádzača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EACD" w14:textId="6445A079" w:rsidR="000470C7" w:rsidRPr="00A45394" w:rsidRDefault="00A45394" w:rsidP="00A45394">
            <w:pPr>
              <w:pStyle w:val="Odsekzoznamu"/>
              <w:spacing w:before="120" w:after="120" w:line="240" w:lineRule="auto"/>
              <w:ind w:left="62" w:firstLine="567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---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589C4B4E" w:rsidR="000470C7" w:rsidRPr="00F93997" w:rsidRDefault="00A45394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29D7B5EF" w14:textId="77777777" w:rsidTr="000470C7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9C6B" w14:textId="6D5002D5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FD04" w14:textId="77777777" w:rsidR="000470C7" w:rsidRDefault="00A45394" w:rsidP="00672F1D">
            <w:pPr>
              <w:spacing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A45394">
              <w:rPr>
                <w:rFonts w:ascii="Times New Roman" w:hAnsi="Times New Roman"/>
                <w:color w:val="000000"/>
                <w:lang w:eastAsia="sk-SK"/>
              </w:rPr>
              <w:t>Služba zabezpečujúca vysokú dostupnosť licencie.</w:t>
            </w:r>
          </w:p>
          <w:p w14:paraId="5FFB83D8" w14:textId="7BCF6BBB" w:rsidR="00A45394" w:rsidRPr="00FE2AFB" w:rsidRDefault="00A45394" w:rsidP="00672F1D">
            <w:pPr>
              <w:spacing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A45394">
              <w:rPr>
                <w:rFonts w:ascii="Times New Roman" w:eastAsiaTheme="minorHAnsi" w:hAnsi="Times New Roman"/>
                <w:i/>
                <w:color w:val="FF0000"/>
              </w:rPr>
              <w:t>Pozn.: Konkrétny názov licencie bude doplnený podľa ponuky úspešného uchádzača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E08A" w14:textId="3F79B7E3" w:rsidR="000470C7" w:rsidRPr="00F93997" w:rsidRDefault="00A45394" w:rsidP="00A45394">
            <w:pPr>
              <w:spacing w:before="120" w:after="120" w:line="240" w:lineRule="auto"/>
              <w:ind w:left="-80" w:firstLine="8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D9F" w14:textId="16E61AF1" w:rsidR="000470C7" w:rsidRPr="00F93997" w:rsidRDefault="00A45394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7C2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EDB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08EF7CA5" w14:textId="77777777" w:rsidTr="000470C7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4FC4" w14:textId="0491BEE2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C698" w14:textId="77777777" w:rsidR="000470C7" w:rsidRDefault="00A45394" w:rsidP="00672F1D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>Licencia pre vývojárske prostredie.</w:t>
            </w:r>
          </w:p>
          <w:p w14:paraId="55760D9C" w14:textId="587A57C4" w:rsidR="00A45394" w:rsidRPr="0096326E" w:rsidRDefault="00A45394" w:rsidP="00672F1D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  <w:i/>
                <w:color w:val="FF0000"/>
              </w:rPr>
              <w:t>Pozn.: Konkrétny názov licencie bude doplnený podľa ponuky úspešného uchádzača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4F9CE" w14:textId="4C61F4E1" w:rsidR="000470C7" w:rsidRPr="00F93997" w:rsidRDefault="00A45394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F66" w14:textId="75AAEBA5" w:rsidR="000470C7" w:rsidRPr="00F93997" w:rsidRDefault="000470C7" w:rsidP="00A4539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48B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A632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2DC5106D" w14:textId="77777777" w:rsidTr="000470C7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8C28" w14:textId="7908E7B5" w:rsidR="000470C7" w:rsidRDefault="000470C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4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5585" w14:textId="1ACF6ACB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>Podpora pr</w:t>
            </w:r>
            <w:r w:rsidR="004B16E2">
              <w:rPr>
                <w:rFonts w:ascii="Times New Roman" w:eastAsiaTheme="minorHAnsi" w:hAnsi="Times New Roman"/>
              </w:rPr>
              <w:t>e licencie zahŕňa</w:t>
            </w:r>
            <w:r w:rsidR="00CF7889">
              <w:rPr>
                <w:rFonts w:ascii="Times New Roman" w:eastAsiaTheme="minorHAnsi" w:hAnsi="Times New Roman"/>
              </w:rPr>
              <w:t xml:space="preserve"> podporu v</w:t>
            </w:r>
            <w:r w:rsidRPr="00A45394">
              <w:rPr>
                <w:rFonts w:ascii="Times New Roman" w:eastAsiaTheme="minorHAnsi" w:hAnsi="Times New Roman"/>
              </w:rPr>
              <w:t xml:space="preserve">šetkých troch licencií na dobu 36 mesiacov:                                                                            </w:t>
            </w:r>
          </w:p>
          <w:p w14:paraId="7567BC8F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>1. Upgrade a aktualizácie softvéru</w:t>
            </w:r>
          </w:p>
          <w:p w14:paraId="27B9B3B6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>sprístupnenie všetkých aktualizácií a vydanie všeobecne dostupného softvéru bez dodatočných nákladov.</w:t>
            </w:r>
          </w:p>
          <w:p w14:paraId="1A30070A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>2. Formy podpory</w:t>
            </w:r>
          </w:p>
          <w:p w14:paraId="3F8ACDC5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>a. Telefonická podpora:</w:t>
            </w:r>
          </w:p>
          <w:p w14:paraId="4B04CED0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 xml:space="preserve">špecialista podpory telefonicky poskytne technickú podporu a diagnostiku. </w:t>
            </w:r>
          </w:p>
          <w:p w14:paraId="127EF003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 xml:space="preserve">b. Podpora prostredníctvom stránok </w:t>
            </w:r>
            <w:proofErr w:type="spellStart"/>
            <w:r w:rsidRPr="00A45394">
              <w:rPr>
                <w:rFonts w:ascii="Times New Roman" w:eastAsiaTheme="minorHAnsi" w:hAnsi="Times New Roman"/>
              </w:rPr>
              <w:t>Extranet</w:t>
            </w:r>
            <w:proofErr w:type="spellEnd"/>
            <w:r w:rsidRPr="00A45394">
              <w:rPr>
                <w:rFonts w:ascii="Times New Roman" w:eastAsiaTheme="minorHAnsi" w:hAnsi="Times New Roman"/>
              </w:rPr>
              <w:t xml:space="preserve"> Web</w:t>
            </w:r>
          </w:p>
          <w:p w14:paraId="2ACA4C87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A45394">
              <w:rPr>
                <w:rFonts w:ascii="Times New Roman" w:eastAsiaTheme="minorHAnsi" w:hAnsi="Times New Roman"/>
              </w:rPr>
              <w:t>Extranetová</w:t>
            </w:r>
            <w:proofErr w:type="spellEnd"/>
            <w:r w:rsidRPr="00A45394">
              <w:rPr>
                <w:rFonts w:ascii="Times New Roman" w:eastAsiaTheme="minorHAnsi" w:hAnsi="Times New Roman"/>
              </w:rPr>
              <w:t xml:space="preserve"> podpora zahŕňa:</w:t>
            </w:r>
          </w:p>
          <w:p w14:paraId="2DE69BAE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>i. prístup k technickým informáciám a informáciám špecifickým pre produkt vrátane, ale nie výlučne:</w:t>
            </w:r>
          </w:p>
          <w:p w14:paraId="02EF2460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>- často kladené otázky;</w:t>
            </w:r>
          </w:p>
          <w:p w14:paraId="2B533943" w14:textId="77777777" w:rsidR="00A45394" w:rsidRP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 xml:space="preserve">- </w:t>
            </w:r>
            <w:proofErr w:type="spellStart"/>
            <w:r w:rsidRPr="00A45394">
              <w:rPr>
                <w:rFonts w:ascii="Times New Roman" w:eastAsiaTheme="minorHAnsi" w:hAnsi="Times New Roman"/>
              </w:rPr>
              <w:t>prehľadateľná</w:t>
            </w:r>
            <w:proofErr w:type="spellEnd"/>
            <w:r w:rsidRPr="00A45394">
              <w:rPr>
                <w:rFonts w:ascii="Times New Roman" w:eastAsiaTheme="minorHAnsi" w:hAnsi="Times New Roman"/>
              </w:rPr>
              <w:t xml:space="preserve"> vedomostná základňa, ktorá poskytuje možnosti vlastnej diagnostiky a riešenia.</w:t>
            </w:r>
          </w:p>
          <w:p w14:paraId="724468E8" w14:textId="77777777" w:rsidR="000470C7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A45394">
              <w:rPr>
                <w:rFonts w:ascii="Times New Roman" w:eastAsiaTheme="minorHAnsi" w:hAnsi="Times New Roman"/>
              </w:rPr>
              <w:t>ii.</w:t>
            </w:r>
            <w:proofErr w:type="spellEnd"/>
            <w:r w:rsidRPr="00A45394">
              <w:rPr>
                <w:rFonts w:ascii="Times New Roman" w:eastAsiaTheme="minorHAnsi" w:hAnsi="Times New Roman"/>
              </w:rPr>
              <w:t xml:space="preserve"> on-line vytváranie a aktualizácia požiadaviek na podporu.</w:t>
            </w:r>
          </w:p>
          <w:p w14:paraId="5D27B7C8" w14:textId="77777777" w:rsid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</w:p>
          <w:p w14:paraId="30D881D1" w14:textId="4AFD0669" w:rsid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  <w:i/>
                <w:color w:val="FF0000"/>
              </w:rPr>
              <w:t xml:space="preserve">Pozn.: Konkrétny názov </w:t>
            </w:r>
            <w:r>
              <w:rPr>
                <w:rFonts w:ascii="Times New Roman" w:eastAsiaTheme="minorHAnsi" w:hAnsi="Times New Roman"/>
                <w:i/>
                <w:color w:val="FF0000"/>
              </w:rPr>
              <w:t>podpory</w:t>
            </w:r>
            <w:r w:rsidRPr="00A45394">
              <w:rPr>
                <w:rFonts w:ascii="Times New Roman" w:eastAsiaTheme="minorHAnsi" w:hAnsi="Times New Roman"/>
                <w:i/>
                <w:color w:val="FF0000"/>
              </w:rPr>
              <w:t xml:space="preserve"> bude doplnený podľa ponuky úspešného uchádzača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  <w:p w14:paraId="316DB1E6" w14:textId="60FBA43C" w:rsidR="00A45394" w:rsidRPr="00354F28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E9673" w14:textId="476336AA" w:rsidR="000470C7" w:rsidRDefault="00A45394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36 mesiacov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A2C4" w14:textId="7C24AF39" w:rsidR="000470C7" w:rsidRDefault="00A45394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0614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150B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56974948" w14:textId="77777777" w:rsidTr="000470C7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6E0A" w14:textId="058B3AFB" w:rsidR="000470C7" w:rsidRDefault="000470C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3EFE" w14:textId="0AEEB886" w:rsidR="000470C7" w:rsidRPr="00354F28" w:rsidRDefault="00A45394" w:rsidP="00672F1D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</w:rPr>
              <w:t>Inštalácia a konfigurácia všetkých vyššie uve</w:t>
            </w:r>
            <w:r w:rsidR="00E65A0E">
              <w:rPr>
                <w:rFonts w:ascii="Times New Roman" w:eastAsiaTheme="minorHAnsi" w:hAnsi="Times New Roman"/>
              </w:rPr>
              <w:t>dených licencií v prostredí objednávateľa</w:t>
            </w:r>
            <w:r w:rsidRPr="00A45394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B4314" w14:textId="7DDAD4EE" w:rsidR="000470C7" w:rsidRDefault="00A45394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646D" w14:textId="3CC9E680" w:rsidR="000470C7" w:rsidRDefault="00A45394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AA2E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4E80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010C4C65" w14:textId="04860916" w:rsidTr="000470C7">
        <w:trPr>
          <w:gridAfter w:val="3"/>
          <w:wAfter w:w="6237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25173D6D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470C7" w:rsidRPr="00F93997" w14:paraId="3B052AD5" w14:textId="079C4D6D" w:rsidTr="000470C7">
        <w:trPr>
          <w:gridAfter w:val="3"/>
          <w:wAfter w:w="6237" w:type="dxa"/>
          <w:trHeight w:val="55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12530560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AE5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00AE2BCB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32B92">
      <w:rPr>
        <w:rFonts w:ascii="Times New Roman" w:hAnsi="Times New Roman"/>
        <w:bCs/>
        <w:noProof/>
      </w:rPr>
      <w:t>4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32B92">
      <w:rPr>
        <w:rFonts w:ascii="Times New Roman" w:hAnsi="Times New Roman"/>
        <w:bCs/>
        <w:noProof/>
      </w:rPr>
      <w:t>14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232B9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232B9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232B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232B9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59801B34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 w:rsidR="000470C7">
      <w:rPr>
        <w:rFonts w:ascii="Times New Roman" w:hAnsi="Times New Roman"/>
        <w:b/>
        <w:lang w:val="sk-SK"/>
      </w:rPr>
      <w:t xml:space="preserve">licencií a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232B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E07AB"/>
    <w:multiLevelType w:val="hybridMultilevel"/>
    <w:tmpl w:val="1876B7D8"/>
    <w:lvl w:ilvl="0" w:tplc="15329D7C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48"/>
  </w:num>
  <w:num w:numId="3">
    <w:abstractNumId w:val="5"/>
  </w:num>
  <w:num w:numId="4">
    <w:abstractNumId w:val="39"/>
  </w:num>
  <w:num w:numId="5">
    <w:abstractNumId w:val="23"/>
  </w:num>
  <w:num w:numId="6">
    <w:abstractNumId w:val="41"/>
  </w:num>
  <w:num w:numId="7">
    <w:abstractNumId w:val="9"/>
  </w:num>
  <w:num w:numId="8">
    <w:abstractNumId w:val="45"/>
  </w:num>
  <w:num w:numId="9">
    <w:abstractNumId w:val="17"/>
  </w:num>
  <w:num w:numId="10">
    <w:abstractNumId w:val="40"/>
  </w:num>
  <w:num w:numId="11">
    <w:abstractNumId w:val="11"/>
  </w:num>
  <w:num w:numId="12">
    <w:abstractNumId w:val="27"/>
  </w:num>
  <w:num w:numId="13">
    <w:abstractNumId w:val="38"/>
  </w:num>
  <w:num w:numId="14">
    <w:abstractNumId w:val="21"/>
  </w:num>
  <w:num w:numId="15">
    <w:abstractNumId w:val="47"/>
  </w:num>
  <w:num w:numId="16">
    <w:abstractNumId w:val="30"/>
  </w:num>
  <w:num w:numId="17">
    <w:abstractNumId w:val="26"/>
  </w:num>
  <w:num w:numId="18">
    <w:abstractNumId w:val="10"/>
  </w:num>
  <w:num w:numId="19">
    <w:abstractNumId w:val="18"/>
  </w:num>
  <w:num w:numId="20">
    <w:abstractNumId w:val="7"/>
  </w:num>
  <w:num w:numId="21">
    <w:abstractNumId w:val="33"/>
  </w:num>
  <w:num w:numId="22">
    <w:abstractNumId w:val="2"/>
  </w:num>
  <w:num w:numId="23">
    <w:abstractNumId w:val="4"/>
  </w:num>
  <w:num w:numId="24">
    <w:abstractNumId w:val="37"/>
  </w:num>
  <w:num w:numId="25">
    <w:abstractNumId w:val="12"/>
  </w:num>
  <w:num w:numId="26">
    <w:abstractNumId w:val="46"/>
  </w:num>
  <w:num w:numId="27">
    <w:abstractNumId w:val="34"/>
  </w:num>
  <w:num w:numId="28">
    <w:abstractNumId w:val="28"/>
  </w:num>
  <w:num w:numId="29">
    <w:abstractNumId w:val="36"/>
  </w:num>
  <w:num w:numId="30">
    <w:abstractNumId w:val="32"/>
  </w:num>
  <w:num w:numId="31">
    <w:abstractNumId w:val="29"/>
  </w:num>
  <w:num w:numId="32">
    <w:abstractNumId w:val="13"/>
  </w:num>
  <w:num w:numId="33">
    <w:abstractNumId w:val="0"/>
  </w:num>
  <w:num w:numId="34">
    <w:abstractNumId w:val="43"/>
  </w:num>
  <w:num w:numId="35">
    <w:abstractNumId w:val="22"/>
  </w:num>
  <w:num w:numId="36">
    <w:abstractNumId w:val="14"/>
  </w:num>
  <w:num w:numId="37">
    <w:abstractNumId w:val="25"/>
  </w:num>
  <w:num w:numId="38">
    <w:abstractNumId w:val="42"/>
  </w:num>
  <w:num w:numId="39">
    <w:abstractNumId w:val="16"/>
  </w:num>
  <w:num w:numId="40">
    <w:abstractNumId w:val="19"/>
  </w:num>
  <w:num w:numId="41">
    <w:abstractNumId w:val="1"/>
  </w:num>
  <w:num w:numId="42">
    <w:abstractNumId w:val="8"/>
  </w:num>
  <w:num w:numId="43">
    <w:abstractNumId w:val="15"/>
  </w:num>
  <w:num w:numId="44">
    <w:abstractNumId w:val="24"/>
  </w:num>
  <w:num w:numId="45">
    <w:abstractNumId w:val="44"/>
  </w:num>
  <w:num w:numId="46">
    <w:abstractNumId w:val="6"/>
  </w:num>
  <w:num w:numId="47">
    <w:abstractNumId w:val="35"/>
  </w:num>
  <w:num w:numId="48">
    <w:abstractNumId w:val="31"/>
  </w:num>
  <w:num w:numId="4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0EEB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470C7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21DA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2B9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3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E2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176DF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2C51"/>
    <w:rsid w:val="005A5909"/>
    <w:rsid w:val="005A5DE8"/>
    <w:rsid w:val="005B685A"/>
    <w:rsid w:val="005B71B3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394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67BB5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AEE"/>
    <w:rsid w:val="00CF4D40"/>
    <w:rsid w:val="00CF7889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37E6F"/>
    <w:rsid w:val="00D43396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5A0E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E7BC5AB-CF54-4D20-BDA1-B9BB1901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2022-11-02T09:59:00Z</dcterms:created>
  <dcterms:modified xsi:type="dcterms:W3CDTF">2022-11-03T09:58:00Z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