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584CE43F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697AFA">
        <w:rPr>
          <w:rFonts w:ascii="Arial Narrow" w:hAnsi="Arial Narrow" w:cs="Arial Narrow"/>
          <w:b/>
          <w:bCs/>
          <w:sz w:val="32"/>
          <w:szCs w:val="32"/>
        </w:rPr>
        <w:t>2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310444">
        <w:rPr>
          <w:rFonts w:ascii="Arial Narrow" w:hAnsi="Arial Narrow" w:cs="Arial Narrow"/>
          <w:b/>
          <w:bCs/>
          <w:sz w:val="32"/>
          <w:szCs w:val="32"/>
        </w:rPr>
        <w:t>4839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005E7CD6" w14:textId="6BAD65BB" w:rsidR="001D4B14" w:rsidRDefault="001D4B14" w:rsidP="0091435F">
      <w:pPr>
        <w:spacing w:after="12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1D4B14">
        <w:rPr>
          <w:rFonts w:ascii="Arial Narrow" w:hAnsi="Arial Narrow" w:cs="Arial Narrow"/>
          <w:b/>
          <w:bCs/>
          <w:sz w:val="24"/>
          <w:szCs w:val="24"/>
        </w:rPr>
        <w:t xml:space="preserve">na dodávku </w:t>
      </w:r>
      <w:r>
        <w:rPr>
          <w:rFonts w:ascii="Arial Narrow" w:hAnsi="Arial Narrow" w:cs="Arial Narrow"/>
          <w:b/>
          <w:bCs/>
          <w:sz w:val="24"/>
          <w:szCs w:val="24"/>
        </w:rPr>
        <w:t>d</w:t>
      </w:r>
      <w:r w:rsidRPr="001D4B14">
        <w:rPr>
          <w:rFonts w:ascii="Arial Narrow" w:hAnsi="Arial Narrow" w:cs="Arial Narrow"/>
          <w:b/>
          <w:bCs/>
          <w:sz w:val="24"/>
          <w:szCs w:val="24"/>
        </w:rPr>
        <w:t>etekčnej techniky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BE114C">
        <w:rPr>
          <w:rFonts w:ascii="Arial Narrow" w:hAnsi="Arial Narrow" w:cs="Arial Narrow"/>
          <w:b/>
          <w:bCs/>
          <w:sz w:val="24"/>
          <w:szCs w:val="24"/>
          <w:highlight w:val="lightGray"/>
        </w:rPr>
        <w:t>/ 1.časť</w:t>
      </w:r>
    </w:p>
    <w:p w14:paraId="7624951E" w14:textId="33042AAA" w:rsidR="001D4B14" w:rsidRPr="001D4B14" w:rsidRDefault="001D4B14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D4B14">
        <w:rPr>
          <w:rFonts w:ascii="Arial Narrow" w:hAnsi="Arial Narrow" w:cs="Arial Narrow"/>
          <w:b/>
          <w:bCs/>
          <w:sz w:val="24"/>
          <w:szCs w:val="24"/>
        </w:rPr>
        <w:t>na dodávku p</w:t>
      </w:r>
      <w:r w:rsidRPr="001D4B14">
        <w:rPr>
          <w:rFonts w:ascii="Arial Narrow" w:hAnsi="Arial Narrow" w:cs="Calibri"/>
          <w:b/>
          <w:sz w:val="24"/>
          <w:szCs w:val="24"/>
        </w:rPr>
        <w:t xml:space="preserve">rostriedkov osobnej ochrany / </w:t>
      </w:r>
      <w:r w:rsidRPr="00BE114C">
        <w:rPr>
          <w:rFonts w:ascii="Arial Narrow" w:hAnsi="Arial Narrow" w:cs="Calibri"/>
          <w:b/>
          <w:sz w:val="24"/>
          <w:szCs w:val="24"/>
          <w:highlight w:val="lightGray"/>
        </w:rPr>
        <w:t>2.časť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4B574A6" w14:textId="03C39751" w:rsidR="006058C3" w:rsidRPr="00836A25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081D67">
        <w:rPr>
          <w:rFonts w:ascii="Arial Narrow" w:hAnsi="Arial Narrow" w:cs="Arial"/>
          <w:sz w:val="22"/>
          <w:szCs w:val="22"/>
        </w:rPr>
        <w:t>xxxxxxxxxxxxxxx</w:t>
      </w:r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</w:p>
    <w:p w14:paraId="1B6CDA0C" w14:textId="11E26125" w:rsidR="0062748F" w:rsidRPr="00877D19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47677440" w14:textId="77777777" w:rsidR="00433CBB" w:rsidRDefault="00433C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28C84CFF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697AFA">
        <w:rPr>
          <w:rFonts w:ascii="Arial Narrow" w:hAnsi="Arial Narrow" w:cs="Calibri"/>
          <w:b/>
          <w:sz w:val="22"/>
          <w:szCs w:val="22"/>
        </w:rPr>
        <w:t xml:space="preserve">Detekčná technika a prostriedky osobnej ochrany potrebné na dokumentáciu v kontaminovanom </w:t>
      </w:r>
      <w:r w:rsidR="00697AFA" w:rsidRPr="007E6CDA">
        <w:rPr>
          <w:rFonts w:ascii="Arial Narrow" w:hAnsi="Arial Narrow" w:cs="Calibri"/>
          <w:b/>
          <w:sz w:val="22"/>
          <w:szCs w:val="22"/>
        </w:rPr>
        <w:t>prostredí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 </w:t>
      </w:r>
      <w:r w:rsidR="00310444" w:rsidRPr="00310444">
        <w:rPr>
          <w:rFonts w:ascii="Arial Narrow" w:hAnsi="Arial Narrow" w:cs="Calibri"/>
          <w:b/>
          <w:sz w:val="22"/>
          <w:szCs w:val="22"/>
        </w:rPr>
        <w:t>– II.</w:t>
      </w:r>
      <w:r w:rsidR="00310444">
        <w:rPr>
          <w:rFonts w:ascii="Arial Narrow" w:hAnsi="Arial Narrow" w:cs="Calibri"/>
          <w:sz w:val="22"/>
          <w:szCs w:val="22"/>
        </w:rPr>
        <w:t xml:space="preserve"> </w:t>
      </w:r>
      <w:r w:rsidR="0062748F" w:rsidRPr="007E6CDA">
        <w:rPr>
          <w:rFonts w:ascii="Arial Narrow" w:hAnsi="Arial Narrow" w:cs="Calibri"/>
          <w:sz w:val="22"/>
          <w:szCs w:val="22"/>
        </w:rPr>
        <w:t>/</w:t>
      </w:r>
      <w:r w:rsidR="0062748F" w:rsidRPr="00BE114C">
        <w:rPr>
          <w:rFonts w:ascii="Arial Narrow" w:hAnsi="Arial Narrow" w:cs="Calibri"/>
          <w:b/>
          <w:sz w:val="22"/>
          <w:szCs w:val="22"/>
          <w:highlight w:val="lightGray"/>
        </w:rPr>
        <w:t>pre časť 1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 – </w:t>
      </w:r>
      <w:r w:rsidR="00697AFA" w:rsidRPr="007E6CDA">
        <w:rPr>
          <w:rFonts w:ascii="Arial Narrow" w:hAnsi="Arial Narrow" w:cs="Calibri"/>
          <w:sz w:val="22"/>
          <w:szCs w:val="22"/>
        </w:rPr>
        <w:t>Detekčná technika</w:t>
      </w:r>
      <w:r w:rsidRPr="007E6CDA">
        <w:rPr>
          <w:rFonts w:ascii="Arial Narrow" w:hAnsi="Arial Narrow" w:cs="Calibri"/>
          <w:sz w:val="22"/>
          <w:szCs w:val="22"/>
        </w:rPr>
        <w:t xml:space="preserve"> 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/ </w:t>
      </w:r>
      <w:r w:rsidR="0062748F" w:rsidRPr="00BE114C">
        <w:rPr>
          <w:rFonts w:ascii="Arial Narrow" w:hAnsi="Arial Narrow" w:cs="Calibri"/>
          <w:b/>
          <w:sz w:val="22"/>
          <w:szCs w:val="22"/>
          <w:highlight w:val="lightGray"/>
        </w:rPr>
        <w:t>pre časť 2</w:t>
      </w:r>
      <w:r w:rsidR="0062748F" w:rsidRPr="007E6CDA">
        <w:rPr>
          <w:rFonts w:ascii="Arial Narrow" w:hAnsi="Arial Narrow" w:cs="Calibri"/>
          <w:b/>
          <w:sz w:val="22"/>
          <w:szCs w:val="22"/>
        </w:rPr>
        <w:t xml:space="preserve"> 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– </w:t>
      </w:r>
      <w:r w:rsidR="00697AFA" w:rsidRPr="007E6CDA">
        <w:rPr>
          <w:rFonts w:ascii="Arial Narrow" w:hAnsi="Arial Narrow" w:cs="Calibri"/>
          <w:sz w:val="22"/>
          <w:szCs w:val="22"/>
        </w:rPr>
        <w:t>Prostriedky osobnej ochrany</w:t>
      </w:r>
      <w:r w:rsidR="0062748F" w:rsidRPr="007E6CDA">
        <w:rPr>
          <w:rFonts w:ascii="Arial Narrow" w:hAnsi="Arial Narrow" w:cs="Calibri"/>
          <w:sz w:val="22"/>
          <w:szCs w:val="22"/>
        </w:rPr>
        <w:t>/</w:t>
      </w:r>
      <w:r w:rsidRPr="007E6CDA">
        <w:rPr>
          <w:rFonts w:ascii="Arial Narrow" w:hAnsi="Arial Narrow" w:cs="Calibri"/>
          <w:bCs/>
          <w:sz w:val="22"/>
          <w:szCs w:val="22"/>
        </w:rPr>
        <w:t>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21C30A9" w14:textId="67A4A2B4" w:rsidR="00697AFA" w:rsidRPr="00B83D65" w:rsidRDefault="00697AFA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b/>
          <w:sz w:val="22"/>
          <w:szCs w:val="22"/>
        </w:rPr>
      </w:pPr>
      <w:r w:rsidRPr="00BE114C">
        <w:rPr>
          <w:rFonts w:ascii="Arial Narrow" w:hAnsi="Arial Narrow" w:cs="Calibri"/>
          <w:b/>
          <w:sz w:val="22"/>
          <w:szCs w:val="22"/>
          <w:highlight w:val="lightGray"/>
        </w:rPr>
        <w:t>/pre časť 1/</w:t>
      </w:r>
    </w:p>
    <w:p w14:paraId="0EC3E58C" w14:textId="385BC43F" w:rsidR="00697AFA" w:rsidRPr="00B83D65" w:rsidRDefault="00697AFA" w:rsidP="00697AFA">
      <w:p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           -   Detekčné a identifikačné zariadenia – gama a neutrónové žiarenie / Počet kusov: 9</w:t>
      </w:r>
    </w:p>
    <w:p w14:paraId="0C49D898" w14:textId="33AA00AD" w:rsidR="00697AFA" w:rsidRPr="00B83D65" w:rsidRDefault="00697AFA" w:rsidP="00697AFA">
      <w:pPr>
        <w:ind w:left="567"/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 -   Detekčné a identifikačné zariadenia – chemické látky / Počet kusov: 2</w:t>
      </w:r>
    </w:p>
    <w:p w14:paraId="0807038F" w14:textId="4C269F17" w:rsidR="00697AFA" w:rsidRPr="00B83D65" w:rsidRDefault="00697AFA" w:rsidP="00697AFA">
      <w:p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            -   Čítačka mikročipov zvierat / Počet kusov: 9</w:t>
      </w:r>
    </w:p>
    <w:p w14:paraId="4DD887A9" w14:textId="59D562D9" w:rsidR="00697AFA" w:rsidRPr="00B83D65" w:rsidRDefault="00697AFA" w:rsidP="00697AFA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b/>
          <w:sz w:val="22"/>
          <w:szCs w:val="22"/>
        </w:rPr>
      </w:pPr>
      <w:r w:rsidRPr="00BE114C">
        <w:rPr>
          <w:rFonts w:ascii="Arial Narrow" w:hAnsi="Arial Narrow" w:cs="Calibri"/>
          <w:b/>
          <w:sz w:val="22"/>
          <w:szCs w:val="22"/>
          <w:highlight w:val="lightGray"/>
        </w:rPr>
        <w:t>/pre časť 2/</w:t>
      </w:r>
    </w:p>
    <w:p w14:paraId="71E8C445" w14:textId="67827AC0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vysoký stupeň ochrany / Počet kusov: 300</w:t>
      </w:r>
    </w:p>
    <w:p w14:paraId="09BE704C" w14:textId="07CD906C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stredný stupeň ochrany / Počet kusov: 700</w:t>
      </w:r>
    </w:p>
    <w:p w14:paraId="69E6D65E" w14:textId="10DFCDB1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nízky stupeň ochrany / Počet kusov: 1000</w:t>
      </w:r>
    </w:p>
    <w:p w14:paraId="57BACE48" w14:textId="6965DA84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Protichemické rukavice / Počet </w:t>
      </w:r>
      <w:r w:rsidR="00310444">
        <w:rPr>
          <w:rFonts w:ascii="Arial Narrow" w:hAnsi="Arial Narrow"/>
          <w:sz w:val="22"/>
          <w:szCs w:val="22"/>
          <w:lang w:val="sk-SK"/>
        </w:rPr>
        <w:t>párov</w:t>
      </w:r>
      <w:r w:rsidRPr="00B83D65">
        <w:rPr>
          <w:rFonts w:ascii="Arial Narrow" w:hAnsi="Arial Narrow"/>
          <w:sz w:val="22"/>
          <w:szCs w:val="22"/>
        </w:rPr>
        <w:t>: 500</w:t>
      </w:r>
    </w:p>
    <w:p w14:paraId="34887CD8" w14:textId="44180FD1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Jednorazové ochranné návleky na obuv nízke / Počet </w:t>
      </w:r>
      <w:r w:rsidR="00310444">
        <w:rPr>
          <w:rFonts w:ascii="Arial Narrow" w:hAnsi="Arial Narrow"/>
          <w:sz w:val="22"/>
          <w:szCs w:val="22"/>
          <w:lang w:val="sk-SK"/>
        </w:rPr>
        <w:t>párov</w:t>
      </w:r>
      <w:r w:rsidRPr="00B83D65">
        <w:rPr>
          <w:rFonts w:ascii="Arial Narrow" w:hAnsi="Arial Narrow"/>
          <w:sz w:val="22"/>
          <w:szCs w:val="22"/>
        </w:rPr>
        <w:t>: 500</w:t>
      </w:r>
    </w:p>
    <w:p w14:paraId="732A3864" w14:textId="2521FB72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Jednorazové ochranné návleky na obuv vysoké / Počet </w:t>
      </w:r>
      <w:r w:rsidR="00310444">
        <w:rPr>
          <w:rFonts w:ascii="Arial Narrow" w:hAnsi="Arial Narrow"/>
          <w:sz w:val="22"/>
          <w:szCs w:val="22"/>
          <w:lang w:val="sk-SK"/>
        </w:rPr>
        <w:t>párov</w:t>
      </w:r>
      <w:r w:rsidRPr="00B83D65">
        <w:rPr>
          <w:rFonts w:ascii="Arial Narrow" w:hAnsi="Arial Narrow"/>
          <w:sz w:val="22"/>
          <w:szCs w:val="22"/>
        </w:rPr>
        <w:t>: 500</w:t>
      </w:r>
    </w:p>
    <w:p w14:paraId="35C250EF" w14:textId="75158B76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Ochranné okuliare / Počet kusov: 300</w:t>
      </w:r>
    </w:p>
    <w:p w14:paraId="7AA7BD5B" w14:textId="0CEF0358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Bezpečnostné pracovné čižmy / Počet párov: 105</w:t>
      </w:r>
    </w:p>
    <w:p w14:paraId="101858C7" w14:textId="234EADA7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Celotvárová filtračná maska / Počet kusov: 105</w:t>
      </w:r>
    </w:p>
    <w:p w14:paraId="11128291" w14:textId="73465F96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Filter kombinovaný závit 40x1/7 kompatibilný s filtračnou maskou / Počet kusov: 420</w:t>
      </w:r>
    </w:p>
    <w:p w14:paraId="0E27B7F7" w14:textId="0E1AFA6C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Antiradiačný ochranný oblek / Počet kusov: 5</w:t>
      </w:r>
    </w:p>
    <w:p w14:paraId="04A548B5" w14:textId="275AA241" w:rsidR="00B83D65" w:rsidRPr="00B83D65" w:rsidRDefault="00B83D65" w:rsidP="00B83D65">
      <w:pPr>
        <w:pStyle w:val="CTLhead"/>
        <w:ind w:left="567"/>
        <w:jc w:val="both"/>
        <w:rPr>
          <w:rFonts w:ascii="Arial Narrow" w:hAnsi="Arial Narrow" w:cs="Calibri"/>
          <w:b w:val="0"/>
          <w:sz w:val="22"/>
          <w:szCs w:val="22"/>
        </w:rPr>
      </w:pPr>
      <w:r w:rsidRPr="00B83D65">
        <w:rPr>
          <w:rFonts w:ascii="Arial Narrow" w:hAnsi="Arial Narrow" w:cs="Calibri"/>
          <w:b w:val="0"/>
          <w:sz w:val="22"/>
          <w:szCs w:val="22"/>
        </w:rPr>
        <w:t xml:space="preserve">pre potreby odboru odhaľovania nebezpečných materiálov a environmentálnej kriminality národnej centrály osobitných druhov kriminality Prezídia </w:t>
      </w:r>
      <w:r w:rsidRPr="00B83D65">
        <w:rPr>
          <w:rFonts w:ascii="Arial Narrow" w:hAnsi="Arial Narrow" w:cs="Arial"/>
          <w:b w:val="0"/>
          <w:sz w:val="22"/>
          <w:szCs w:val="22"/>
          <w:lang w:eastAsia="sk-SK"/>
        </w:rPr>
        <w:t xml:space="preserve">Policajného zboru v rámci realizácie  projektu „Posilnenie kapacít Policajného zboru v boji proti environmentálnej trestnej činnosti“ - 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vrátane poskytnutia služieb súvisiacich </w:t>
      </w:r>
      <w:r w:rsidRPr="00B83D65">
        <w:rPr>
          <w:rFonts w:ascii="Arial Narrow" w:hAnsi="Arial Narrow" w:cs="Arial"/>
          <w:b w:val="0"/>
          <w:sz w:val="22"/>
          <w:szCs w:val="22"/>
        </w:rPr>
        <w:t>s dopravou do miesta dodania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 (ďalej len „tovar“), v súlade s prílohou č.1 tejto zmluvy a záväzok kupujúceho riadne dodaný tovar prevziať a zaplatiť za neho predávajúcemu kúpnu cenu podľa článku V. tejto zmluvy. Súčasťou dodávky tovaru je jeho doprava do miesta dodania, inštalácia, uvedenie tovaru do prevádzky, overenie funkčnosti tovaru priamo u kupujúceho v plnom rozsahu, zaškolenie obsluhy, poskytovanie autorizovaného záručného servisu na náklady predávajúceho.</w:t>
      </w:r>
    </w:p>
    <w:p w14:paraId="45EF568E" w14:textId="77777777" w:rsidR="00B83D65" w:rsidRDefault="00B83D65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CC2B8FF" w14:textId="53E2FC21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2F3CCD25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BE114C" w:rsidRPr="00BE30F5">
        <w:rPr>
          <w:rFonts w:ascii="Arial Narrow" w:hAnsi="Arial Narrow" w:cs="Calibri"/>
          <w:sz w:val="22"/>
          <w:szCs w:val="22"/>
        </w:rPr>
        <w:t xml:space="preserve">do </w:t>
      </w:r>
      <w:r w:rsidR="00BE114C">
        <w:rPr>
          <w:rFonts w:ascii="Arial Narrow" w:hAnsi="Arial Narrow" w:cs="Calibri"/>
          <w:sz w:val="22"/>
          <w:szCs w:val="22"/>
        </w:rPr>
        <w:t>štyridsaťpäť (45) dní</w:t>
      </w:r>
      <w:r w:rsidR="00BE114C" w:rsidRPr="00BE30F5">
        <w:rPr>
          <w:rFonts w:ascii="Arial Narrow" w:hAnsi="Arial Narrow" w:cs="Calibri"/>
          <w:sz w:val="22"/>
          <w:szCs w:val="22"/>
        </w:rPr>
        <w:t xml:space="preserve">  </w:t>
      </w:r>
      <w:r w:rsidR="00BE114C">
        <w:rPr>
          <w:rFonts w:ascii="Arial Narrow" w:hAnsi="Arial Narrow" w:cs="Calibri"/>
          <w:sz w:val="22"/>
          <w:szCs w:val="22"/>
        </w:rPr>
        <w:t xml:space="preserve">odo dňa 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65EBEA1B" w14:textId="16DBB10F" w:rsidR="00A2783C" w:rsidRPr="00DC28C3" w:rsidRDefault="00A2783C" w:rsidP="00A2783C">
      <w:pPr>
        <w:pStyle w:val="A3"/>
        <w:numPr>
          <w:ilvl w:val="0"/>
          <w:numId w:val="37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DC28C3">
        <w:rPr>
          <w:rFonts w:ascii="Arial Narrow" w:hAnsi="Arial Narrow"/>
          <w:sz w:val="22"/>
          <w:szCs w:val="22"/>
        </w:rPr>
        <w:t>Ministerstvo vnútra SR, Prezídium Policajného zboru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Račianska 45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812 72 Bratislava</w:t>
      </w:r>
      <w:r>
        <w:rPr>
          <w:rFonts w:ascii="Arial Narrow" w:hAnsi="Arial Narrow"/>
          <w:sz w:val="22"/>
          <w:szCs w:val="22"/>
        </w:rPr>
        <w:t>.</w:t>
      </w:r>
      <w:r w:rsidRPr="00DC28C3">
        <w:rPr>
          <w:rFonts w:ascii="Arial Narrow" w:hAnsi="Arial Narrow"/>
          <w:sz w:val="22"/>
          <w:szCs w:val="22"/>
        </w:rPr>
        <w:t xml:space="preserve"> 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lastRenderedPageBreak/>
        <w:t xml:space="preserve">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5E8FA2C0" w:rsidR="00F37616" w:rsidRPr="00BE114C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  <w:highlight w:val="lightGray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 xml:space="preserve">podľa prílohy č.1 Opis predmetu zákazky pre </w:t>
      </w:r>
      <w:r w:rsidR="005F586D" w:rsidRPr="00BE114C">
        <w:rPr>
          <w:rFonts w:ascii="Arial Narrow" w:hAnsi="Arial Narrow"/>
          <w:sz w:val="22"/>
          <w:szCs w:val="22"/>
          <w:highlight w:val="lightGray"/>
        </w:rPr>
        <w:t>časť 1</w:t>
      </w:r>
      <w:r w:rsidR="00371393" w:rsidRPr="00BE114C">
        <w:rPr>
          <w:rFonts w:ascii="Arial Narrow" w:hAnsi="Arial Narrow"/>
          <w:sz w:val="22"/>
          <w:szCs w:val="22"/>
          <w:highlight w:val="lightGray"/>
        </w:rPr>
        <w:t>.</w:t>
      </w:r>
    </w:p>
    <w:p w14:paraId="0BDA21E4" w14:textId="301B86B8" w:rsidR="001F3ED7" w:rsidRPr="001F3ED7" w:rsidRDefault="001F3ED7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v priestoroch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upujúceho</w:t>
      </w:r>
      <w:r>
        <w:rPr>
          <w:rFonts w:ascii="Arial Narrow" w:hAnsi="Arial Narrow"/>
          <w:sz w:val="22"/>
          <w:szCs w:val="22"/>
        </w:rPr>
        <w:t xml:space="preserve"> záručný servis </w:t>
      </w:r>
      <w:r w:rsidRPr="001F3ED7">
        <w:rPr>
          <w:rFonts w:ascii="Arial Narrow" w:eastAsia="Calibri" w:hAnsi="Arial Narrow"/>
          <w:sz w:val="22"/>
          <w:szCs w:val="22"/>
        </w:rPr>
        <w:t>preventívn</w:t>
      </w:r>
      <w:r>
        <w:rPr>
          <w:rFonts w:ascii="Arial Narrow" w:eastAsia="Calibri" w:hAnsi="Arial Narrow"/>
          <w:sz w:val="22"/>
          <w:szCs w:val="22"/>
        </w:rPr>
        <w:t xml:space="preserve">u </w:t>
      </w:r>
      <w:r w:rsidRPr="001F3ED7">
        <w:rPr>
          <w:rFonts w:ascii="Arial Narrow" w:eastAsia="Calibri" w:hAnsi="Arial Narrow"/>
          <w:sz w:val="22"/>
          <w:szCs w:val="22"/>
        </w:rPr>
        <w:t xml:space="preserve"> údržb</w:t>
      </w:r>
      <w:r>
        <w:rPr>
          <w:rFonts w:ascii="Arial Narrow" w:eastAsia="Calibri" w:hAnsi="Arial Narrow"/>
          <w:sz w:val="22"/>
          <w:szCs w:val="22"/>
        </w:rPr>
        <w:t>u</w:t>
      </w:r>
      <w:r w:rsidRPr="001F3ED7">
        <w:rPr>
          <w:rFonts w:ascii="Arial Narrow" w:eastAsia="Calibri" w:hAnsi="Arial Narrow"/>
          <w:sz w:val="22"/>
          <w:szCs w:val="22"/>
        </w:rPr>
        <w:t xml:space="preserve">  po 12, 24, 36 a 48 mesiac</w:t>
      </w:r>
      <w:r>
        <w:rPr>
          <w:rFonts w:ascii="Arial Narrow" w:eastAsia="Calibri" w:hAnsi="Arial Narrow"/>
          <w:sz w:val="22"/>
          <w:szCs w:val="22"/>
        </w:rPr>
        <w:t>i</w:t>
      </w:r>
      <w:r w:rsidRPr="001F3ED7">
        <w:rPr>
          <w:rFonts w:ascii="Arial Narrow" w:eastAsia="Calibri" w:hAnsi="Arial Narrow"/>
          <w:sz w:val="22"/>
          <w:szCs w:val="22"/>
        </w:rPr>
        <w:t xml:space="preserve"> od kompletnej inštalácie, vrátane dopravných nákladov a</w:t>
      </w:r>
      <w:r>
        <w:rPr>
          <w:rFonts w:ascii="Arial Narrow" w:eastAsia="Calibri" w:hAnsi="Arial Narrow"/>
          <w:sz w:val="22"/>
          <w:szCs w:val="22"/>
        </w:rPr>
        <w:t xml:space="preserve"> dodania </w:t>
      </w:r>
      <w:r w:rsidRPr="001F3ED7">
        <w:rPr>
          <w:rFonts w:ascii="Arial Narrow" w:eastAsia="Calibri" w:hAnsi="Arial Narrow"/>
          <w:sz w:val="22"/>
          <w:szCs w:val="22"/>
        </w:rPr>
        <w:t xml:space="preserve">nevyhnutných výrobcom predpísaných náhradných dielov, </w:t>
      </w:r>
      <w:r w:rsidR="00B47717">
        <w:rPr>
          <w:rFonts w:ascii="Arial Narrow" w:eastAsia="Calibri" w:hAnsi="Arial Narrow"/>
          <w:sz w:val="22"/>
          <w:szCs w:val="22"/>
        </w:rPr>
        <w:t xml:space="preserve">v mieste dodania </w:t>
      </w:r>
      <w:r>
        <w:rPr>
          <w:rFonts w:ascii="Arial Narrow" w:eastAsia="Calibri" w:hAnsi="Arial Narrow"/>
          <w:sz w:val="22"/>
          <w:szCs w:val="22"/>
        </w:rPr>
        <w:t>uveden</w:t>
      </w:r>
      <w:r w:rsidR="00B47717">
        <w:rPr>
          <w:rFonts w:ascii="Arial Narrow" w:eastAsia="Calibri" w:hAnsi="Arial Narrow"/>
          <w:sz w:val="22"/>
          <w:szCs w:val="22"/>
        </w:rPr>
        <w:t>om</w:t>
      </w:r>
      <w:r>
        <w:rPr>
          <w:rFonts w:ascii="Arial Narrow" w:eastAsia="Calibri" w:hAnsi="Arial Narrow"/>
          <w:sz w:val="22"/>
          <w:szCs w:val="22"/>
        </w:rPr>
        <w:t xml:space="preserve"> v</w:t>
      </w:r>
      <w:r w:rsidR="00B47717">
        <w:rPr>
          <w:rFonts w:ascii="Arial Narrow" w:eastAsia="Calibri" w:hAnsi="Arial Narrow"/>
          <w:sz w:val="22"/>
          <w:szCs w:val="22"/>
        </w:rPr>
        <w:t> bode 4.3. tohto článku.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 xml:space="preserve">zákon Národnej rady Slovenskej </w:t>
      </w:r>
      <w:r w:rsidR="006208A8" w:rsidRPr="00BE30F5">
        <w:rPr>
          <w:rFonts w:ascii="Arial Narrow" w:hAnsi="Arial Narrow"/>
          <w:sz w:val="22"/>
          <w:szCs w:val="22"/>
        </w:rPr>
        <w:lastRenderedPageBreak/>
        <w:t>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46C8E426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B83D6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83D65" w:rsidRDefault="00666B06" w:rsidP="00310444">
      <w:pPr>
        <w:pStyle w:val="CTL"/>
        <w:numPr>
          <w:ilvl w:val="1"/>
          <w:numId w:val="14"/>
        </w:numPr>
        <w:tabs>
          <w:tab w:val="left" w:pos="567"/>
        </w:tabs>
        <w:spacing w:line="0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E3F7B0E" w14:textId="246096EA" w:rsidR="00B83D65" w:rsidRPr="00B83D65" w:rsidRDefault="00B83D65" w:rsidP="00310444">
      <w:pPr>
        <w:pStyle w:val="CTL"/>
        <w:numPr>
          <w:ilvl w:val="1"/>
          <w:numId w:val="14"/>
        </w:numPr>
        <w:tabs>
          <w:tab w:val="left" w:pos="567"/>
        </w:tabs>
        <w:spacing w:line="0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Faktúra a dodací list musia obsahovať presný názov dodávaného tovaru, zhodný s názvom uvedeným v rozpočte projektu, z ktorého je predmetná zákazka financovaná. Spoločný názov zákazky je Detekčná technika a prostriedky osobnej ochrany potrebné na dokumentáciu v kontaminovanom prostredí a názvy konkrétneho dodávaného tovaru uvedené na faktúre a dodacom liste budú uvedené v tvare zhodnom s názvami uvedenými v prílohe č. 1 tejto zmluvy.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8333DD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>
        <w:rPr>
          <w:rFonts w:ascii="Arial Narrow" w:hAnsi="Arial Narrow"/>
          <w:sz w:val="22"/>
          <w:szCs w:val="22"/>
        </w:rPr>
        <w:t xml:space="preserve">štyridsať </w:t>
      </w:r>
      <w:r w:rsidR="001F3ED7" w:rsidRPr="001F3ED7">
        <w:rPr>
          <w:rFonts w:ascii="Arial Narrow" w:hAnsi="Arial Narrow"/>
          <w:sz w:val="22"/>
          <w:szCs w:val="22"/>
        </w:rPr>
        <w:t>osem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1F3ED7" w:rsidRPr="001F3ED7">
        <w:rPr>
          <w:rFonts w:ascii="Arial Narrow" w:hAnsi="Arial Narrow"/>
          <w:sz w:val="22"/>
          <w:szCs w:val="22"/>
        </w:rPr>
        <w:t>48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68FFE5A4" w14:textId="77777777" w:rsidR="00BE114C" w:rsidRPr="00031300" w:rsidRDefault="00BE114C" w:rsidP="00BE114C">
      <w:pPr>
        <w:pStyle w:val="Odsekzoznamu"/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Kupujúci nárok na náhradu škody.</w:t>
      </w:r>
    </w:p>
    <w:p w14:paraId="21AF9BFC" w14:textId="35CEEE7B" w:rsidR="00BE114C" w:rsidRPr="00BE30F5" w:rsidRDefault="00BE114C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6.4. písm.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predmetu zmluvy alebo jeho časť,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vadný predmet zmluvy za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predmet zmluvy bez vád v lehote do 30 dní </w:t>
      </w:r>
      <w:r w:rsidRPr="00BE114C">
        <w:rPr>
          <w:rFonts w:ascii="Arial Narrow" w:hAnsi="Arial Narrow"/>
          <w:bCs/>
          <w:iCs/>
          <w:color w:val="000000"/>
          <w:sz w:val="22"/>
          <w:szCs w:val="22"/>
          <w:highlight w:val="lightGray"/>
        </w:rPr>
        <w:t>(pre časť 2)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do 60 dní </w:t>
      </w:r>
      <w:r w:rsidRPr="00BE114C">
        <w:rPr>
          <w:rFonts w:ascii="Arial Narrow" w:hAnsi="Arial Narrow"/>
          <w:bCs/>
          <w:iCs/>
          <w:color w:val="000000"/>
          <w:sz w:val="22"/>
          <w:szCs w:val="22"/>
          <w:highlight w:val="lightGray"/>
        </w:rPr>
        <w:t>(pre časť 1)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reklamácie v zmysle tohto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vadného predmetu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predmetu zmluvy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redávajúci na svoje náklady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4560CDA" w:rsidR="008C5AAD" w:rsidRPr="00BE30F5" w:rsidRDefault="00B83D65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dotácie (Environmentálny fond)</w:t>
      </w:r>
      <w:r w:rsidRPr="00BE30F5">
        <w:rPr>
          <w:rFonts w:ascii="Arial Narrow" w:hAnsi="Arial Narrow"/>
          <w:sz w:val="22"/>
          <w:szCs w:val="22"/>
        </w:rPr>
        <w:t xml:space="preserve"> a ním poverené osoby</w:t>
      </w:r>
      <w:r w:rsidR="008C5AAD" w:rsidRPr="00BE30F5">
        <w:rPr>
          <w:rFonts w:ascii="Arial Narrow" w:hAnsi="Arial Narrow"/>
          <w:sz w:val="22"/>
          <w:szCs w:val="22"/>
        </w:rPr>
        <w:t>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1D4B14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6E3CE4DA" w14:textId="6C615FAF" w:rsidR="001D4B14" w:rsidRPr="00F27B9F" w:rsidRDefault="001D4B14" w:rsidP="001D4B14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V prípade, že </w:t>
      </w: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F27B9F">
        <w:rPr>
          <w:rFonts w:ascii="Arial Narrow" w:hAnsi="Arial Narrow" w:cs="Calibri"/>
          <w:sz w:val="22"/>
          <w:szCs w:val="22"/>
        </w:rPr>
        <w:t>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3124719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5E27559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260BA5F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A2D2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5DD3DF47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24298F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69607FB1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360F9114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8. predseda Najvyššieho kontrolného úradu Slovenskej republiky a podpredseda Najvyššieho kontrolného úradu Slovenskej republiky,</w:t>
      </w:r>
    </w:p>
    <w:p w14:paraId="0E3D75B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66D907C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2F0D31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281E55B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2ECB69EF" w14:textId="77777777" w:rsidR="001D4B14" w:rsidRPr="00F27B9F" w:rsidRDefault="001D4B14" w:rsidP="001D4B14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43B768D1" w14:textId="77777777" w:rsidR="001D4B14" w:rsidRPr="00BE30F5" w:rsidRDefault="001D4B14" w:rsidP="001D4B14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634B06D4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BE114C">
        <w:rPr>
          <w:rFonts w:ascii="Arial Narrow" w:hAnsi="Arial Narrow" w:cs="Calibri"/>
          <w:sz w:val="22"/>
          <w:szCs w:val="22"/>
          <w:lang w:val="sk-SK"/>
        </w:rPr>
        <w:t xml:space="preserve">v zmysle čl. IV bod 4.1.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5AF9231E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BE114C">
        <w:rPr>
          <w:rFonts w:ascii="Arial Narrow" w:hAnsi="Arial Narrow"/>
          <w:sz w:val="22"/>
          <w:lang w:val="sk-SK"/>
        </w:rPr>
        <w:t xml:space="preserve"> a 6.7. </w:t>
      </w:r>
      <w:r w:rsidR="007A08E0" w:rsidRPr="00BE30F5">
        <w:rPr>
          <w:rFonts w:ascii="Arial Narrow" w:hAnsi="Arial Narrow"/>
          <w:sz w:val="22"/>
          <w:lang w:val="sk-SK"/>
        </w:rPr>
        <w:t xml:space="preserve">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2B759476" w:rsidR="00613A8C" w:rsidRDefault="0077096A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58CD4DC1" w14:textId="37E86E37" w:rsidR="001D4B14" w:rsidRPr="00BE30F5" w:rsidRDefault="001D4B14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V prípade nepravdivosti vyhlásenia predávajúceho, ktoré je uvedené v čl. VII. bod 7.5. tejto zmluvy, je predávajúci povinný zaplatiť kupujúcemu zmluvnú pokutu vo výške 30 000,- EUR.</w:t>
      </w:r>
    </w:p>
    <w:p w14:paraId="7211AF0E" w14:textId="77777777" w:rsidR="001D4B14" w:rsidRPr="00BE30F5" w:rsidRDefault="001D4B14" w:rsidP="001D4B1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108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lastRenderedPageBreak/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72B3FA8D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>Táto zmluva nadobúda platnosť dňom jej podpisu obidvoma zmluvnými stranami. Táto zmluva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04A13A92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081D67">
        <w:rPr>
          <w:rFonts w:ascii="Arial Narrow" w:hAnsi="Arial Narrow" w:cs="Arial Narrow"/>
          <w:sz w:val="22"/>
          <w:szCs w:val="22"/>
        </w:rPr>
        <w:t>xxxxxxxxxxxxxxxxxxxxxxx</w:t>
      </w:r>
      <w:bookmarkStart w:id="0" w:name="_GoBack"/>
      <w:bookmarkEnd w:id="0"/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4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7"/>
  </w:num>
  <w:num w:numId="5">
    <w:abstractNumId w:val="29"/>
  </w:num>
  <w:num w:numId="6">
    <w:abstractNumId w:val="7"/>
  </w:num>
  <w:num w:numId="7">
    <w:abstractNumId w:val="15"/>
  </w:num>
  <w:num w:numId="8">
    <w:abstractNumId w:val="22"/>
  </w:num>
  <w:num w:numId="9">
    <w:abstractNumId w:val="25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18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6"/>
  </w:num>
  <w:num w:numId="28">
    <w:abstractNumId w:val="30"/>
  </w:num>
  <w:num w:numId="29">
    <w:abstractNumId w:val="20"/>
  </w:num>
  <w:num w:numId="30">
    <w:abstractNumId w:val="19"/>
  </w:num>
  <w:num w:numId="31">
    <w:abstractNumId w:val="17"/>
  </w:num>
  <w:num w:numId="32">
    <w:abstractNumId w:val="6"/>
  </w:num>
  <w:num w:numId="33">
    <w:abstractNumId w:val="3"/>
  </w:num>
  <w:num w:numId="34">
    <w:abstractNumId w:val="28"/>
  </w:num>
  <w:num w:numId="35">
    <w:abstractNumId w:val="10"/>
  </w:num>
  <w:num w:numId="36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1D67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D4B14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301F76"/>
    <w:rsid w:val="00310444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3750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E6CDA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2D7A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83D65"/>
    <w:rsid w:val="00BA1A70"/>
    <w:rsid w:val="00BA1AB6"/>
    <w:rsid w:val="00BA2865"/>
    <w:rsid w:val="00BB3C12"/>
    <w:rsid w:val="00BB3DB3"/>
    <w:rsid w:val="00BB427D"/>
    <w:rsid w:val="00BC2694"/>
    <w:rsid w:val="00BE114C"/>
    <w:rsid w:val="00BE1AF4"/>
    <w:rsid w:val="00BE30F5"/>
    <w:rsid w:val="00BE4CC5"/>
    <w:rsid w:val="00BF0AE1"/>
    <w:rsid w:val="00C01F0B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D783E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0DBF364-51C2-4EAB-9A7B-6B4BCFBA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31</cp:revision>
  <cp:lastPrinted>2022-11-10T13:58:00Z</cp:lastPrinted>
  <dcterms:created xsi:type="dcterms:W3CDTF">2019-07-04T10:43:00Z</dcterms:created>
  <dcterms:modified xsi:type="dcterms:W3CDTF">2022-11-10T13:58:00Z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