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0D571782"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12D910B" w14:textId="4CB6DD63" w:rsidR="00C4741A" w:rsidRPr="00C4741A" w:rsidRDefault="00C4741A" w:rsidP="00E9222B">
      <w:pPr>
        <w:jc w:val="center"/>
        <w:rPr>
          <w:rFonts w:ascii="Arial Narrow" w:hAnsi="Arial Narrow" w:cs="Arial"/>
        </w:rPr>
      </w:pPr>
      <w:r w:rsidRPr="00C4741A">
        <w:rPr>
          <w:rFonts w:ascii="Arial Narrow" w:hAnsi="Arial Narrow" w:cs="Arial"/>
        </w:rPr>
        <w:t>(pre všetky časti zákazky)</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w:t>
      </w:r>
      <w:r w:rsidRPr="00755471">
        <w:rPr>
          <w:rFonts w:ascii="Arial Narrow" w:eastAsia="Arial" w:hAnsi="Arial Narrow"/>
        </w:rPr>
        <w:lastRenderedPageBreak/>
        <w:t>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2E6352BE" w14:textId="3369FF1E" w:rsidR="00566EE3" w:rsidRDefault="00566EE3" w:rsidP="000D7D1C">
      <w:pPr>
        <w:spacing w:after="120"/>
        <w:jc w:val="both"/>
        <w:rPr>
          <w:rStyle w:val="Jemnzvraznenie"/>
          <w:rFonts w:ascii="Arial Narrow" w:hAnsi="Arial Narrow"/>
          <w:iCs/>
          <w:sz w:val="22"/>
        </w:rPr>
      </w:pPr>
    </w:p>
    <w:p w14:paraId="53C61582" w14:textId="40F91339"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w:t>
      </w:r>
      <w:bookmarkStart w:id="0" w:name="_GoBack"/>
      <w:bookmarkEnd w:id="0"/>
      <w:r w:rsidRPr="00755471">
        <w:rPr>
          <w:rFonts w:ascii="Arial Narrow" w:hAnsi="Arial Narrow"/>
        </w:rPr>
        <w:t>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45815251" w:rsidR="00E9222B" w:rsidRDefault="002C7154" w:rsidP="002C7154">
      <w:pPr>
        <w:spacing w:after="0" w:line="240" w:lineRule="auto"/>
        <w:ind w:left="284"/>
        <w:jc w:val="both"/>
        <w:rPr>
          <w:rFonts w:ascii="Arial Narrow" w:hAnsi="Arial Narrow"/>
        </w:rPr>
      </w:pPr>
      <w:r>
        <w:rPr>
          <w:rFonts w:ascii="Arial Narrow" w:hAnsi="Arial Narrow"/>
        </w:rPr>
        <w:t>Neaplikuje sa.</w:t>
      </w:r>
    </w:p>
    <w:p w14:paraId="0D3FC2FF" w14:textId="77777777" w:rsidR="002C7154" w:rsidRDefault="002C7154" w:rsidP="002C7154">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7A3D000" w14:textId="77777777" w:rsidR="002747B4" w:rsidRPr="002747B4" w:rsidRDefault="002747B4" w:rsidP="002747B4">
      <w:pPr>
        <w:spacing w:after="0" w:line="240" w:lineRule="auto"/>
        <w:jc w:val="both"/>
        <w:rPr>
          <w:rFonts w:ascii="Arial Narrow" w:hAnsi="Arial Narrow"/>
          <w:b/>
          <w:shd w:val="clear" w:color="auto" w:fill="FFFFFF"/>
        </w:rPr>
      </w:pPr>
      <w:r w:rsidRPr="002747B4">
        <w:rPr>
          <w:rFonts w:ascii="Arial Narrow" w:hAnsi="Arial Narrow"/>
          <w:b/>
          <w:shd w:val="clear" w:color="auto" w:fill="FFFFFF"/>
        </w:rPr>
        <w:t>§ 34 ods. 1 písm. a) zákona</w:t>
      </w:r>
    </w:p>
    <w:p w14:paraId="226F6845"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 xml:space="preserve">Verejný obstarávateľ požaduje predložiť zoznam poskytnutých služieb rovnakého alebo podobného charakteru ako predmet zákazky, ktorých finančný objem bol spolu za uvedené obdobie, t. j </w:t>
      </w:r>
      <w:r w:rsidRPr="002747B4">
        <w:rPr>
          <w:rFonts w:ascii="Arial Narrow" w:hAnsi="Arial Narrow"/>
          <w:b/>
          <w:shd w:val="clear" w:color="auto" w:fill="FFFFFF"/>
        </w:rPr>
        <w:t>predchádzajúce tri roky vo výške minimálne 2 mil.  bez DPH</w:t>
      </w:r>
      <w:r w:rsidRPr="002747B4">
        <w:rPr>
          <w:rFonts w:ascii="Arial Narrow" w:hAnsi="Arial Narrow"/>
          <w:shd w:val="clear" w:color="auto" w:fill="FFFFFF"/>
        </w:rPr>
        <w:t>.</w:t>
      </w:r>
    </w:p>
    <w:p w14:paraId="26FFD17F"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Referencia bude obsahovať minimálne nasledovné údaje:</w:t>
      </w:r>
    </w:p>
    <w:p w14:paraId="3F14B1FB"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názov alebo obchodné meno uchádzača, adresu jeho sídla alebo miesto podnikania,</w:t>
      </w:r>
    </w:p>
    <w:p w14:paraId="17FCB08B"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názov alebo obchodné meno odberateľa, adresu jeho sídla alebo miesto podnikania,</w:t>
      </w:r>
    </w:p>
    <w:p w14:paraId="540D8D7A" w14:textId="77777777" w:rsidR="002747B4" w:rsidRPr="002747B4" w:rsidRDefault="002747B4" w:rsidP="002747B4">
      <w:pPr>
        <w:spacing w:after="0" w:line="240" w:lineRule="auto"/>
        <w:ind w:left="709" w:hanging="709"/>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názov a stručný opis predmetu zmluvy, z ktorého musí vyplývať, že zákazka bola rovnakého alebo podobného charakteru,</w:t>
      </w:r>
    </w:p>
    <w:p w14:paraId="26F95804"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zmluvnú cenu bez DPH,</w:t>
      </w:r>
    </w:p>
    <w:p w14:paraId="46B24AFF"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skutočne uhradenú cenu bez DPH s uvedením dôvodu rozdielu,</w:t>
      </w:r>
    </w:p>
    <w:p w14:paraId="40F405A8"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zmluvnú lehotu poskytnutia služby,</w:t>
      </w:r>
    </w:p>
    <w:p w14:paraId="6C89E2E2"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skutočnú lehotu poskytnutia služby s uvedením dôvodu rozdielu,</w:t>
      </w:r>
    </w:p>
    <w:p w14:paraId="00D1E4AD"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potvrdenie odberateľa o poskytnutí služby,</w:t>
      </w:r>
    </w:p>
    <w:p w14:paraId="618CD859" w14:textId="0F3E7BF8" w:rsidR="008B538F"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meno a telefónne číslo kontaktnej osoby odberateľa, pre overenie si uvedených informácií.</w:t>
      </w:r>
    </w:p>
    <w:p w14:paraId="4D50325F" w14:textId="77777777" w:rsidR="002747B4" w:rsidRDefault="002747B4" w:rsidP="008B538F">
      <w:pPr>
        <w:spacing w:after="0" w:line="240" w:lineRule="auto"/>
        <w:jc w:val="both"/>
        <w:rPr>
          <w:rFonts w:ascii="Arial Narrow" w:hAnsi="Arial Narrow"/>
          <w:shd w:val="clear" w:color="auto" w:fill="FFFFFF"/>
        </w:rPr>
      </w:pPr>
    </w:p>
    <w:p w14:paraId="4DB154B3" w14:textId="07E8801F" w:rsidR="00AA4FC2" w:rsidRPr="002C7154" w:rsidRDefault="002C7154" w:rsidP="002C7154">
      <w:pPr>
        <w:pStyle w:val="Zarkazkladnhotextu2"/>
        <w:numPr>
          <w:ilvl w:val="0"/>
          <w:numId w:val="16"/>
        </w:numPr>
        <w:spacing w:before="120" w:line="240" w:lineRule="auto"/>
        <w:ind w:left="284" w:hanging="284"/>
        <w:jc w:val="both"/>
        <w:rPr>
          <w:rFonts w:ascii="Arial Narrow" w:hAnsi="Arial Narrow" w:cs="Arial"/>
          <w:b/>
          <w:iCs/>
        </w:rPr>
      </w:pPr>
      <w:r w:rsidRPr="002C7154">
        <w:rPr>
          <w:rFonts w:ascii="Arial Narrow" w:hAnsi="Arial Narrow"/>
          <w:b/>
          <w:u w:val="single"/>
          <w:lang w:val="sk-SK" w:eastAsia="sk-SK"/>
        </w:rPr>
        <w:t>Všeobecné informácie, JED</w:t>
      </w: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581F3451" w14:textId="77777777"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2C7154">
        <w:rPr>
          <w:rFonts w:ascii="Arial Narrow" w:hAnsi="Arial Narrow" w:cs="Arial Narrow"/>
        </w:rPr>
        <w:t>elektronický</w:t>
      </w:r>
      <w:r w:rsidRPr="00F73CE5">
        <w:rPr>
          <w:rFonts w:ascii="Arial Narrow" w:hAnsi="Arial Narrow" w:cs="Arial Narrow"/>
        </w:rPr>
        <w:t xml:space="preserve"> formulár JED </w:t>
      </w:r>
      <w:r w:rsidRPr="002C7154">
        <w:rPr>
          <w:rFonts w:ascii="Arial Narrow" w:hAnsi="Arial Narrow" w:cs="Arial Narrow"/>
          <w:highlight w:val="yellow"/>
        </w:rPr>
        <w:t>vo formáte .</w:t>
      </w:r>
      <w:proofErr w:type="spellStart"/>
      <w:r w:rsidRPr="002C7154">
        <w:rPr>
          <w:rFonts w:ascii="Arial Narrow" w:hAnsi="Arial Narrow" w:cs="Arial Narrow"/>
          <w:highlight w:val="yellow"/>
        </w:rPr>
        <w:t>xml</w:t>
      </w:r>
      <w:proofErr w:type="spellEnd"/>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C232" w14:textId="77777777" w:rsidR="00902FD9" w:rsidRDefault="00902FD9" w:rsidP="00CF3803">
      <w:pPr>
        <w:spacing w:after="0" w:line="240" w:lineRule="auto"/>
      </w:pPr>
      <w:r>
        <w:separator/>
      </w:r>
    </w:p>
  </w:endnote>
  <w:endnote w:type="continuationSeparator" w:id="0">
    <w:p w14:paraId="27C8FC70" w14:textId="77777777" w:rsidR="00902FD9" w:rsidRDefault="00902F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13EE" w14:textId="77777777" w:rsidR="00902FD9" w:rsidRDefault="00902FD9" w:rsidP="00CF3803">
      <w:pPr>
        <w:spacing w:after="0" w:line="240" w:lineRule="auto"/>
      </w:pPr>
      <w:r>
        <w:separator/>
      </w:r>
    </w:p>
  </w:footnote>
  <w:footnote w:type="continuationSeparator" w:id="0">
    <w:p w14:paraId="0DF33082" w14:textId="77777777" w:rsidR="00902FD9" w:rsidRDefault="00902FD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930F" w14:textId="23C79207" w:rsidR="002C7154" w:rsidRPr="007F4395" w:rsidRDefault="002C7154" w:rsidP="002C7154">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r>
      <w:rPr>
        <w:rFonts w:ascii="Arial Narrow" w:hAnsi="Arial Narrow" w:cs="Arial"/>
        <w:sz w:val="20"/>
        <w:szCs w:val="20"/>
      </w:rPr>
      <w:t xml:space="preserve"> - </w:t>
    </w:r>
    <w:r w:rsidRPr="007F4395">
      <w:rPr>
        <w:rFonts w:ascii="Arial Narrow" w:hAnsi="Arial Narrow" w:cs="Arial"/>
        <w:sz w:val="20"/>
        <w:szCs w:val="20"/>
      </w:rPr>
      <w:t>Podmienky účasti</w:t>
    </w:r>
  </w:p>
  <w:p w14:paraId="7576BED2" w14:textId="77777777" w:rsidR="002C7154" w:rsidRDefault="002C7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5CA3A48"/>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47B4"/>
    <w:rsid w:val="002843B7"/>
    <w:rsid w:val="00284649"/>
    <w:rsid w:val="00285EE8"/>
    <w:rsid w:val="002A5C9C"/>
    <w:rsid w:val="002B34E8"/>
    <w:rsid w:val="002C7154"/>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6EE3"/>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560A"/>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4741A"/>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F028-A032-4273-9F66-A199CB90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1394</Words>
  <Characters>7950</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Kundrát</cp:lastModifiedBy>
  <cp:revision>6</cp:revision>
  <cp:lastPrinted>2022-09-21T10:57:00Z</cp:lastPrinted>
  <dcterms:created xsi:type="dcterms:W3CDTF">2022-04-03T15:40:00Z</dcterms:created>
  <dcterms:modified xsi:type="dcterms:W3CDTF">2022-09-21T10:57:00Z</dcterms:modified>
</cp:coreProperties>
</file>