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094B56AA" w14:textId="40398A4E" w:rsidR="002F7BF0" w:rsidRPr="00A31C97" w:rsidRDefault="00B75539" w:rsidP="005C2A5E">
      <w:pPr>
        <w:spacing w:after="0" w:line="240" w:lineRule="auto"/>
        <w:jc w:val="center"/>
        <w:rPr>
          <w:rFonts w:cstheme="minorHAnsi"/>
          <w:sz w:val="20"/>
          <w:szCs w:val="20"/>
        </w:rPr>
      </w:pPr>
      <w:r w:rsidRPr="00B75539">
        <w:rPr>
          <w:rFonts w:cstheme="minorHAnsi"/>
          <w:b/>
          <w:sz w:val="24"/>
          <w:szCs w:val="24"/>
        </w:rPr>
        <w:t>Zabezpečenie dodávky potravín pre ZSS HARMÓNIA</w:t>
      </w: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0A75F084"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75539">
        <w:rPr>
          <w:rFonts w:cstheme="minorHAnsi"/>
          <w:sz w:val="20"/>
          <w:szCs w:val="20"/>
        </w:rPr>
        <w:t xml:space="preserve">november </w:t>
      </w:r>
      <w:r w:rsidR="00B97C0D" w:rsidRPr="00A31C97">
        <w:rPr>
          <w:rFonts w:cstheme="minorHAnsi"/>
          <w:sz w:val="20"/>
          <w:szCs w:val="20"/>
        </w:rPr>
        <w:t>202</w:t>
      </w:r>
      <w:r w:rsidR="009A60BF">
        <w:rPr>
          <w:rFonts w:cstheme="minorHAnsi"/>
          <w:sz w:val="20"/>
          <w:szCs w:val="20"/>
        </w:rPr>
        <w:t>2</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A7BA009" w:rsidR="00B97C0D" w:rsidRDefault="00B97C0D" w:rsidP="00322732">
      <w:pPr>
        <w:spacing w:after="0" w:line="240" w:lineRule="auto"/>
        <w:jc w:val="both"/>
        <w:rPr>
          <w:rFonts w:cstheme="minorHAnsi"/>
          <w:sz w:val="20"/>
          <w:szCs w:val="20"/>
        </w:rPr>
      </w:pPr>
    </w:p>
    <w:p w14:paraId="73B760F8" w14:textId="77777777" w:rsidR="00B75539" w:rsidRPr="00A31C97" w:rsidRDefault="00B75539"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7B59DC61" w14:textId="77777777" w:rsidR="00B75539" w:rsidRPr="008E2F95" w:rsidRDefault="00B75539" w:rsidP="00B75539">
      <w:pPr>
        <w:pStyle w:val="Odsekzoznamu"/>
        <w:tabs>
          <w:tab w:val="left" w:pos="2880"/>
        </w:tabs>
        <w:spacing w:after="0" w:line="264" w:lineRule="auto"/>
        <w:ind w:left="0"/>
        <w:rPr>
          <w:rFonts w:cstheme="minorHAnsi"/>
          <w:sz w:val="20"/>
          <w:szCs w:val="20"/>
        </w:rPr>
      </w:pPr>
      <w:r w:rsidRPr="008E2F95">
        <w:rPr>
          <w:rFonts w:cstheme="minorHAnsi"/>
          <w:b/>
          <w:sz w:val="20"/>
          <w:szCs w:val="20"/>
        </w:rPr>
        <w:t>Názov:</w:t>
      </w:r>
      <w:r w:rsidRPr="008E2F95">
        <w:rPr>
          <w:rFonts w:cstheme="minorHAnsi"/>
          <w:sz w:val="20"/>
          <w:szCs w:val="20"/>
        </w:rPr>
        <w:t xml:space="preserve"> </w:t>
      </w:r>
      <w:r>
        <w:rPr>
          <w:rFonts w:cstheme="minorHAnsi"/>
          <w:sz w:val="20"/>
          <w:szCs w:val="20"/>
        </w:rPr>
        <w:t>Zariadenie sociálnych služieb HARMÓNIA</w:t>
      </w:r>
    </w:p>
    <w:p w14:paraId="416879C9" w14:textId="77777777" w:rsidR="00B75539" w:rsidRDefault="00B75539" w:rsidP="00B75539">
      <w:pPr>
        <w:pStyle w:val="Odsekzoznamu"/>
        <w:tabs>
          <w:tab w:val="left" w:pos="2880"/>
        </w:tabs>
        <w:spacing w:after="0" w:line="264" w:lineRule="auto"/>
        <w:ind w:left="0"/>
        <w:rPr>
          <w:rFonts w:cstheme="minorHAnsi"/>
          <w:sz w:val="20"/>
          <w:szCs w:val="20"/>
        </w:rPr>
      </w:pPr>
      <w:r w:rsidRPr="008E2F95">
        <w:rPr>
          <w:rFonts w:cstheme="minorHAnsi"/>
          <w:b/>
          <w:sz w:val="20"/>
          <w:szCs w:val="20"/>
        </w:rPr>
        <w:t>IČO:</w:t>
      </w:r>
      <w:r>
        <w:rPr>
          <w:rFonts w:cstheme="minorHAnsi"/>
          <w:b/>
          <w:sz w:val="20"/>
          <w:szCs w:val="20"/>
        </w:rPr>
        <w:t xml:space="preserve"> 527 57 056</w:t>
      </w:r>
      <w:r w:rsidRPr="008E2F95">
        <w:rPr>
          <w:rFonts w:cstheme="minorHAnsi"/>
          <w:sz w:val="20"/>
          <w:szCs w:val="20"/>
        </w:rPr>
        <w:t xml:space="preserve"> </w:t>
      </w:r>
    </w:p>
    <w:p w14:paraId="6014FA4C" w14:textId="77777777" w:rsidR="00B75539" w:rsidRPr="008E2F95" w:rsidRDefault="00B75539" w:rsidP="00B75539">
      <w:pPr>
        <w:pStyle w:val="Odsekzoznamu"/>
        <w:tabs>
          <w:tab w:val="left" w:pos="2880"/>
        </w:tabs>
        <w:spacing w:after="0" w:line="264" w:lineRule="auto"/>
        <w:ind w:left="0"/>
        <w:rPr>
          <w:rFonts w:cstheme="minorHAnsi"/>
          <w:sz w:val="20"/>
          <w:szCs w:val="20"/>
        </w:rPr>
      </w:pPr>
      <w:r w:rsidRPr="008E2F95">
        <w:rPr>
          <w:rFonts w:cstheme="minorHAnsi"/>
          <w:b/>
          <w:sz w:val="20"/>
          <w:szCs w:val="20"/>
        </w:rPr>
        <w:t>Sídlo:</w:t>
      </w:r>
      <w:r w:rsidRPr="008E2F95">
        <w:rPr>
          <w:rFonts w:cstheme="minorHAnsi"/>
          <w:sz w:val="20"/>
          <w:szCs w:val="20"/>
        </w:rPr>
        <w:t xml:space="preserve"> </w:t>
      </w:r>
      <w:proofErr w:type="spellStart"/>
      <w:r>
        <w:t>Tuhárske</w:t>
      </w:r>
      <w:proofErr w:type="spellEnd"/>
      <w:r>
        <w:t xml:space="preserve"> námestie 886/10, 984 03 Lučenec</w:t>
      </w:r>
    </w:p>
    <w:p w14:paraId="1FD30D21" w14:textId="77777777" w:rsidR="00B75539" w:rsidRPr="008E2F95" w:rsidRDefault="00B75539" w:rsidP="00B75539">
      <w:pPr>
        <w:pStyle w:val="Odsekzoznamu"/>
        <w:tabs>
          <w:tab w:val="left" w:pos="2880"/>
        </w:tabs>
        <w:spacing w:after="0" w:line="264" w:lineRule="auto"/>
        <w:ind w:left="0"/>
        <w:rPr>
          <w:rFonts w:cstheme="minorHAnsi"/>
          <w:sz w:val="20"/>
          <w:szCs w:val="20"/>
        </w:rPr>
      </w:pPr>
      <w:r w:rsidRPr="008E2F95">
        <w:rPr>
          <w:rFonts w:cstheme="minorHAnsi"/>
          <w:b/>
          <w:sz w:val="20"/>
          <w:szCs w:val="20"/>
        </w:rPr>
        <w:t>Štatutárny orgán:</w:t>
      </w:r>
      <w:r w:rsidRPr="008E2F95">
        <w:rPr>
          <w:rFonts w:cstheme="minorHAnsi"/>
          <w:sz w:val="20"/>
          <w:szCs w:val="20"/>
        </w:rPr>
        <w:t xml:space="preserve"> </w:t>
      </w:r>
      <w:proofErr w:type="spellStart"/>
      <w:r>
        <w:rPr>
          <w:rFonts w:cstheme="minorHAnsi"/>
          <w:sz w:val="20"/>
          <w:szCs w:val="20"/>
        </w:rPr>
        <w:t>PaeDr</w:t>
      </w:r>
      <w:proofErr w:type="spellEnd"/>
      <w:r>
        <w:rPr>
          <w:rFonts w:cstheme="minorHAnsi"/>
          <w:sz w:val="20"/>
          <w:szCs w:val="20"/>
        </w:rPr>
        <w:t xml:space="preserve">. Estera </w:t>
      </w:r>
      <w:proofErr w:type="spellStart"/>
      <w:r>
        <w:rPr>
          <w:rFonts w:cstheme="minorHAnsi"/>
          <w:sz w:val="20"/>
          <w:szCs w:val="20"/>
        </w:rPr>
        <w:t>Rózsaróvá</w:t>
      </w:r>
      <w:proofErr w:type="spellEnd"/>
    </w:p>
    <w:p w14:paraId="7EAB6474" w14:textId="77777777" w:rsidR="00B75539" w:rsidRPr="008E2F95" w:rsidRDefault="00B75539" w:rsidP="00B75539">
      <w:pPr>
        <w:pStyle w:val="Odsekzoznamu"/>
        <w:tabs>
          <w:tab w:val="left" w:pos="2880"/>
        </w:tabs>
        <w:spacing w:after="0" w:line="264" w:lineRule="auto"/>
        <w:ind w:left="0"/>
        <w:rPr>
          <w:rFonts w:cstheme="minorHAnsi"/>
          <w:sz w:val="20"/>
          <w:szCs w:val="20"/>
        </w:rPr>
      </w:pPr>
      <w:r w:rsidRPr="008E2F95">
        <w:rPr>
          <w:rFonts w:cstheme="minorHAnsi"/>
          <w:b/>
          <w:sz w:val="20"/>
          <w:szCs w:val="20"/>
        </w:rPr>
        <w:t>Typ verejného obstarávateľa:</w:t>
      </w:r>
      <w:r w:rsidRPr="008E2F95">
        <w:rPr>
          <w:rFonts w:cstheme="minorHAnsi"/>
          <w:sz w:val="20"/>
          <w:szCs w:val="20"/>
        </w:rPr>
        <w:t xml:space="preserve"> 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16DA6AF7"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r w:rsidR="005C2A5E" w:rsidRPr="00A31C97">
        <w:rPr>
          <w:rFonts w:cstheme="minorHAnsi"/>
          <w:sz w:val="20"/>
          <w:szCs w:val="20"/>
        </w:rPr>
        <w:t xml:space="preserve">Mgr. Jana Vašičková – odborná referentka pre verejné obstarávanie, </w:t>
      </w:r>
      <w:hyperlink r:id="rId8" w:history="1">
        <w:r w:rsidR="005C2A5E" w:rsidRPr="00A31C97">
          <w:rPr>
            <w:rStyle w:val="Hypertextovprepojenie"/>
            <w:rFonts w:cstheme="minorHAnsi"/>
            <w:sz w:val="20"/>
            <w:szCs w:val="20"/>
          </w:rPr>
          <w:t>jana.vasickova@bbsk.sk</w:t>
        </w:r>
      </w:hyperlink>
      <w:r w:rsidR="005C2A5E" w:rsidRPr="00A31C97">
        <w:rPr>
          <w:rFonts w:cstheme="minorHAnsi"/>
          <w:sz w:val="20"/>
          <w:szCs w:val="20"/>
        </w:rPr>
        <w:t xml:space="preserve">, </w:t>
      </w:r>
      <w:r>
        <w:rPr>
          <w:rFonts w:cstheme="minorHAnsi"/>
          <w:sz w:val="20"/>
          <w:szCs w:val="20"/>
        </w:rPr>
        <w:tab/>
      </w:r>
      <w:r w:rsidR="005C2A5E" w:rsidRPr="00A31C97">
        <w:rPr>
          <w:rFonts w:cstheme="minorHAnsi"/>
          <w:color w:val="000000" w:themeColor="text1"/>
          <w:sz w:val="20"/>
          <w:szCs w:val="20"/>
        </w:rPr>
        <w:t>+421(48)432 56 47</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440D49E2" w:rsidR="00063511" w:rsidRPr="00A31C97"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r w:rsidR="0090410F">
        <w:rPr>
          <w:rFonts w:eastAsia="Arial" w:cstheme="minorHAnsi"/>
          <w:sz w:val="20"/>
          <w:szCs w:val="20"/>
          <w:u w:val="single"/>
        </w:rPr>
        <w:t xml:space="preserve">Zákazka je rozdelená na </w:t>
      </w:r>
      <w:r w:rsidR="00B75539">
        <w:rPr>
          <w:rFonts w:eastAsia="Arial" w:cstheme="minorHAnsi"/>
          <w:sz w:val="20"/>
          <w:szCs w:val="20"/>
          <w:u w:val="single"/>
        </w:rPr>
        <w:t>deväť</w:t>
      </w:r>
      <w:r w:rsidR="009D7DEA">
        <w:rPr>
          <w:rFonts w:eastAsia="Arial" w:cstheme="minorHAnsi"/>
          <w:sz w:val="20"/>
          <w:szCs w:val="20"/>
          <w:u w:val="single"/>
        </w:rPr>
        <w:t xml:space="preserve"> častí:</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1DCD9BEE" w14:textId="61E1A36D" w:rsidR="00B75539" w:rsidRPr="00B75539" w:rsidRDefault="00B75539" w:rsidP="00B75539">
      <w:pPr>
        <w:pStyle w:val="Odsekzoznamu"/>
        <w:spacing w:after="0" w:line="240" w:lineRule="auto"/>
        <w:ind w:left="1134" w:right="273"/>
        <w:rPr>
          <w:rFonts w:eastAsia="Arial" w:cstheme="minorHAnsi"/>
          <w:b/>
          <w:bCs/>
          <w:sz w:val="20"/>
          <w:szCs w:val="20"/>
        </w:rPr>
      </w:pPr>
      <w:r>
        <w:rPr>
          <w:rFonts w:eastAsia="Arial" w:cstheme="minorHAnsi"/>
          <w:b/>
          <w:bCs/>
          <w:sz w:val="20"/>
          <w:szCs w:val="20"/>
        </w:rPr>
        <w:t xml:space="preserve"> </w:t>
      </w:r>
      <w:r w:rsidRPr="00B75539">
        <w:rPr>
          <w:rFonts w:eastAsia="Arial" w:cstheme="minorHAnsi"/>
          <w:b/>
          <w:bCs/>
          <w:sz w:val="20"/>
          <w:szCs w:val="20"/>
        </w:rPr>
        <w:t xml:space="preserve">1. Ovocie a zelenina </w:t>
      </w:r>
    </w:p>
    <w:p w14:paraId="73E3C2AA"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2. Chlieb a pečivo </w:t>
      </w:r>
    </w:p>
    <w:p w14:paraId="03AFDF5C"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3. Mlieko a mliečne výrobky </w:t>
      </w:r>
    </w:p>
    <w:p w14:paraId="0D18799B"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4. Mrazené mäso a mäsové výrobky (chladené)</w:t>
      </w:r>
    </w:p>
    <w:p w14:paraId="7EFDF716"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5. Mrazené ryby</w:t>
      </w:r>
    </w:p>
    <w:p w14:paraId="6FFD07A4"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6. Mrazené polotovary</w:t>
      </w:r>
    </w:p>
    <w:p w14:paraId="591B1A22"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7. Cestoviny</w:t>
      </w:r>
    </w:p>
    <w:p w14:paraId="7FC6786B" w14:textId="77777777" w:rsidR="00B75539" w:rsidRPr="00B75539" w:rsidRDefault="00B75539" w:rsidP="00B75539">
      <w:pPr>
        <w:pStyle w:val="Odsekzoznamu"/>
        <w:spacing w:after="0" w:line="240" w:lineRule="auto"/>
        <w:ind w:left="1134" w:right="273"/>
        <w:rPr>
          <w:rFonts w:eastAsia="Arial" w:cstheme="minorHAnsi"/>
          <w:b/>
          <w:bCs/>
          <w:sz w:val="20"/>
          <w:szCs w:val="20"/>
        </w:rPr>
      </w:pPr>
      <w:r w:rsidRPr="00B75539">
        <w:rPr>
          <w:rFonts w:eastAsia="Arial" w:cstheme="minorHAnsi"/>
          <w:b/>
          <w:bCs/>
          <w:sz w:val="20"/>
          <w:szCs w:val="20"/>
        </w:rPr>
        <w:t xml:space="preserve"> 8.Trvanlivé potraviny</w:t>
      </w:r>
    </w:p>
    <w:p w14:paraId="2F4B2518" w14:textId="6619B2E2" w:rsidR="009F1718" w:rsidRPr="00B75539" w:rsidRDefault="00B75539" w:rsidP="00B75539">
      <w:pPr>
        <w:spacing w:after="0" w:line="240" w:lineRule="auto"/>
        <w:ind w:left="425" w:right="273" w:firstLine="709"/>
        <w:rPr>
          <w:rFonts w:eastAsia="Arial" w:cstheme="minorHAnsi"/>
          <w:b/>
          <w:bCs/>
          <w:sz w:val="20"/>
          <w:szCs w:val="20"/>
        </w:rPr>
      </w:pPr>
      <w:r>
        <w:rPr>
          <w:rFonts w:eastAsia="Arial" w:cstheme="minorHAnsi"/>
          <w:b/>
          <w:bCs/>
          <w:sz w:val="20"/>
          <w:szCs w:val="20"/>
        </w:rPr>
        <w:t xml:space="preserve"> </w:t>
      </w:r>
      <w:r w:rsidRPr="00B75539">
        <w:rPr>
          <w:rFonts w:eastAsia="Arial" w:cstheme="minorHAnsi"/>
          <w:b/>
          <w:bCs/>
          <w:sz w:val="20"/>
          <w:szCs w:val="20"/>
        </w:rPr>
        <w:t>9. Zákusky</w:t>
      </w:r>
    </w:p>
    <w:p w14:paraId="2E330F61" w14:textId="77777777" w:rsidR="00B75539" w:rsidRPr="00A31C97" w:rsidRDefault="00B75539" w:rsidP="00B75539">
      <w:pPr>
        <w:pStyle w:val="Odsekzoznamu"/>
        <w:spacing w:after="0" w:line="240" w:lineRule="auto"/>
        <w:ind w:left="0" w:right="273" w:firstLine="709"/>
        <w:rPr>
          <w:rFonts w:eastAsia="Arial" w:cstheme="minorHAnsi"/>
          <w:sz w:val="20"/>
          <w:szCs w:val="20"/>
        </w:rPr>
      </w:pPr>
    </w:p>
    <w:p w14:paraId="15C8A2DC" w14:textId="77777777" w:rsidR="00063511" w:rsidRPr="00A31C97" w:rsidRDefault="00063511" w:rsidP="007B16BB">
      <w:pPr>
        <w:pStyle w:val="Odsekzoznamu"/>
        <w:spacing w:after="0" w:line="240" w:lineRule="auto"/>
        <w:ind w:left="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7B16BB">
      <w:pPr>
        <w:pStyle w:val="Odsekzoznamu"/>
        <w:spacing w:after="0" w:line="240" w:lineRule="auto"/>
        <w:ind w:left="0" w:right="273"/>
        <w:rPr>
          <w:rFonts w:eastAsia="Arial" w:cstheme="minorHAnsi"/>
          <w:b/>
          <w:sz w:val="20"/>
          <w:szCs w:val="20"/>
          <w:u w:val="single"/>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604B254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w:t>
      </w:r>
      <w:r w:rsidR="00B75539">
        <w:rPr>
          <w:rFonts w:eastAsia="Arial" w:cstheme="minorHAnsi"/>
          <w:sz w:val="20"/>
          <w:szCs w:val="20"/>
        </w:rPr>
        <w:t>2</w:t>
      </w:r>
      <w:r w:rsidR="00673D00" w:rsidRPr="00A31C97">
        <w:rPr>
          <w:rFonts w:eastAsia="Arial" w:cstheme="minorHAnsi"/>
          <w:sz w:val="20"/>
          <w:szCs w:val="20"/>
        </w:rPr>
        <w:t>. 202</w:t>
      </w:r>
      <w:r w:rsidR="00700D19">
        <w:rPr>
          <w:rFonts w:eastAsia="Arial" w:cstheme="minorHAnsi"/>
          <w:sz w:val="20"/>
          <w:szCs w:val="20"/>
        </w:rPr>
        <w:t>3</w:t>
      </w:r>
      <w:r w:rsidRPr="00A31C97">
        <w:rPr>
          <w:rFonts w:eastAsia="Arial" w:cstheme="minorHAnsi"/>
          <w:sz w:val="20"/>
          <w:szCs w:val="20"/>
        </w:rPr>
        <w:t>.</w:t>
      </w:r>
    </w:p>
    <w:p w14:paraId="0DF71E38" w14:textId="77777777" w:rsidR="00063511" w:rsidRPr="00A31C97" w:rsidRDefault="00063511" w:rsidP="007B16BB">
      <w:pPr>
        <w:pStyle w:val="Odsekzoznamu"/>
        <w:spacing w:after="0" w:line="240" w:lineRule="auto"/>
        <w:ind w:left="0" w:right="273"/>
        <w:jc w:val="both"/>
        <w:rPr>
          <w:rFonts w:cstheme="minorHAnsi"/>
          <w:color w:val="4C5259"/>
          <w:sz w:val="20"/>
          <w:szCs w:val="20"/>
        </w:rPr>
      </w:pPr>
    </w:p>
    <w:p w14:paraId="5C4EF919" w14:textId="4744A652"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182F633D" w:rsidR="0082545F" w:rsidRPr="00A31C97" w:rsidRDefault="0082545F" w:rsidP="007B16BB">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4DC496C7" w:rsidR="003B1FD5" w:rsidRPr="00A31C97" w:rsidRDefault="0025536F" w:rsidP="004A2C00">
      <w:pPr>
        <w:spacing w:after="0" w:line="240" w:lineRule="auto"/>
        <w:ind w:left="1134"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11C7F29E"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Ovocie a zelenina   </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03200000-3</w:t>
      </w:r>
      <w:r w:rsidRPr="00A31C97">
        <w:rPr>
          <w:rFonts w:eastAsia="Calibri" w:cstheme="minorHAnsi"/>
          <w:color w:val="000000"/>
          <w:sz w:val="20"/>
          <w:szCs w:val="20"/>
          <w:lang w:eastAsia="sk-SK"/>
        </w:rPr>
        <w:t xml:space="preserve"> Obilniny, zemiaky, zelenina, ovocie a orechy</w:t>
      </w:r>
    </w:p>
    <w:p w14:paraId="22761614" w14:textId="3EB35E81"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739BB4F" w14:textId="023D632B"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Mlieko a mliečne výrobky</w:t>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49E66A96" w14:textId="0812161B" w:rsidR="00706C99" w:rsidRPr="00A31C97" w:rsidRDefault="00706C99" w:rsidP="004A2C00">
      <w:pPr>
        <w:spacing w:after="0" w:line="240" w:lineRule="auto"/>
        <w:ind w:left="1134"/>
        <w:jc w:val="both"/>
        <w:rPr>
          <w:rFonts w:eastAsia="Calibri" w:cstheme="minorHAnsi"/>
          <w:color w:val="000000"/>
          <w:sz w:val="20"/>
          <w:szCs w:val="20"/>
          <w:lang w:eastAsia="sk-SK"/>
        </w:rPr>
      </w:pPr>
      <w:r>
        <w:rPr>
          <w:rFonts w:eastAsia="Calibri" w:cstheme="minorHAnsi"/>
          <w:b/>
          <w:color w:val="000000"/>
          <w:sz w:val="20"/>
          <w:szCs w:val="20"/>
          <w:lang w:eastAsia="sk-SK"/>
        </w:rPr>
        <w:t>Mäso a m</w:t>
      </w:r>
      <w:r w:rsidRPr="00A31C97">
        <w:rPr>
          <w:rFonts w:eastAsia="Calibri" w:cstheme="minorHAnsi"/>
          <w:b/>
          <w:color w:val="000000"/>
          <w:sz w:val="20"/>
          <w:szCs w:val="20"/>
          <w:lang w:eastAsia="sk-SK"/>
        </w:rPr>
        <w:t>äsové výrobky</w:t>
      </w:r>
      <w:r w:rsidRPr="00A31C97">
        <w:rPr>
          <w:rFonts w:eastAsia="Calibri" w:cstheme="minorHAnsi"/>
          <w:b/>
          <w:color w:val="000000"/>
          <w:sz w:val="20"/>
          <w:szCs w:val="20"/>
          <w:lang w:eastAsia="sk-SK"/>
        </w:rPr>
        <w:tab/>
        <w:t>15100000-9</w:t>
      </w:r>
      <w:r w:rsidRPr="00A31C97">
        <w:rPr>
          <w:rFonts w:eastAsia="Calibri" w:cstheme="minorHAnsi"/>
          <w:color w:val="000000"/>
          <w:sz w:val="20"/>
          <w:szCs w:val="20"/>
          <w:lang w:eastAsia="sk-SK"/>
        </w:rPr>
        <w:t xml:space="preserve"> Živočíšne výrobky, mäso a mäsové výrobky</w:t>
      </w:r>
    </w:p>
    <w:p w14:paraId="2793CA7F" w14:textId="38E6C71A"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Mrazené </w:t>
      </w:r>
      <w:r>
        <w:rPr>
          <w:rFonts w:eastAsia="Calibri" w:cstheme="minorHAnsi"/>
          <w:b/>
          <w:color w:val="000000"/>
          <w:sz w:val="20"/>
          <w:szCs w:val="20"/>
          <w:lang w:eastAsia="sk-SK"/>
        </w:rPr>
        <w:t>výrobky</w:t>
      </w:r>
      <w:r>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678534D" w14:textId="0871113F" w:rsidR="00706C99" w:rsidRPr="00A31C97" w:rsidRDefault="00706C99" w:rsidP="004A2C00">
      <w:pPr>
        <w:spacing w:after="0" w:line="240" w:lineRule="auto"/>
        <w:ind w:left="1134"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lastRenderedPageBreak/>
        <w:t>Trvanlivé potraviny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15000000-8</w:t>
      </w:r>
      <w:r w:rsidRPr="00A31C97">
        <w:rPr>
          <w:rFonts w:eastAsia="Calibri" w:cstheme="minorHAnsi"/>
          <w:color w:val="000000"/>
          <w:sz w:val="20"/>
          <w:szCs w:val="20"/>
          <w:lang w:eastAsia="sk-SK"/>
        </w:rPr>
        <w:t xml:space="preserve"> Potraviny, nápoje, tabak a príbuzné produkty</w:t>
      </w:r>
    </w:p>
    <w:p w14:paraId="02F1A488" w14:textId="74AF5C26" w:rsidR="00706C99" w:rsidRDefault="00706C99" w:rsidP="004A2C00">
      <w:pPr>
        <w:spacing w:after="0" w:line="240" w:lineRule="auto"/>
        <w:ind w:left="1134"/>
        <w:jc w:val="both"/>
        <w:rPr>
          <w:rFonts w:eastAsia="Calibri" w:cstheme="minorHAnsi"/>
          <w:color w:val="000000"/>
          <w:sz w:val="20"/>
          <w:szCs w:val="20"/>
          <w:lang w:eastAsia="sk-SK"/>
        </w:rPr>
      </w:pPr>
      <w:r w:rsidRPr="00A31C97">
        <w:rPr>
          <w:rFonts w:eastAsia="Calibri" w:cstheme="minorHAnsi"/>
          <w:b/>
          <w:color w:val="000000"/>
          <w:sz w:val="20"/>
          <w:szCs w:val="20"/>
          <w:lang w:eastAsia="sk-SK"/>
        </w:rPr>
        <w:t>Vajcia</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 xml:space="preserve">03142500-3 </w:t>
      </w:r>
      <w:r w:rsidRPr="00A31C97">
        <w:rPr>
          <w:rFonts w:eastAsia="Calibri" w:cstheme="minorHAnsi"/>
          <w:color w:val="000000"/>
          <w:sz w:val="20"/>
          <w:szCs w:val="20"/>
          <w:lang w:eastAsia="sk-SK"/>
        </w:rPr>
        <w:t>Vajcia</w:t>
      </w:r>
    </w:p>
    <w:p w14:paraId="6467E34D" w14:textId="132EBC11"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41BD2E55" w:rsidR="00C964B7" w:rsidRPr="00A31C97" w:rsidRDefault="00C964B7" w:rsidP="007B16BB">
      <w:pPr>
        <w:spacing w:after="0" w:line="240" w:lineRule="auto"/>
        <w:ind w:left="426" w:hanging="426"/>
        <w:jc w:val="both"/>
        <w:rPr>
          <w:rFonts w:cstheme="minorHAnsi"/>
          <w:sz w:val="20"/>
          <w:szCs w:val="20"/>
        </w:rPr>
      </w:pPr>
      <w:r w:rsidRPr="007B16BB">
        <w:rPr>
          <w:rFonts w:eastAsia="Arial" w:cstheme="minorHAnsi"/>
          <w:sz w:val="20"/>
          <w:szCs w:val="20"/>
        </w:rPr>
        <w:t xml:space="preserve">2.4 </w:t>
      </w:r>
      <w:r w:rsidR="007B16BB">
        <w:rPr>
          <w:rFonts w:eastAsia="Arial" w:cstheme="minorHAnsi"/>
          <w:sz w:val="20"/>
          <w:szCs w:val="20"/>
        </w:rPr>
        <w:tab/>
      </w:r>
      <w:r w:rsidRPr="007B16BB">
        <w:rPr>
          <w:rFonts w:eastAsia="Arial" w:cstheme="minorHAnsi"/>
          <w:sz w:val="20"/>
          <w:szCs w:val="20"/>
        </w:rPr>
        <w:t>Predpokladaná</w:t>
      </w:r>
      <w:r w:rsidRPr="00A31C97">
        <w:rPr>
          <w:rFonts w:cstheme="minorHAnsi"/>
          <w:sz w:val="20"/>
          <w:szCs w:val="20"/>
        </w:rPr>
        <w:t xml:space="preserve"> hodnota zákazky bola stanovená na sumu </w:t>
      </w:r>
      <w:r w:rsidR="00B75539">
        <w:rPr>
          <w:rFonts w:cstheme="minorHAnsi"/>
          <w:b/>
          <w:sz w:val="20"/>
          <w:szCs w:val="20"/>
        </w:rPr>
        <w:t>282 000,00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214191DF" w14:textId="77777777" w:rsidR="00B75539" w:rsidRDefault="00B75539" w:rsidP="0095290A">
      <w:pPr>
        <w:pStyle w:val="Farebnzoznamzvraznenie11"/>
        <w:ind w:left="0"/>
        <w:jc w:val="both"/>
        <w:rPr>
          <w:rFonts w:asciiTheme="minorHAnsi" w:hAnsiTheme="minorHAnsi" w:cstheme="minorHAnsi"/>
          <w:b/>
          <w:bCs/>
          <w:sz w:val="20"/>
          <w:szCs w:val="20"/>
        </w:rPr>
      </w:pPr>
    </w:p>
    <w:p w14:paraId="26AE4B97" w14:textId="3DE1FA06"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4E0D7023"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567DB8E9" w14:textId="77777777" w:rsidR="00B75539" w:rsidRPr="00BE663C" w:rsidRDefault="00B75539" w:rsidP="00B75539">
      <w:pPr>
        <w:pStyle w:val="tl1"/>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 Zariadenie sociálnych služieb HARMÓNIA</w:t>
      </w:r>
    </w:p>
    <w:p w14:paraId="302BB3B6" w14:textId="77777777" w:rsidR="00B75539" w:rsidRPr="008E2F95" w:rsidRDefault="00B75539" w:rsidP="00B75539">
      <w:pPr>
        <w:pStyle w:val="tl1"/>
        <w:rPr>
          <w:rFonts w:asciiTheme="minorHAnsi" w:hAnsiTheme="minorHAnsi" w:cstheme="minorHAnsi"/>
          <w:b/>
          <w:bCs/>
          <w:sz w:val="20"/>
          <w:szCs w:val="20"/>
        </w:rPr>
      </w:pPr>
      <w:r w:rsidRPr="00BE663C">
        <w:rPr>
          <w:rFonts w:asciiTheme="minorHAnsi" w:eastAsia="Calibri" w:hAnsiTheme="minorHAnsi" w:cstheme="minorHAnsi"/>
          <w:color w:val="000000"/>
          <w:sz w:val="20"/>
          <w:szCs w:val="20"/>
        </w:rPr>
        <w:t xml:space="preserve">Sídlo: </w:t>
      </w:r>
      <w:proofErr w:type="spellStart"/>
      <w:r w:rsidRPr="00BE663C">
        <w:rPr>
          <w:rFonts w:asciiTheme="minorHAnsi" w:eastAsia="Calibri" w:hAnsiTheme="minorHAnsi" w:cstheme="minorHAnsi"/>
          <w:color w:val="000000"/>
          <w:sz w:val="20"/>
          <w:szCs w:val="20"/>
        </w:rPr>
        <w:t>Tuhárske</w:t>
      </w:r>
      <w:proofErr w:type="spellEnd"/>
      <w:r w:rsidRPr="00BE663C">
        <w:rPr>
          <w:rFonts w:asciiTheme="minorHAnsi" w:eastAsia="Calibri" w:hAnsiTheme="minorHAnsi" w:cstheme="minorHAnsi"/>
          <w:color w:val="000000"/>
          <w:sz w:val="20"/>
          <w:szCs w:val="20"/>
        </w:rPr>
        <w:t xml:space="preserve"> námestie 886/10, 984 03 Lučenec</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45B5A7C"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w:t>
      </w:r>
      <w:r w:rsidR="00B75539">
        <w:rPr>
          <w:rFonts w:cstheme="minorHAnsi"/>
          <w:sz w:val="20"/>
          <w:szCs w:val="20"/>
        </w:rPr>
        <w:t>2</w:t>
      </w:r>
      <w:r w:rsidR="001C24FF" w:rsidRPr="00A31C97">
        <w:rPr>
          <w:rFonts w:cstheme="minorHAnsi"/>
          <w:sz w:val="20"/>
          <w:szCs w:val="20"/>
        </w:rPr>
        <w:t>. 202</w:t>
      </w:r>
      <w:r w:rsidR="00E430E8">
        <w:rPr>
          <w:rFonts w:cstheme="minorHAnsi"/>
          <w:sz w:val="20"/>
          <w:szCs w:val="20"/>
        </w:rPr>
        <w:t>3</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4A2C00">
        <w:rPr>
          <w:rFonts w:cstheme="minorHAnsi"/>
          <w:b/>
          <w:sz w:val="20"/>
          <w:szCs w:val="20"/>
        </w:rPr>
        <w:t>2</w:t>
      </w:r>
      <w:r w:rsidR="00B75539">
        <w:rPr>
          <w:rFonts w:cstheme="minorHAnsi"/>
          <w:b/>
          <w:sz w:val="20"/>
          <w:szCs w:val="20"/>
        </w:rPr>
        <w:t>82 0</w:t>
      </w:r>
      <w:r w:rsidR="004A2C00">
        <w:rPr>
          <w:rFonts w:cstheme="minorHAnsi"/>
          <w:b/>
          <w:sz w:val="20"/>
          <w:szCs w:val="20"/>
        </w:rPr>
        <w:t>00</w:t>
      </w:r>
      <w:r w:rsidR="009951E7" w:rsidRPr="009951E7">
        <w:rPr>
          <w:rFonts w:cstheme="minorHAnsi"/>
          <w:b/>
          <w:sz w:val="20"/>
          <w:szCs w:val="20"/>
        </w:rPr>
        <w:t>,00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lastRenderedPageBreak/>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lastRenderedPageBreak/>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lastRenderedPageBreak/>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w:t>
      </w:r>
      <w:r w:rsidR="00803624" w:rsidRPr="00A31C97">
        <w:rPr>
          <w:rStyle w:val="apple-style-span"/>
          <w:rFonts w:asciiTheme="minorHAnsi" w:hAnsiTheme="minorHAnsi" w:cstheme="minorHAnsi"/>
          <w:color w:val="000000"/>
          <w:sz w:val="20"/>
          <w:szCs w:val="20"/>
        </w:rPr>
        <w:lastRenderedPageBreak/>
        <w:t xml:space="preserve">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051FA64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w:t>
      </w:r>
      <w:r w:rsidR="00B75539">
        <w:rPr>
          <w:rFonts w:cstheme="minorHAnsi"/>
          <w:sz w:val="20"/>
          <w:szCs w:val="20"/>
        </w:rPr>
        <w:t>2</w:t>
      </w:r>
      <w:r w:rsidRPr="00A31C97">
        <w:rPr>
          <w:rFonts w:cstheme="minorHAnsi"/>
          <w:sz w:val="20"/>
          <w:szCs w:val="20"/>
        </w:rPr>
        <w:t>. 202</w:t>
      </w:r>
      <w:r w:rsidR="00E430E8">
        <w:rPr>
          <w:rFonts w:cstheme="minorHAnsi"/>
          <w:sz w:val="20"/>
          <w:szCs w:val="20"/>
        </w:rPr>
        <w:t>3</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lastRenderedPageBreak/>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3DBD3DAA" w14:textId="719DD642"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3F33DBC3"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r w:rsidR="00B75539">
        <w:rPr>
          <w:rFonts w:cstheme="minorHAnsi"/>
          <w:sz w:val="20"/>
          <w:szCs w:val="20"/>
        </w:rPr>
        <w:t xml:space="preserve"> Verejný obstarávateľ požaduje čerstvé, nie dopekané výrobky.</w:t>
      </w:r>
    </w:p>
    <w:p w14:paraId="58439E02" w14:textId="3511AA9D" w:rsidR="000B1040" w:rsidRPr="00A31C97" w:rsidRDefault="000B1040" w:rsidP="000B1040">
      <w:pPr>
        <w:spacing w:after="0" w:line="240" w:lineRule="auto"/>
        <w:jc w:val="both"/>
        <w:rPr>
          <w:rFonts w:cstheme="minorHAnsi"/>
          <w:sz w:val="20"/>
          <w:szCs w:val="20"/>
        </w:rPr>
      </w:pPr>
    </w:p>
    <w:p w14:paraId="48A2DC4D" w14:textId="77777777" w:rsidR="00B719F6" w:rsidRPr="00A31C97" w:rsidRDefault="00B719F6" w:rsidP="00346915">
      <w:pPr>
        <w:spacing w:after="0" w:line="240" w:lineRule="auto"/>
        <w:jc w:val="both"/>
        <w:rPr>
          <w:rFonts w:cstheme="minorHAnsi"/>
          <w:color w:val="FF0000"/>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w:t>
      </w:r>
      <w:r w:rsidRPr="005857A3">
        <w:rPr>
          <w:rFonts w:cstheme="minorHAnsi"/>
          <w:sz w:val="20"/>
          <w:szCs w:val="20"/>
          <w:lang w:eastAsia="sk-SK"/>
        </w:rPr>
        <w:lastRenderedPageBreak/>
        <w:t>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5D7F3CDC" w14:textId="77777777" w:rsidR="00A11F92" w:rsidRDefault="005857A3" w:rsidP="00A11F92">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r w:rsidR="00A11F92">
        <w:rPr>
          <w:rFonts w:cstheme="minorHAnsi"/>
          <w:sz w:val="20"/>
          <w:szCs w:val="20"/>
          <w:lang w:eastAsia="sk-SK"/>
        </w:rPr>
        <w:t>´</w:t>
      </w:r>
    </w:p>
    <w:p w14:paraId="3B4D79D1" w14:textId="6B0EC2EA" w:rsidR="00A11F92" w:rsidRPr="00284864" w:rsidRDefault="00A11F92" w:rsidP="00A11F92">
      <w:pPr>
        <w:tabs>
          <w:tab w:val="left" w:pos="344"/>
        </w:tabs>
        <w:autoSpaceDE w:val="0"/>
        <w:spacing w:line="251" w:lineRule="exact"/>
        <w:jc w:val="both"/>
        <w:rPr>
          <w:rFonts w:cstheme="minorHAnsi"/>
          <w:sz w:val="20"/>
          <w:szCs w:val="20"/>
          <w:lang w:eastAsia="sk-SK"/>
        </w:rPr>
      </w:pPr>
      <w:r>
        <w:rPr>
          <w:rFonts w:ascii="Calibri" w:hAnsi="Calibri" w:cs="Calibri"/>
          <w:sz w:val="20"/>
          <w:lang w:eastAsia="sk-SK"/>
        </w:rPr>
        <w:t xml:space="preserve">9. </w:t>
      </w:r>
      <w:r w:rsidRPr="007727A1">
        <w:rPr>
          <w:rFonts w:ascii="Calibri" w:hAnsi="Calibri" w:cs="Calibri"/>
          <w:sz w:val="20"/>
          <w:lang w:eastAsia="sk-SK"/>
        </w:rPr>
        <w:t>Uchádzač môže preukázať splnenie podmienok účasti osobného postavenia uvedených v odseku 1. písm. a) až f),  zápisom do zoznamu hospodárskych subjektov.</w:t>
      </w:r>
      <w:r>
        <w:rPr>
          <w:rFonts w:ascii="Calibri" w:hAnsi="Calibri" w:cs="Calibri"/>
          <w:sz w:val="20"/>
          <w:lang w:eastAsia="sk-SK"/>
        </w:rPr>
        <w:t xml:space="preserve"> </w:t>
      </w:r>
      <w:r w:rsidRPr="00284864">
        <w:rPr>
          <w:rFonts w:cstheme="minorHAnsi"/>
          <w:sz w:val="20"/>
          <w:szCs w:val="20"/>
        </w:rPr>
        <w:t xml:space="preserve">Verejný obstarávateľ informuje uchádzačov, že doklady ktoré podľa § 32 ods. 3 ZVO </w:t>
      </w:r>
      <w:r w:rsidRPr="00284864">
        <w:rPr>
          <w:rFonts w:cstheme="minorHAnsi"/>
          <w:b/>
          <w:sz w:val="20"/>
          <w:szCs w:val="20"/>
        </w:rPr>
        <w:t>nevyžaduje od uchádzačov</w:t>
      </w:r>
      <w:r w:rsidRPr="00284864">
        <w:rPr>
          <w:rFonts w:cstheme="minorHAnsi"/>
          <w:sz w:val="20"/>
          <w:szCs w:val="20"/>
        </w:rPr>
        <w:t xml:space="preserve"> z dôvodu použitia údajov z informačných systémov verejnej správy </w:t>
      </w:r>
      <w:r w:rsidRPr="00284864">
        <w:rPr>
          <w:rFonts w:cstheme="minorHAnsi"/>
          <w:b/>
          <w:sz w:val="20"/>
          <w:szCs w:val="20"/>
        </w:rPr>
        <w:t>predkladať</w:t>
      </w:r>
      <w:r w:rsidRPr="00284864">
        <w:rPr>
          <w:rFonts w:cstheme="minorHAnsi"/>
          <w:sz w:val="20"/>
          <w:szCs w:val="20"/>
        </w:rPr>
        <w:t xml:space="preserve">, sú: </w:t>
      </w:r>
    </w:p>
    <w:p w14:paraId="264722B7" w14:textId="77777777" w:rsidR="00A11F92" w:rsidRPr="00A20961"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120B8D84" w14:textId="77777777" w:rsidR="00A11F92" w:rsidRPr="00284864"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6040BBEC" w14:textId="77777777" w:rsidR="00A11F92"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E7624B4" w14:textId="77777777" w:rsidR="00A11F92" w:rsidRPr="00650A53" w:rsidRDefault="00A11F92" w:rsidP="00A11F92">
      <w:pPr>
        <w:pStyle w:val="tl1"/>
        <w:numPr>
          <w:ilvl w:val="0"/>
          <w:numId w:val="11"/>
        </w:numPr>
        <w:rPr>
          <w:rFonts w:asciiTheme="minorHAnsi" w:hAnsiTheme="minorHAnsi" w:cstheme="minorHAnsi"/>
          <w:sz w:val="20"/>
          <w:szCs w:val="20"/>
          <w:u w:val="single"/>
        </w:rPr>
      </w:pPr>
      <w:r w:rsidRPr="00650A53">
        <w:rPr>
          <w:rFonts w:asciiTheme="minorHAnsi" w:hAnsiTheme="minorHAnsi" w:cstheme="minorHAnsi"/>
          <w:sz w:val="20"/>
          <w:szCs w:val="20"/>
          <w:u w:val="single"/>
        </w:rPr>
        <w:t>potvrdenie príslušného súdu o skutočnosti, že na majetok uchádzača nebol vyhlásený konkurz, nie je</w:t>
      </w:r>
      <w:r>
        <w:rPr>
          <w:rFonts w:asciiTheme="minorHAnsi" w:hAnsiTheme="minorHAnsi" w:cstheme="minorHAnsi"/>
          <w:sz w:val="20"/>
          <w:szCs w:val="20"/>
          <w:u w:val="single"/>
        </w:rPr>
        <w:t xml:space="preserve"> </w:t>
      </w:r>
      <w:r w:rsidRPr="00650A53">
        <w:rPr>
          <w:rFonts w:asciiTheme="minorHAnsi" w:hAnsiTheme="minorHAnsi" w:cstheme="minorHAnsi"/>
          <w:sz w:val="20"/>
          <w:szCs w:val="20"/>
          <w:u w:val="single"/>
        </w:rPr>
        <w:t xml:space="preserve">v reštrukturalizácii, </w:t>
      </w:r>
      <w:r>
        <w:rPr>
          <w:rFonts w:asciiTheme="minorHAnsi" w:hAnsiTheme="minorHAnsi" w:cstheme="minorHAnsi"/>
          <w:sz w:val="20"/>
          <w:szCs w:val="20"/>
          <w:u w:val="single"/>
        </w:rPr>
        <w:t xml:space="preserve">nie je v likvidácii, ani </w:t>
      </w:r>
      <w:r w:rsidRPr="00650A53">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056ACA50" w14:textId="77777777" w:rsidR="00A11F92" w:rsidRPr="00284864" w:rsidRDefault="00A11F92" w:rsidP="00A11F92">
      <w:pPr>
        <w:pStyle w:val="tl1"/>
        <w:numPr>
          <w:ilvl w:val="0"/>
          <w:numId w:val="11"/>
        </w:numPr>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4C26AF5" w14:textId="4BDC56AA" w:rsidR="005857A3" w:rsidRDefault="005857A3" w:rsidP="005857A3">
      <w:pPr>
        <w:tabs>
          <w:tab w:val="left" w:pos="344"/>
        </w:tabs>
        <w:autoSpaceDE w:val="0"/>
        <w:spacing w:line="251" w:lineRule="exact"/>
        <w:rPr>
          <w:rFonts w:cstheme="minorHAnsi"/>
          <w:lang w:eastAsia="sk-SK"/>
        </w:rPr>
      </w:pPr>
    </w:p>
    <w:p w14:paraId="0BBA64F5" w14:textId="77777777" w:rsidR="00A11F92" w:rsidRPr="00284864" w:rsidRDefault="00A11F92" w:rsidP="00A11F92">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lastRenderedPageBreak/>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2E8DEA78" w:rsidR="00750A48" w:rsidRDefault="00750A48" w:rsidP="002005C8">
      <w:pPr>
        <w:pStyle w:val="Zkladntext"/>
        <w:rPr>
          <w:rFonts w:asciiTheme="minorHAnsi" w:hAnsiTheme="minorHAnsi" w:cstheme="minorHAnsi"/>
          <w:sz w:val="20"/>
          <w:lang w:val="sk-SK"/>
        </w:rPr>
      </w:pPr>
    </w:p>
    <w:p w14:paraId="1568C66D" w14:textId="6F910C5A" w:rsidR="00A11F92" w:rsidRDefault="00A11F92" w:rsidP="002005C8">
      <w:pPr>
        <w:pStyle w:val="Zkladntext"/>
        <w:rPr>
          <w:rFonts w:asciiTheme="minorHAnsi" w:hAnsiTheme="minorHAnsi" w:cstheme="minorHAnsi"/>
          <w:sz w:val="20"/>
          <w:lang w:val="sk-SK"/>
        </w:rPr>
      </w:pPr>
    </w:p>
    <w:p w14:paraId="2A93C0D9" w14:textId="015A0AE5" w:rsidR="00A11F92" w:rsidRDefault="00A11F92" w:rsidP="002005C8">
      <w:pPr>
        <w:pStyle w:val="Zkladntext"/>
        <w:rPr>
          <w:rFonts w:asciiTheme="minorHAnsi" w:hAnsiTheme="minorHAnsi" w:cstheme="minorHAnsi"/>
          <w:sz w:val="20"/>
          <w:lang w:val="sk-SK"/>
        </w:rPr>
      </w:pPr>
    </w:p>
    <w:p w14:paraId="7660A04C" w14:textId="73F26AC9" w:rsidR="00A11F92" w:rsidRDefault="00A11F92" w:rsidP="002005C8">
      <w:pPr>
        <w:pStyle w:val="Zkladntext"/>
        <w:rPr>
          <w:rFonts w:asciiTheme="minorHAnsi" w:hAnsiTheme="minorHAnsi" w:cstheme="minorHAnsi"/>
          <w:sz w:val="20"/>
          <w:lang w:val="sk-SK"/>
        </w:rPr>
      </w:pPr>
    </w:p>
    <w:p w14:paraId="35F78B0B" w14:textId="749DFFBB" w:rsidR="00A11F92" w:rsidRDefault="00A11F92" w:rsidP="002005C8">
      <w:pPr>
        <w:pStyle w:val="Zkladntext"/>
        <w:rPr>
          <w:rFonts w:asciiTheme="minorHAnsi" w:hAnsiTheme="minorHAnsi" w:cstheme="minorHAnsi"/>
          <w:sz w:val="20"/>
          <w:lang w:val="sk-SK"/>
        </w:rPr>
      </w:pPr>
    </w:p>
    <w:p w14:paraId="6C68A7DC" w14:textId="05FC97BD" w:rsidR="00A11F92" w:rsidRDefault="00A11F92" w:rsidP="002005C8">
      <w:pPr>
        <w:pStyle w:val="Zkladntext"/>
        <w:rPr>
          <w:rFonts w:asciiTheme="minorHAnsi" w:hAnsiTheme="minorHAnsi" w:cstheme="minorHAnsi"/>
          <w:sz w:val="20"/>
          <w:lang w:val="sk-SK"/>
        </w:rPr>
      </w:pPr>
    </w:p>
    <w:p w14:paraId="4655E807" w14:textId="68B3417D" w:rsidR="00A11F92" w:rsidRDefault="00A11F92" w:rsidP="002005C8">
      <w:pPr>
        <w:pStyle w:val="Zkladntext"/>
        <w:rPr>
          <w:rFonts w:asciiTheme="minorHAnsi" w:hAnsiTheme="minorHAnsi" w:cstheme="minorHAnsi"/>
          <w:sz w:val="20"/>
          <w:lang w:val="sk-SK"/>
        </w:rPr>
      </w:pPr>
    </w:p>
    <w:p w14:paraId="3FE4364C" w14:textId="3103CBF1" w:rsidR="00A11F92" w:rsidRDefault="00A11F92" w:rsidP="002005C8">
      <w:pPr>
        <w:pStyle w:val="Zkladntext"/>
        <w:rPr>
          <w:rFonts w:asciiTheme="minorHAnsi" w:hAnsiTheme="minorHAnsi" w:cstheme="minorHAnsi"/>
          <w:sz w:val="20"/>
          <w:lang w:val="sk-SK"/>
        </w:rPr>
      </w:pPr>
    </w:p>
    <w:p w14:paraId="79B39737" w14:textId="79BD21CC" w:rsidR="00A11F92" w:rsidRDefault="00A11F92" w:rsidP="002005C8">
      <w:pPr>
        <w:pStyle w:val="Zkladntext"/>
        <w:rPr>
          <w:rFonts w:asciiTheme="minorHAnsi" w:hAnsiTheme="minorHAnsi" w:cstheme="minorHAnsi"/>
          <w:sz w:val="20"/>
          <w:lang w:val="sk-SK"/>
        </w:rPr>
      </w:pPr>
    </w:p>
    <w:p w14:paraId="67C68305" w14:textId="459D5705" w:rsidR="00A11F92" w:rsidRDefault="00A11F92" w:rsidP="002005C8">
      <w:pPr>
        <w:pStyle w:val="Zkladntext"/>
        <w:rPr>
          <w:rFonts w:asciiTheme="minorHAnsi" w:hAnsiTheme="minorHAnsi" w:cstheme="minorHAnsi"/>
          <w:sz w:val="20"/>
          <w:lang w:val="sk-SK"/>
        </w:rPr>
      </w:pPr>
    </w:p>
    <w:p w14:paraId="40202C7D" w14:textId="2D5790CD" w:rsidR="00A11F92" w:rsidRDefault="00A11F92" w:rsidP="002005C8">
      <w:pPr>
        <w:pStyle w:val="Zkladntext"/>
        <w:rPr>
          <w:rFonts w:asciiTheme="minorHAnsi" w:hAnsiTheme="minorHAnsi" w:cstheme="minorHAnsi"/>
          <w:sz w:val="20"/>
          <w:lang w:val="sk-SK"/>
        </w:rPr>
      </w:pPr>
    </w:p>
    <w:p w14:paraId="135AD6B3" w14:textId="1EEB5CC8" w:rsidR="00A11F92" w:rsidRDefault="00A11F92" w:rsidP="002005C8">
      <w:pPr>
        <w:pStyle w:val="Zkladntext"/>
        <w:rPr>
          <w:rFonts w:asciiTheme="minorHAnsi" w:hAnsiTheme="minorHAnsi" w:cstheme="minorHAnsi"/>
          <w:sz w:val="20"/>
          <w:lang w:val="sk-SK"/>
        </w:rPr>
      </w:pPr>
    </w:p>
    <w:p w14:paraId="465330A2" w14:textId="007D97BD" w:rsidR="00A11F92" w:rsidRDefault="00A11F9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6F842F32" w14:textId="4D842940" w:rsidR="00B75539" w:rsidRDefault="00477E2E" w:rsidP="00B75539">
      <w:pPr>
        <w:pStyle w:val="Pta"/>
        <w:tabs>
          <w:tab w:val="clear" w:pos="4536"/>
          <w:tab w:val="center" w:pos="3544"/>
        </w:tabs>
        <w:rPr>
          <w:sz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B75539">
        <w:rPr>
          <w:rFonts w:cstheme="minorHAnsi"/>
          <w:sz w:val="20"/>
          <w:szCs w:val="20"/>
        </w:rPr>
        <w:t xml:space="preserve">                                             </w:t>
      </w:r>
      <w:r w:rsidR="00B75539" w:rsidRPr="00B75539">
        <w:rPr>
          <w:rFonts w:cstheme="minorHAnsi"/>
          <w:bCs/>
          <w:sz w:val="20"/>
          <w:szCs w:val="20"/>
        </w:rPr>
        <w:t>Zabezpečenie dodávky potravín pre ZSS HARMÓNIA</w:t>
      </w:r>
    </w:p>
    <w:p w14:paraId="72C0E6A8" w14:textId="3D13832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7525C9D3"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B75539">
        <w:rPr>
          <w:rFonts w:cstheme="minorHAnsi"/>
          <w:sz w:val="20"/>
          <w:szCs w:val="20"/>
        </w:rPr>
        <w:t>ZSS Harmónia Lučenec</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67504617"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4D2BF7AA" w14:textId="6F8F635F" w:rsidR="009A57C1" w:rsidRDefault="00B75539" w:rsidP="007B16BB">
        <w:pPr>
          <w:pStyle w:val="Pta"/>
          <w:rPr>
            <w:sz w:val="20"/>
          </w:rPr>
        </w:pPr>
        <w:r w:rsidRPr="00B75539">
          <w:rPr>
            <w:rFonts w:cstheme="minorHAnsi"/>
            <w:bCs/>
            <w:sz w:val="20"/>
            <w:szCs w:val="20"/>
          </w:rPr>
          <w:t>Zabezpečenie dodávky potravín pre ZSS HARMÓNIA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E4074" w14:textId="77777777" w:rsidR="00B75539" w:rsidRPr="00B75539" w:rsidRDefault="009A57C1" w:rsidP="00B75539">
    <w:pPr>
      <w:pStyle w:val="Hlavika"/>
      <w:tabs>
        <w:tab w:val="clear" w:pos="4536"/>
        <w:tab w:val="right" w:pos="9354"/>
      </w:tabs>
      <w:jc w:val="right"/>
      <w:rPr>
        <w:rFonts w:asciiTheme="minorHAnsi" w:hAnsiTheme="minorHAnsi" w:cstheme="minorHAnsi"/>
        <w:sz w:val="18"/>
        <w:szCs w:val="18"/>
      </w:rPr>
    </w:pPr>
    <w:r w:rsidRPr="00234E34">
      <w:rPr>
        <w:rFonts w:asciiTheme="minorHAnsi" w:hAnsiTheme="minorHAnsi" w:cstheme="minorHAnsi"/>
        <w:b/>
        <w:szCs w:val="24"/>
      </w:rPr>
      <w:t xml:space="preserve">                      </w:t>
    </w:r>
    <w:r w:rsidR="00B75539" w:rsidRPr="00B75539">
      <w:rPr>
        <w:rFonts w:asciiTheme="minorHAnsi" w:hAnsiTheme="minorHAnsi" w:cstheme="minorHAnsi"/>
        <w:sz w:val="18"/>
        <w:szCs w:val="18"/>
      </w:rPr>
      <w:t>Zariadenie sociálnych služieb HARMÓNIA</w:t>
    </w:r>
  </w:p>
  <w:p w14:paraId="077B8679" w14:textId="77777777" w:rsidR="00B75539" w:rsidRPr="00B75539" w:rsidRDefault="00B75539" w:rsidP="00B75539">
    <w:pPr>
      <w:spacing w:after="0"/>
      <w:jc w:val="right"/>
      <w:rPr>
        <w:sz w:val="18"/>
        <w:szCs w:val="18"/>
      </w:rPr>
    </w:pPr>
    <w:proofErr w:type="spellStart"/>
    <w:r w:rsidRPr="00B75539">
      <w:rPr>
        <w:sz w:val="18"/>
        <w:szCs w:val="18"/>
      </w:rPr>
      <w:t>Tuhárske</w:t>
    </w:r>
    <w:proofErr w:type="spellEnd"/>
    <w:r w:rsidRPr="00B75539">
      <w:rPr>
        <w:sz w:val="18"/>
        <w:szCs w:val="18"/>
      </w:rPr>
      <w:t xml:space="preserve"> námestie 886/10</w:t>
    </w:r>
  </w:p>
  <w:p w14:paraId="28E28BD4" w14:textId="77777777" w:rsidR="00B75539" w:rsidRPr="00B75539" w:rsidRDefault="00B75539" w:rsidP="00B75539">
    <w:pPr>
      <w:spacing w:after="0"/>
      <w:jc w:val="right"/>
      <w:rPr>
        <w:sz w:val="18"/>
        <w:szCs w:val="18"/>
      </w:rPr>
    </w:pPr>
    <w:r w:rsidRPr="00B75539">
      <w:rPr>
        <w:sz w:val="18"/>
        <w:szCs w:val="18"/>
      </w:rPr>
      <w:t>984 03 Lučenec</w:t>
    </w:r>
  </w:p>
  <w:p w14:paraId="573855CD" w14:textId="161AFC84" w:rsidR="00683C65" w:rsidRPr="009F1718" w:rsidRDefault="00683C65" w:rsidP="00B75539">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4"/>
  </w:num>
  <w:num w:numId="2" w16cid:durableId="6904234">
    <w:abstractNumId w:val="7"/>
  </w:num>
  <w:num w:numId="3" w16cid:durableId="2106731397">
    <w:abstractNumId w:val="3"/>
  </w:num>
  <w:num w:numId="4" w16cid:durableId="1951546204">
    <w:abstractNumId w:val="5"/>
  </w:num>
  <w:num w:numId="5" w16cid:durableId="831340138">
    <w:abstractNumId w:val="9"/>
  </w:num>
  <w:num w:numId="6" w16cid:durableId="1628076117">
    <w:abstractNumId w:val="8"/>
  </w:num>
  <w:num w:numId="7" w16cid:durableId="450828540">
    <w:abstractNumId w:val="6"/>
  </w:num>
  <w:num w:numId="8" w16cid:durableId="1033917327">
    <w:abstractNumId w:val="10"/>
  </w:num>
  <w:num w:numId="9" w16cid:durableId="154806980">
    <w:abstractNumId w:val="2"/>
  </w:num>
  <w:num w:numId="10" w16cid:durableId="2087536411">
    <w:abstractNumId w:val="1"/>
  </w:num>
  <w:num w:numId="11" w16cid:durableId="6977742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26235"/>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C1802"/>
    <w:rsid w:val="002D212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2C00"/>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3C65"/>
    <w:rsid w:val="00684114"/>
    <w:rsid w:val="00687221"/>
    <w:rsid w:val="00690364"/>
    <w:rsid w:val="00690742"/>
    <w:rsid w:val="0069149F"/>
    <w:rsid w:val="006924F7"/>
    <w:rsid w:val="006925C8"/>
    <w:rsid w:val="006A04F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16BB"/>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1718"/>
    <w:rsid w:val="009F32E9"/>
    <w:rsid w:val="009F69F9"/>
    <w:rsid w:val="009F704D"/>
    <w:rsid w:val="00A05BED"/>
    <w:rsid w:val="00A11F92"/>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75539"/>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4B7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8603</Words>
  <Characters>49040</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2022-11-11T13:30:00Z</dcterms:created>
  <dcterms:modified xsi:type="dcterms:W3CDTF">2022-11-11T13:30:00Z</dcterms:modified>
</cp:coreProperties>
</file>