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0BA6EFF"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8776014"/>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F92CE3B" w14:textId="5C9507B6" w:rsidR="00F45AA9" w:rsidRPr="00B82CA3" w:rsidRDefault="002F04A1" w:rsidP="00F45AA9">
      <w:pPr>
        <w:pStyle w:val="Zkladntext0"/>
        <w:jc w:val="center"/>
        <w:rPr>
          <w:rFonts w:ascii="Times New Roman" w:hAnsi="Times New Roman"/>
          <w:b/>
          <w:bCs/>
          <w:sz w:val="22"/>
          <w:szCs w:val="22"/>
        </w:rPr>
      </w:pPr>
      <w:r>
        <w:rPr>
          <w:rFonts w:ascii="Times New Roman" w:hAnsi="Times New Roman"/>
          <w:b/>
          <w:bCs/>
          <w:sz w:val="22"/>
          <w:szCs w:val="22"/>
        </w:rPr>
        <w:t>Z</w:t>
      </w:r>
      <w:r w:rsidR="00F45AA9" w:rsidRPr="00B82CA3">
        <w:rPr>
          <w:rFonts w:ascii="Times New Roman" w:hAnsi="Times New Roman"/>
          <w:b/>
          <w:bCs/>
          <w:sz w:val="22"/>
          <w:szCs w:val="22"/>
        </w:rPr>
        <w:t>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0474AF7C" w14:textId="77777777" w:rsidR="002F04A1" w:rsidRPr="00F526A2" w:rsidRDefault="002F04A1" w:rsidP="002F04A1">
      <w:pPr>
        <w:shd w:val="clear" w:color="auto" w:fill="FFFFFF"/>
        <w:tabs>
          <w:tab w:val="left" w:pos="3402"/>
        </w:tabs>
        <w:ind w:left="567" w:right="-3"/>
        <w:rPr>
          <w:b/>
          <w:color w:val="000000"/>
          <w:sz w:val="22"/>
          <w:szCs w:val="22"/>
          <w:highlight w:val="yellow"/>
          <w:lang w:eastAsia="cs-CZ"/>
        </w:rPr>
      </w:pPr>
      <w:r w:rsidRPr="00F526A2">
        <w:rPr>
          <w:sz w:val="22"/>
          <w:szCs w:val="22"/>
          <w:lang w:eastAsia="cs-CZ"/>
        </w:rPr>
        <w:t>Obchodné meno:</w:t>
      </w:r>
      <w:r w:rsidRPr="00F526A2">
        <w:rPr>
          <w:sz w:val="22"/>
          <w:szCs w:val="22"/>
        </w:rPr>
        <w:t xml:space="preserve"> </w:t>
      </w:r>
      <w:r w:rsidRPr="00F526A2">
        <w:rPr>
          <w:sz w:val="22"/>
          <w:szCs w:val="22"/>
        </w:rPr>
        <w:tab/>
      </w:r>
      <w:r w:rsidRPr="00F526A2">
        <w:rPr>
          <w:sz w:val="22"/>
          <w:szCs w:val="22"/>
        </w:rPr>
        <w:tab/>
      </w:r>
      <w:r w:rsidRPr="00F526A2">
        <w:rPr>
          <w:sz w:val="22"/>
          <w:szCs w:val="22"/>
        </w:rPr>
        <w:tab/>
      </w:r>
      <w:r w:rsidRPr="00DC376C">
        <w:rPr>
          <w:b/>
          <w:bCs/>
          <w:sz w:val="22"/>
          <w:szCs w:val="22"/>
          <w:lang w:eastAsia="cs-CZ"/>
        </w:rPr>
        <w:t>Obec Švošov</w:t>
      </w:r>
      <w:r w:rsidRPr="00F526A2">
        <w:rPr>
          <w:color w:val="000000"/>
          <w:sz w:val="22"/>
          <w:szCs w:val="22"/>
          <w:lang w:eastAsia="cs-CZ"/>
        </w:rPr>
        <w:tab/>
      </w:r>
    </w:p>
    <w:p w14:paraId="0B7CE651" w14:textId="77777777" w:rsidR="002F04A1"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Sídlo: </w:t>
      </w:r>
      <w:r w:rsidRPr="00F526A2">
        <w:rPr>
          <w:sz w:val="22"/>
          <w:szCs w:val="22"/>
        </w:rPr>
        <w:tab/>
      </w:r>
      <w:r w:rsidRPr="00F526A2">
        <w:rPr>
          <w:sz w:val="22"/>
          <w:szCs w:val="22"/>
        </w:rPr>
        <w:tab/>
      </w:r>
      <w:r w:rsidRPr="00F526A2">
        <w:rPr>
          <w:sz w:val="22"/>
          <w:szCs w:val="22"/>
        </w:rPr>
        <w:tab/>
      </w:r>
      <w:r w:rsidRPr="00DC376C">
        <w:rPr>
          <w:sz w:val="22"/>
          <w:szCs w:val="22"/>
        </w:rPr>
        <w:t xml:space="preserve">Školská 70/2, 034 91 Švošov </w:t>
      </w:r>
    </w:p>
    <w:p w14:paraId="519C62BA"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V jeho mene konajúci:  </w:t>
      </w:r>
      <w:r w:rsidRPr="00F526A2">
        <w:rPr>
          <w:sz w:val="22"/>
          <w:szCs w:val="22"/>
        </w:rPr>
        <w:tab/>
      </w:r>
      <w:r w:rsidRPr="00F526A2">
        <w:rPr>
          <w:sz w:val="22"/>
          <w:szCs w:val="22"/>
        </w:rPr>
        <w:tab/>
      </w:r>
      <w:r w:rsidRPr="00F526A2">
        <w:rPr>
          <w:sz w:val="22"/>
          <w:szCs w:val="22"/>
        </w:rPr>
        <w:tab/>
      </w:r>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p w14:paraId="77846756"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Oprávnený rokovať vo veciach</w:t>
      </w:r>
      <w:r w:rsidRPr="00F526A2">
        <w:rPr>
          <w:sz w:val="22"/>
          <w:szCs w:val="22"/>
        </w:rPr>
        <w:tab/>
      </w:r>
    </w:p>
    <w:p w14:paraId="2D7D526B"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a) zmluvných: </w:t>
      </w:r>
      <w:r w:rsidRPr="00F526A2">
        <w:rPr>
          <w:sz w:val="22"/>
          <w:szCs w:val="22"/>
        </w:rPr>
        <w:tab/>
      </w:r>
      <w:r w:rsidRPr="00F526A2">
        <w:rPr>
          <w:sz w:val="22"/>
          <w:szCs w:val="22"/>
        </w:rPr>
        <w:tab/>
      </w:r>
      <w:r w:rsidRPr="00F526A2">
        <w:rPr>
          <w:sz w:val="22"/>
          <w:szCs w:val="22"/>
        </w:rPr>
        <w:tab/>
      </w:r>
      <w:bookmarkStart w:id="4" w:name="_Hlk43573942"/>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bookmarkEnd w:id="4"/>
    <w:p w14:paraId="3BCF963B"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b) technických: </w:t>
      </w:r>
      <w:r w:rsidRPr="00F526A2">
        <w:rPr>
          <w:sz w:val="22"/>
          <w:szCs w:val="22"/>
        </w:rPr>
        <w:tab/>
      </w:r>
      <w:r w:rsidRPr="00F526A2">
        <w:rPr>
          <w:sz w:val="22"/>
          <w:szCs w:val="22"/>
        </w:rPr>
        <w:tab/>
      </w:r>
      <w:r w:rsidRPr="00F526A2">
        <w:rPr>
          <w:sz w:val="22"/>
          <w:szCs w:val="22"/>
        </w:rPr>
        <w:tab/>
      </w:r>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p w14:paraId="25C33A97"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 xml:space="preserve">IČO: </w:t>
      </w:r>
      <w:r w:rsidRPr="00F526A2">
        <w:rPr>
          <w:sz w:val="22"/>
          <w:szCs w:val="22"/>
        </w:rPr>
        <w:tab/>
      </w:r>
      <w:r w:rsidRPr="00F526A2">
        <w:rPr>
          <w:sz w:val="22"/>
          <w:szCs w:val="22"/>
        </w:rPr>
        <w:tab/>
      </w:r>
      <w:r w:rsidRPr="00F526A2">
        <w:rPr>
          <w:sz w:val="22"/>
          <w:szCs w:val="22"/>
        </w:rPr>
        <w:tab/>
      </w:r>
      <w:r w:rsidRPr="00DC376C">
        <w:rPr>
          <w:sz w:val="22"/>
          <w:szCs w:val="22"/>
        </w:rPr>
        <w:t>00315788</w:t>
      </w:r>
      <w:r w:rsidRPr="00F526A2">
        <w:rPr>
          <w:sz w:val="22"/>
          <w:szCs w:val="22"/>
        </w:rPr>
        <w:tab/>
      </w:r>
    </w:p>
    <w:p w14:paraId="4DAB6E93"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 xml:space="preserve">DIČ: </w:t>
      </w:r>
      <w:r w:rsidRPr="00F526A2">
        <w:rPr>
          <w:sz w:val="22"/>
          <w:szCs w:val="22"/>
        </w:rPr>
        <w:tab/>
      </w:r>
      <w:r w:rsidRPr="00F526A2">
        <w:rPr>
          <w:sz w:val="22"/>
          <w:szCs w:val="22"/>
        </w:rPr>
        <w:tab/>
      </w:r>
      <w:r w:rsidRPr="00F526A2">
        <w:rPr>
          <w:sz w:val="22"/>
          <w:szCs w:val="22"/>
        </w:rPr>
        <w:tab/>
      </w:r>
      <w:r w:rsidRPr="00DC376C">
        <w:rPr>
          <w:sz w:val="22"/>
          <w:szCs w:val="22"/>
        </w:rPr>
        <w:t>2020589758</w:t>
      </w:r>
    </w:p>
    <w:p w14:paraId="44BDCE53"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Bakové spojenie:</w:t>
      </w:r>
      <w:r w:rsidRPr="00F526A2">
        <w:rPr>
          <w:sz w:val="22"/>
          <w:szCs w:val="22"/>
        </w:rPr>
        <w:tab/>
      </w:r>
      <w:r w:rsidRPr="00F526A2">
        <w:rPr>
          <w:sz w:val="22"/>
          <w:szCs w:val="22"/>
        </w:rPr>
        <w:tab/>
      </w:r>
      <w:r w:rsidRPr="00F526A2">
        <w:rPr>
          <w:sz w:val="22"/>
          <w:szCs w:val="22"/>
        </w:rPr>
        <w:tab/>
        <w:t xml:space="preserve">Prima banka Slovensko, </w:t>
      </w:r>
      <w:proofErr w:type="spellStart"/>
      <w:r w:rsidRPr="00F526A2">
        <w:rPr>
          <w:sz w:val="22"/>
          <w:szCs w:val="22"/>
        </w:rPr>
        <w:t>a.s</w:t>
      </w:r>
      <w:proofErr w:type="spellEnd"/>
      <w:r w:rsidRPr="00F526A2">
        <w:rPr>
          <w:sz w:val="22"/>
          <w:szCs w:val="22"/>
        </w:rPr>
        <w:t>.</w:t>
      </w:r>
    </w:p>
    <w:p w14:paraId="40A12696" w14:textId="77777777" w:rsidR="002F04A1" w:rsidRPr="00F526A2" w:rsidRDefault="002F04A1" w:rsidP="002F04A1">
      <w:pPr>
        <w:tabs>
          <w:tab w:val="left" w:pos="3261"/>
          <w:tab w:val="left" w:pos="3828"/>
          <w:tab w:val="left" w:pos="4253"/>
          <w:tab w:val="right" w:leader="dot" w:pos="10080"/>
        </w:tabs>
        <w:ind w:left="567"/>
        <w:jc w:val="both"/>
        <w:rPr>
          <w:i/>
          <w:color w:val="000000"/>
          <w:sz w:val="22"/>
          <w:szCs w:val="22"/>
        </w:rPr>
      </w:pPr>
      <w:r w:rsidRPr="00F526A2">
        <w:rPr>
          <w:sz w:val="22"/>
          <w:szCs w:val="22"/>
        </w:rPr>
        <w:t xml:space="preserve">IBAN: </w:t>
      </w:r>
      <w:r w:rsidRPr="00F526A2">
        <w:rPr>
          <w:sz w:val="22"/>
          <w:szCs w:val="22"/>
        </w:rPr>
        <w:tab/>
      </w:r>
      <w:r w:rsidRPr="00F526A2">
        <w:rPr>
          <w:sz w:val="22"/>
          <w:szCs w:val="22"/>
        </w:rPr>
        <w:tab/>
      </w:r>
      <w:r w:rsidRPr="00F526A2">
        <w:rPr>
          <w:sz w:val="22"/>
          <w:szCs w:val="22"/>
        </w:rPr>
        <w:tab/>
      </w:r>
      <w:r w:rsidRPr="00DC376C">
        <w:rPr>
          <w:sz w:val="22"/>
          <w:szCs w:val="22"/>
        </w:rPr>
        <w:t>SK24</w:t>
      </w:r>
      <w:r>
        <w:rPr>
          <w:sz w:val="22"/>
          <w:szCs w:val="22"/>
        </w:rPr>
        <w:t xml:space="preserve"> </w:t>
      </w:r>
      <w:r w:rsidRPr="00DC376C">
        <w:rPr>
          <w:sz w:val="22"/>
          <w:szCs w:val="22"/>
        </w:rPr>
        <w:t>5600</w:t>
      </w:r>
      <w:r>
        <w:rPr>
          <w:sz w:val="22"/>
          <w:szCs w:val="22"/>
        </w:rPr>
        <w:t xml:space="preserve"> </w:t>
      </w:r>
      <w:r w:rsidRPr="00DC376C">
        <w:rPr>
          <w:sz w:val="22"/>
          <w:szCs w:val="22"/>
        </w:rPr>
        <w:t>0000</w:t>
      </w:r>
      <w:r>
        <w:rPr>
          <w:sz w:val="22"/>
          <w:szCs w:val="22"/>
        </w:rPr>
        <w:t xml:space="preserve"> </w:t>
      </w:r>
      <w:r w:rsidRPr="00DC376C">
        <w:rPr>
          <w:sz w:val="22"/>
          <w:szCs w:val="22"/>
        </w:rPr>
        <w:t>0083</w:t>
      </w:r>
      <w:r>
        <w:rPr>
          <w:sz w:val="22"/>
          <w:szCs w:val="22"/>
        </w:rPr>
        <w:t xml:space="preserve"> </w:t>
      </w:r>
      <w:r w:rsidRPr="00DC376C">
        <w:rPr>
          <w:sz w:val="22"/>
          <w:szCs w:val="22"/>
        </w:rPr>
        <w:t>3873</w:t>
      </w:r>
      <w:r>
        <w:rPr>
          <w:sz w:val="22"/>
          <w:szCs w:val="22"/>
        </w:rPr>
        <w:t xml:space="preserve"> </w:t>
      </w:r>
      <w:r w:rsidRPr="00DC376C">
        <w:rPr>
          <w:sz w:val="22"/>
          <w:szCs w:val="22"/>
        </w:rPr>
        <w:t>9001</w:t>
      </w:r>
    </w:p>
    <w:p w14:paraId="04EF5E96" w14:textId="5D903504" w:rsidR="00F45AA9" w:rsidRPr="00B82CA3" w:rsidRDefault="00D50601" w:rsidP="00D50601">
      <w:pPr>
        <w:tabs>
          <w:tab w:val="left" w:pos="567"/>
          <w:tab w:val="left" w:pos="3261"/>
          <w:tab w:val="left" w:pos="3828"/>
          <w:tab w:val="left" w:pos="4253"/>
          <w:tab w:val="right" w:leader="dot" w:pos="10080"/>
        </w:tabs>
        <w:jc w:val="both"/>
        <w:rPr>
          <w:sz w:val="22"/>
          <w:szCs w:val="22"/>
        </w:rPr>
      </w:pPr>
      <w:r>
        <w:rPr>
          <w:rFonts w:eastAsia="Arial Narrow"/>
          <w:sz w:val="22"/>
          <w:szCs w:val="22"/>
        </w:rPr>
        <w:tab/>
      </w:r>
      <w:r w:rsidR="00F45AA9"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19237E" w:rsidRDefault="00F45AA9" w:rsidP="00F45AA9">
      <w:pPr>
        <w:ind w:left="240"/>
        <w:rPr>
          <w:color w:val="000000"/>
          <w:sz w:val="22"/>
          <w:szCs w:val="22"/>
        </w:rPr>
      </w:pPr>
      <w:r w:rsidRPr="0019237E">
        <w:rPr>
          <w:color w:val="000000"/>
          <w:sz w:val="22"/>
          <w:szCs w:val="22"/>
        </w:rPr>
        <w:t>Podkladom pre spracovanie tejto zmluvy sú:</w:t>
      </w:r>
    </w:p>
    <w:p w14:paraId="199795A0" w14:textId="107EA1E6" w:rsidR="00F45AA9" w:rsidRPr="009E24D2" w:rsidRDefault="00F45AA9" w:rsidP="005A4DEC">
      <w:pPr>
        <w:numPr>
          <w:ilvl w:val="0"/>
          <w:numId w:val="74"/>
        </w:numPr>
        <w:tabs>
          <w:tab w:val="clear" w:pos="600"/>
          <w:tab w:val="left" w:pos="601"/>
        </w:tabs>
        <w:suppressAutoHyphens/>
        <w:jc w:val="both"/>
        <w:rPr>
          <w:sz w:val="22"/>
          <w:szCs w:val="22"/>
        </w:rPr>
      </w:pPr>
      <w:r w:rsidRPr="009E24D2">
        <w:rPr>
          <w:sz w:val="22"/>
          <w:szCs w:val="22"/>
        </w:rPr>
        <w:t xml:space="preserve">Súťažné podklady objednávateľa pre Výzvu na predkladanie ponúk uverejnenú vo vestníku verejného obstarávania </w:t>
      </w:r>
      <w:r w:rsidR="002F04A1" w:rsidRPr="009E24D2">
        <w:rPr>
          <w:sz w:val="22"/>
          <w:szCs w:val="22"/>
        </w:rPr>
        <w:t>č.</w:t>
      </w:r>
      <w:r w:rsidR="009E24D2" w:rsidRPr="009E24D2">
        <w:rPr>
          <w:sz w:val="22"/>
          <w:szCs w:val="22"/>
        </w:rPr>
        <w:t xml:space="preserve"> 257/2022 </w:t>
      </w:r>
      <w:r w:rsidR="002F04A1" w:rsidRPr="009E24D2">
        <w:rPr>
          <w:sz w:val="22"/>
          <w:szCs w:val="22"/>
        </w:rPr>
        <w:t>pod číslom</w:t>
      </w:r>
      <w:r w:rsidR="009E24D2" w:rsidRPr="009E24D2">
        <w:t xml:space="preserve"> </w:t>
      </w:r>
      <w:r w:rsidR="009E24D2" w:rsidRPr="009E24D2">
        <w:rPr>
          <w:sz w:val="22"/>
          <w:szCs w:val="22"/>
        </w:rPr>
        <w:t xml:space="preserve">49448 – WYP </w:t>
      </w:r>
      <w:r w:rsidR="002F04A1" w:rsidRPr="009E24D2">
        <w:rPr>
          <w:sz w:val="22"/>
          <w:szCs w:val="22"/>
        </w:rPr>
        <w:t xml:space="preserve">dňa </w:t>
      </w:r>
      <w:r w:rsidR="009E24D2" w:rsidRPr="009E24D2">
        <w:rPr>
          <w:sz w:val="22"/>
          <w:szCs w:val="22"/>
        </w:rPr>
        <w:t xml:space="preserve">05.12.2022 </w:t>
      </w:r>
      <w:r w:rsidR="002F04A1" w:rsidRPr="009E24D2">
        <w:rPr>
          <w:sz w:val="22"/>
          <w:szCs w:val="22"/>
        </w:rPr>
        <w:t xml:space="preserve">názov zákazky: Regionálna cyklotrasa Hubová – Švošov – </w:t>
      </w:r>
      <w:proofErr w:type="spellStart"/>
      <w:r w:rsidR="002F04A1" w:rsidRPr="009E24D2">
        <w:rPr>
          <w:sz w:val="22"/>
          <w:szCs w:val="22"/>
        </w:rPr>
        <w:t>Komjatná</w:t>
      </w:r>
      <w:r w:rsidR="006400CF" w:rsidRPr="009E24D2">
        <w:rPr>
          <w:sz w:val="22"/>
          <w:szCs w:val="22"/>
        </w:rPr>
        <w:t>_II</w:t>
      </w:r>
      <w:proofErr w:type="spellEnd"/>
      <w:r w:rsidR="002F04A1" w:rsidRPr="009E24D2">
        <w:rPr>
          <w:sz w:val="22"/>
          <w:szCs w:val="22"/>
        </w:rPr>
        <w:t>.</w:t>
      </w:r>
    </w:p>
    <w:p w14:paraId="6753E8C0" w14:textId="7BE1DDE7" w:rsidR="00F45AA9" w:rsidRPr="00B82CA3" w:rsidRDefault="00F45AA9" w:rsidP="005A4DEC">
      <w:pPr>
        <w:numPr>
          <w:ilvl w:val="0"/>
          <w:numId w:val="74"/>
        </w:numPr>
        <w:suppressAutoHyphens/>
        <w:jc w:val="both"/>
        <w:rPr>
          <w:sz w:val="22"/>
          <w:szCs w:val="22"/>
        </w:rPr>
      </w:pPr>
      <w:r w:rsidRPr="009E24D2">
        <w:rPr>
          <w:sz w:val="22"/>
          <w:szCs w:val="22"/>
        </w:rPr>
        <w:t xml:space="preserve">Súčasťou súťažných podkladov je aj </w:t>
      </w:r>
      <w:r w:rsidR="00491281" w:rsidRPr="009E24D2">
        <w:rPr>
          <w:sz w:val="22"/>
          <w:szCs w:val="22"/>
        </w:rPr>
        <w:t xml:space="preserve">opis predmetu zákazky, </w:t>
      </w:r>
      <w:r w:rsidRPr="009E24D2">
        <w:rPr>
          <w:sz w:val="22"/>
          <w:szCs w:val="22"/>
        </w:rPr>
        <w:t>projektová dokumentácia a zadanie</w:t>
      </w:r>
      <w:r w:rsidRPr="00B82CA3">
        <w:rPr>
          <w:sz w:val="22"/>
          <w:szCs w:val="22"/>
        </w:rPr>
        <w:t>,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83709E">
      <w:pPr>
        <w:numPr>
          <w:ilvl w:val="0"/>
          <w:numId w:val="74"/>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83709E">
      <w:pPr>
        <w:numPr>
          <w:ilvl w:val="0"/>
          <w:numId w:val="74"/>
        </w:numPr>
        <w:suppressAutoHyphens/>
        <w:ind w:hanging="357"/>
        <w:jc w:val="both"/>
        <w:rPr>
          <w:color w:val="000000"/>
          <w:sz w:val="22"/>
          <w:szCs w:val="22"/>
        </w:rPr>
      </w:pPr>
      <w:r w:rsidRPr="00B82CA3">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83709E">
      <w:pPr>
        <w:numPr>
          <w:ilvl w:val="0"/>
          <w:numId w:val="74"/>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83709E">
      <w:pPr>
        <w:numPr>
          <w:ilvl w:val="0"/>
          <w:numId w:val="74"/>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23F6DA34" w14:textId="77777777" w:rsidR="009E24D2" w:rsidRDefault="00F45AA9" w:rsidP="009E24D2">
      <w:pPr>
        <w:numPr>
          <w:ilvl w:val="0"/>
          <w:numId w:val="72"/>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15250FA7" w14:textId="315EFC03" w:rsidR="009E24D2" w:rsidRPr="009E24D2" w:rsidRDefault="00F45AA9" w:rsidP="009E24D2">
      <w:pPr>
        <w:numPr>
          <w:ilvl w:val="0"/>
          <w:numId w:val="72"/>
        </w:numPr>
        <w:suppressAutoHyphens/>
        <w:autoSpaceDE w:val="0"/>
        <w:autoSpaceDN w:val="0"/>
        <w:ind w:left="993" w:hanging="284"/>
        <w:jc w:val="both"/>
        <w:rPr>
          <w:rFonts w:eastAsia="Batang"/>
          <w:b/>
          <w:sz w:val="22"/>
          <w:szCs w:val="22"/>
          <w:lang w:bidi="he-IL"/>
        </w:rPr>
      </w:pPr>
      <w:r w:rsidRPr="009E24D2">
        <w:rPr>
          <w:rFonts w:eastAsia="Batang"/>
          <w:b/>
          <w:sz w:val="22"/>
          <w:szCs w:val="22"/>
          <w:lang w:bidi="he-IL"/>
        </w:rPr>
        <w:t>Termín realizácie</w:t>
      </w:r>
      <w:r w:rsidR="009E24D2" w:rsidRPr="009E24D2">
        <w:rPr>
          <w:rFonts w:eastAsia="Batang"/>
          <w:b/>
          <w:sz w:val="22"/>
          <w:szCs w:val="22"/>
          <w:lang w:bidi="he-IL"/>
        </w:rPr>
        <w:t xml:space="preserve">: do 30.09.2023; </w:t>
      </w:r>
    </w:p>
    <w:p w14:paraId="00D54487" w14:textId="49D62833" w:rsidR="006106D9" w:rsidRPr="009E24D2" w:rsidRDefault="00F45AA9" w:rsidP="003B3119">
      <w:pPr>
        <w:numPr>
          <w:ilvl w:val="0"/>
          <w:numId w:val="72"/>
        </w:numPr>
        <w:suppressAutoHyphens/>
        <w:autoSpaceDE w:val="0"/>
        <w:autoSpaceDN w:val="0"/>
        <w:ind w:left="993" w:hanging="284"/>
        <w:jc w:val="both"/>
        <w:rPr>
          <w:rFonts w:eastAsia="Batang"/>
          <w:b/>
          <w:sz w:val="22"/>
          <w:szCs w:val="22"/>
          <w:lang w:bidi="he-IL"/>
        </w:rPr>
      </w:pPr>
      <w:r w:rsidRPr="009E24D2">
        <w:rPr>
          <w:rFonts w:eastAsia="Batang"/>
          <w:b/>
          <w:sz w:val="22"/>
          <w:szCs w:val="22"/>
          <w:lang w:bidi="he-IL"/>
        </w:rPr>
        <w:t xml:space="preserve">Miesto plnenia: </w:t>
      </w:r>
      <w:proofErr w:type="spellStart"/>
      <w:r w:rsidR="002F04A1" w:rsidRPr="009E24D2">
        <w:rPr>
          <w:rFonts w:eastAsia="Batang"/>
          <w:b/>
          <w:sz w:val="22"/>
          <w:szCs w:val="22"/>
          <w:lang w:bidi="he-IL"/>
        </w:rPr>
        <w:t>k.ú</w:t>
      </w:r>
      <w:proofErr w:type="spellEnd"/>
      <w:r w:rsidR="002F04A1" w:rsidRPr="009E24D2">
        <w:rPr>
          <w:rFonts w:eastAsia="Batang"/>
          <w:b/>
          <w:sz w:val="22"/>
          <w:szCs w:val="22"/>
          <w:lang w:bidi="he-IL"/>
        </w:rPr>
        <w:t>. Hubová – Švošov, kraj: Žilinský, okres: Ružomberok.</w:t>
      </w:r>
    </w:p>
    <w:p w14:paraId="020ADC76" w14:textId="7E5793FD" w:rsidR="00F45AA9" w:rsidRPr="006106D9" w:rsidRDefault="00F45AA9" w:rsidP="0083709E">
      <w:pPr>
        <w:numPr>
          <w:ilvl w:val="0"/>
          <w:numId w:val="60"/>
        </w:numPr>
        <w:tabs>
          <w:tab w:val="clear" w:pos="360"/>
        </w:tabs>
        <w:ind w:left="709" w:hanging="425"/>
        <w:jc w:val="both"/>
        <w:rPr>
          <w:rFonts w:eastAsia="Batang"/>
          <w:sz w:val="22"/>
          <w:szCs w:val="22"/>
          <w:lang w:bidi="he-IL"/>
        </w:rPr>
      </w:pPr>
      <w:r w:rsidRPr="006106D9">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w:t>
      </w:r>
      <w:r w:rsidRPr="00B82CA3">
        <w:rPr>
          <w:rFonts w:eastAsia="Batang"/>
          <w:sz w:val="22"/>
          <w:szCs w:val="22"/>
          <w:lang w:bidi="he-IL"/>
        </w:rPr>
        <w:lastRenderedPageBreak/>
        <w:t xml:space="preserve">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31288A1B" w14:textId="77777777" w:rsidR="007D0699" w:rsidRPr="007D0699" w:rsidRDefault="007D0699" w:rsidP="0083709E">
      <w:pPr>
        <w:numPr>
          <w:ilvl w:val="0"/>
          <w:numId w:val="42"/>
        </w:numPr>
        <w:tabs>
          <w:tab w:val="left" w:pos="601"/>
        </w:tabs>
        <w:suppressAutoHyphens/>
        <w:ind w:left="595" w:hanging="357"/>
        <w:jc w:val="both"/>
        <w:rPr>
          <w:color w:val="000000"/>
          <w:sz w:val="22"/>
          <w:szCs w:val="22"/>
        </w:rPr>
      </w:pPr>
      <w:r w:rsidRPr="007D0699">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44D0D2A3"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bude fakturovať DPH podľa cenových predpisov SR platných v dobe dodania prác a fakturácie.</w:t>
      </w:r>
    </w:p>
    <w:p w14:paraId="61F74E30"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7B06876F" w14:textId="77777777" w:rsidR="001A6413"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V cene za zhotovenie diela sú obsiahnuté</w:t>
      </w:r>
      <w:r w:rsidR="001A6413">
        <w:rPr>
          <w:color w:val="000000"/>
          <w:sz w:val="22"/>
          <w:szCs w:val="22"/>
        </w:rPr>
        <w:t>:</w:t>
      </w:r>
    </w:p>
    <w:p w14:paraId="677F62C6" w14:textId="7C69D3FA" w:rsidR="007D0699" w:rsidRDefault="001A6413" w:rsidP="001A6413">
      <w:pPr>
        <w:tabs>
          <w:tab w:val="left" w:pos="601"/>
        </w:tabs>
        <w:suppressAutoHyphens/>
        <w:ind w:left="595"/>
        <w:jc w:val="both"/>
        <w:rPr>
          <w:color w:val="000000"/>
          <w:sz w:val="22"/>
          <w:szCs w:val="22"/>
        </w:rPr>
      </w:pPr>
      <w:r>
        <w:rPr>
          <w:color w:val="000000"/>
          <w:sz w:val="22"/>
          <w:szCs w:val="22"/>
        </w:rPr>
        <w:t xml:space="preserve">- </w:t>
      </w:r>
      <w:r w:rsidR="007D0699" w:rsidRPr="00BE147B">
        <w:rPr>
          <w:color w:val="000000"/>
          <w:sz w:val="22"/>
          <w:szCs w:val="22"/>
        </w:rPr>
        <w:t>náklady zhotoviteľa na vybudovanie, prevádzku, údržbu a vypratanie zariadenia staveniska</w:t>
      </w:r>
      <w:r>
        <w:rPr>
          <w:color w:val="000000"/>
          <w:sz w:val="22"/>
          <w:szCs w:val="22"/>
        </w:rPr>
        <w:t xml:space="preserve">, </w:t>
      </w:r>
    </w:p>
    <w:p w14:paraId="02F61675" w14:textId="5B20D8C9" w:rsidR="004C5BBD" w:rsidRDefault="004C5BBD" w:rsidP="001A6413">
      <w:pPr>
        <w:tabs>
          <w:tab w:val="left" w:pos="601"/>
        </w:tabs>
        <w:suppressAutoHyphens/>
        <w:ind w:left="595"/>
        <w:jc w:val="both"/>
        <w:rPr>
          <w:color w:val="000000"/>
          <w:sz w:val="22"/>
          <w:szCs w:val="22"/>
        </w:rPr>
      </w:pPr>
      <w:r>
        <w:rPr>
          <w:color w:val="000000"/>
          <w:sz w:val="22"/>
          <w:szCs w:val="22"/>
        </w:rPr>
        <w:t>- n</w:t>
      </w:r>
      <w:r w:rsidRPr="004C5BBD">
        <w:rPr>
          <w:color w:val="000000"/>
          <w:sz w:val="22"/>
          <w:szCs w:val="22"/>
        </w:rPr>
        <w:t xml:space="preserve">áklady na vytýčenie stavby, jestvujúcich inžinierskych sietí, </w:t>
      </w:r>
      <w:proofErr w:type="spellStart"/>
      <w:r w:rsidRPr="004C5BBD">
        <w:rPr>
          <w:color w:val="000000"/>
          <w:sz w:val="22"/>
          <w:szCs w:val="22"/>
        </w:rPr>
        <w:t>porealizačné</w:t>
      </w:r>
      <w:proofErr w:type="spellEnd"/>
      <w:r w:rsidRPr="004C5BBD">
        <w:rPr>
          <w:color w:val="000000"/>
          <w:sz w:val="22"/>
          <w:szCs w:val="22"/>
        </w:rPr>
        <w:t xml:space="preserve"> zameranie a geometrický plán sú zahrnuté do jednotkových cien.</w:t>
      </w:r>
    </w:p>
    <w:p w14:paraId="0C0ADFCE" w14:textId="5932B0A3" w:rsidR="001A6413" w:rsidRDefault="001A6413" w:rsidP="001A6413">
      <w:pPr>
        <w:tabs>
          <w:tab w:val="left" w:pos="601"/>
        </w:tabs>
        <w:suppressAutoHyphens/>
        <w:ind w:left="595"/>
        <w:jc w:val="both"/>
        <w:rPr>
          <w:color w:val="000000"/>
          <w:sz w:val="22"/>
          <w:szCs w:val="22"/>
        </w:rPr>
      </w:pPr>
      <w:r w:rsidRPr="00491281">
        <w:rPr>
          <w:color w:val="000000"/>
          <w:sz w:val="22"/>
          <w:szCs w:val="22"/>
        </w:rPr>
        <w:t>- dodatočn</w:t>
      </w:r>
      <w:r w:rsidR="00491281" w:rsidRPr="00491281">
        <w:rPr>
          <w:color w:val="000000"/>
          <w:sz w:val="22"/>
          <w:szCs w:val="22"/>
        </w:rPr>
        <w:t>á</w:t>
      </w:r>
      <w:r w:rsidRPr="00491281">
        <w:rPr>
          <w:color w:val="000000"/>
          <w:sz w:val="22"/>
          <w:szCs w:val="22"/>
        </w:rPr>
        <w:t xml:space="preserve"> ochran</w:t>
      </w:r>
      <w:r w:rsidR="00491281" w:rsidRPr="00491281">
        <w:rPr>
          <w:color w:val="000000"/>
          <w:sz w:val="22"/>
          <w:szCs w:val="22"/>
        </w:rPr>
        <w:t>a</w:t>
      </w:r>
      <w:r w:rsidRPr="00491281">
        <w:rPr>
          <w:color w:val="000000"/>
          <w:sz w:val="22"/>
          <w:szCs w:val="22"/>
        </w:rPr>
        <w:t xml:space="preserve"> vodovodu a tlakovej kanalizácie delenými chráničkami v zmysle PD – zhotoviteľ zahrnul do jednotkových cien zemných prác,</w:t>
      </w:r>
    </w:p>
    <w:p w14:paraId="0322ADF8" w14:textId="187DB70C" w:rsidR="001A6413" w:rsidRDefault="001A6413" w:rsidP="001A6413">
      <w:pPr>
        <w:tabs>
          <w:tab w:val="left" w:pos="601"/>
        </w:tabs>
        <w:suppressAutoHyphens/>
        <w:ind w:left="595"/>
        <w:jc w:val="both"/>
        <w:rPr>
          <w:color w:val="000000"/>
          <w:sz w:val="22"/>
          <w:szCs w:val="22"/>
        </w:rPr>
      </w:pPr>
      <w:r>
        <w:rPr>
          <w:color w:val="000000"/>
          <w:sz w:val="22"/>
          <w:szCs w:val="22"/>
        </w:rPr>
        <w:t>-</w:t>
      </w:r>
      <w:r w:rsidR="00491281">
        <w:rPr>
          <w:color w:val="000000"/>
          <w:sz w:val="22"/>
          <w:szCs w:val="22"/>
        </w:rPr>
        <w:t xml:space="preserve"> </w:t>
      </w:r>
      <w:r w:rsidRPr="001A6413">
        <w:rPr>
          <w:color w:val="000000"/>
          <w:sz w:val="22"/>
          <w:szCs w:val="22"/>
        </w:rPr>
        <w:t>vypracovanie protipovodňového plánu a komunikáciu so správcom toku pri udržiavaní hladiny rieky Váh</w:t>
      </w:r>
      <w:r>
        <w:rPr>
          <w:color w:val="000000"/>
          <w:sz w:val="22"/>
          <w:szCs w:val="22"/>
        </w:rPr>
        <w:t>,</w:t>
      </w:r>
    </w:p>
    <w:p w14:paraId="304F92D2" w14:textId="57EE86A9" w:rsidR="001A6413" w:rsidRDefault="001A6413" w:rsidP="001A6413">
      <w:pPr>
        <w:tabs>
          <w:tab w:val="left" w:pos="601"/>
        </w:tabs>
        <w:suppressAutoHyphens/>
        <w:ind w:left="595"/>
        <w:jc w:val="both"/>
        <w:rPr>
          <w:color w:val="000000"/>
          <w:sz w:val="22"/>
          <w:szCs w:val="22"/>
        </w:rPr>
      </w:pPr>
      <w:r>
        <w:rPr>
          <w:color w:val="000000"/>
          <w:sz w:val="22"/>
          <w:szCs w:val="22"/>
        </w:rPr>
        <w:t xml:space="preserve">- </w:t>
      </w:r>
      <w:r w:rsidRPr="001A6413">
        <w:rPr>
          <w:color w:val="000000"/>
          <w:sz w:val="22"/>
          <w:szCs w:val="22"/>
        </w:rPr>
        <w:t>dielensk</w:t>
      </w:r>
      <w:r w:rsidR="00491281">
        <w:rPr>
          <w:color w:val="000000"/>
          <w:sz w:val="22"/>
          <w:szCs w:val="22"/>
        </w:rPr>
        <w:t>á</w:t>
      </w:r>
      <w:r w:rsidRPr="001A6413">
        <w:rPr>
          <w:color w:val="000000"/>
          <w:sz w:val="22"/>
          <w:szCs w:val="22"/>
        </w:rPr>
        <w:t xml:space="preserve"> dokumentáci</w:t>
      </w:r>
      <w:r w:rsidR="00491281">
        <w:rPr>
          <w:color w:val="000000"/>
          <w:sz w:val="22"/>
          <w:szCs w:val="22"/>
        </w:rPr>
        <w:t>a</w:t>
      </w:r>
      <w:r>
        <w:rPr>
          <w:color w:val="000000"/>
          <w:sz w:val="22"/>
          <w:szCs w:val="22"/>
        </w:rPr>
        <w:t>,</w:t>
      </w:r>
    </w:p>
    <w:p w14:paraId="5C6D15BA" w14:textId="72C364D3" w:rsidR="001A6413" w:rsidRDefault="001A6413" w:rsidP="001A6413">
      <w:pPr>
        <w:tabs>
          <w:tab w:val="left" w:pos="601"/>
        </w:tabs>
        <w:suppressAutoHyphens/>
        <w:ind w:left="595"/>
        <w:jc w:val="both"/>
        <w:rPr>
          <w:color w:val="000000"/>
          <w:sz w:val="22"/>
          <w:szCs w:val="22"/>
        </w:rPr>
      </w:pPr>
      <w:r>
        <w:rPr>
          <w:color w:val="000000"/>
          <w:sz w:val="22"/>
          <w:szCs w:val="22"/>
        </w:rPr>
        <w:t xml:space="preserve">- </w:t>
      </w:r>
      <w:r w:rsidRPr="001A6413">
        <w:rPr>
          <w:color w:val="000000"/>
          <w:sz w:val="22"/>
          <w:szCs w:val="22"/>
        </w:rPr>
        <w:t>náklady na vykonanie statickej zaťažovacej skúšky</w:t>
      </w:r>
      <w:r w:rsidR="00491281">
        <w:rPr>
          <w:color w:val="000000"/>
          <w:sz w:val="22"/>
          <w:szCs w:val="22"/>
        </w:rPr>
        <w:t xml:space="preserve"> –</w:t>
      </w:r>
      <w:r w:rsidR="00491281" w:rsidRPr="00491281">
        <w:rPr>
          <w:color w:val="000000"/>
          <w:sz w:val="22"/>
          <w:szCs w:val="22"/>
        </w:rPr>
        <w:t xml:space="preserve"> </w:t>
      </w:r>
      <w:r w:rsidR="00491281">
        <w:rPr>
          <w:color w:val="000000"/>
          <w:sz w:val="22"/>
          <w:szCs w:val="22"/>
        </w:rPr>
        <w:t>zhotoviteľ zahrnul do j</w:t>
      </w:r>
      <w:r w:rsidR="00491281" w:rsidRPr="001A6413">
        <w:rPr>
          <w:color w:val="000000"/>
          <w:sz w:val="22"/>
          <w:szCs w:val="22"/>
        </w:rPr>
        <w:t>ednotkov</w:t>
      </w:r>
      <w:r w:rsidR="00491281">
        <w:rPr>
          <w:color w:val="000000"/>
          <w:sz w:val="22"/>
          <w:szCs w:val="22"/>
        </w:rPr>
        <w:t>ých</w:t>
      </w:r>
      <w:r w:rsidR="00491281" w:rsidRPr="001A6413">
        <w:rPr>
          <w:color w:val="000000"/>
          <w:sz w:val="22"/>
          <w:szCs w:val="22"/>
        </w:rPr>
        <w:t xml:space="preserve"> c</w:t>
      </w:r>
      <w:r w:rsidR="00491281">
        <w:rPr>
          <w:color w:val="000000"/>
          <w:sz w:val="22"/>
          <w:szCs w:val="22"/>
        </w:rPr>
        <w:t>ien</w:t>
      </w:r>
      <w:r w:rsidR="00491281" w:rsidRPr="001A6413">
        <w:rPr>
          <w:color w:val="000000"/>
          <w:sz w:val="22"/>
          <w:szCs w:val="22"/>
        </w:rPr>
        <w:t xml:space="preserve"> oceľovej konštrukcie</w:t>
      </w:r>
      <w:r>
        <w:rPr>
          <w:color w:val="000000"/>
          <w:sz w:val="22"/>
          <w:szCs w:val="22"/>
        </w:rPr>
        <w:t>,</w:t>
      </w:r>
    </w:p>
    <w:p w14:paraId="0D1585D4" w14:textId="3BF00862" w:rsidR="001A6413" w:rsidRDefault="001A6413" w:rsidP="001A6413">
      <w:pPr>
        <w:tabs>
          <w:tab w:val="left" w:pos="601"/>
        </w:tabs>
        <w:suppressAutoHyphens/>
        <w:ind w:left="595"/>
        <w:jc w:val="both"/>
        <w:rPr>
          <w:color w:val="000000"/>
          <w:sz w:val="22"/>
          <w:szCs w:val="22"/>
        </w:rPr>
      </w:pPr>
      <w:r>
        <w:rPr>
          <w:color w:val="000000"/>
          <w:sz w:val="22"/>
          <w:szCs w:val="22"/>
        </w:rPr>
        <w:t xml:space="preserve">- </w:t>
      </w:r>
      <w:r w:rsidRPr="001A6413">
        <w:rPr>
          <w:color w:val="000000"/>
          <w:sz w:val="22"/>
          <w:szCs w:val="22"/>
        </w:rPr>
        <w:t xml:space="preserve">náklady na odstránenie </w:t>
      </w:r>
      <w:r w:rsidR="00491281">
        <w:rPr>
          <w:color w:val="000000"/>
          <w:sz w:val="22"/>
          <w:szCs w:val="22"/>
        </w:rPr>
        <w:t xml:space="preserve">materiálov potrebných ako podkladová konštrukcia - </w:t>
      </w:r>
      <w:r w:rsidRPr="001A6413">
        <w:rPr>
          <w:color w:val="000000"/>
          <w:sz w:val="22"/>
          <w:szCs w:val="22"/>
        </w:rPr>
        <w:t>zhotoviteľ za</w:t>
      </w:r>
      <w:r w:rsidR="00491281">
        <w:rPr>
          <w:color w:val="000000"/>
          <w:sz w:val="22"/>
          <w:szCs w:val="22"/>
        </w:rPr>
        <w:t>hrnul</w:t>
      </w:r>
      <w:r w:rsidRPr="001A6413">
        <w:rPr>
          <w:color w:val="000000"/>
          <w:sz w:val="22"/>
          <w:szCs w:val="22"/>
        </w:rPr>
        <w:t xml:space="preserve"> do ceny zriadenia týchto </w:t>
      </w:r>
      <w:proofErr w:type="spellStart"/>
      <w:r w:rsidRPr="001A6413">
        <w:rPr>
          <w:color w:val="000000"/>
          <w:sz w:val="22"/>
          <w:szCs w:val="22"/>
        </w:rPr>
        <w:t>podkladných</w:t>
      </w:r>
      <w:proofErr w:type="spellEnd"/>
      <w:r w:rsidRPr="001A6413">
        <w:rPr>
          <w:color w:val="000000"/>
          <w:sz w:val="22"/>
          <w:szCs w:val="22"/>
        </w:rPr>
        <w:t xml:space="preserve"> vrstiev</w:t>
      </w:r>
      <w:r>
        <w:rPr>
          <w:color w:val="000000"/>
          <w:sz w:val="22"/>
          <w:szCs w:val="22"/>
        </w:rPr>
        <w:t xml:space="preserve">, </w:t>
      </w:r>
    </w:p>
    <w:p w14:paraId="608273A7" w14:textId="6F4AA211" w:rsidR="001A6413" w:rsidRDefault="00D05D2D" w:rsidP="001A6413">
      <w:pPr>
        <w:tabs>
          <w:tab w:val="left" w:pos="601"/>
        </w:tabs>
        <w:suppressAutoHyphens/>
        <w:ind w:left="595"/>
        <w:jc w:val="both"/>
        <w:rPr>
          <w:color w:val="000000"/>
          <w:sz w:val="22"/>
          <w:szCs w:val="22"/>
        </w:rPr>
      </w:pPr>
      <w:r>
        <w:rPr>
          <w:color w:val="000000"/>
          <w:sz w:val="22"/>
          <w:szCs w:val="22"/>
        </w:rPr>
        <w:t>- n</w:t>
      </w:r>
      <w:r w:rsidR="001A6413" w:rsidRPr="001A6413">
        <w:rPr>
          <w:color w:val="000000"/>
          <w:sz w:val="22"/>
          <w:szCs w:val="22"/>
        </w:rPr>
        <w:t xml:space="preserve">áklady na vytýčenie stavby, jestvujúcich inžinierskych sietí, </w:t>
      </w:r>
      <w:proofErr w:type="spellStart"/>
      <w:r w:rsidR="001A6413" w:rsidRPr="001A6413">
        <w:rPr>
          <w:color w:val="000000"/>
          <w:sz w:val="22"/>
          <w:szCs w:val="22"/>
        </w:rPr>
        <w:t>porealizačné</w:t>
      </w:r>
      <w:proofErr w:type="spellEnd"/>
      <w:r w:rsidR="001A6413" w:rsidRPr="001A6413">
        <w:rPr>
          <w:color w:val="000000"/>
          <w:sz w:val="22"/>
          <w:szCs w:val="22"/>
        </w:rPr>
        <w:t xml:space="preserve"> zameranie a geometrický plán sú zahrnuté do jednotkových cien</w:t>
      </w:r>
      <w:r>
        <w:rPr>
          <w:color w:val="000000"/>
          <w:sz w:val="22"/>
          <w:szCs w:val="22"/>
        </w:rPr>
        <w:t>,</w:t>
      </w:r>
    </w:p>
    <w:p w14:paraId="1D386568" w14:textId="1ECABF8E" w:rsidR="00D05D2D" w:rsidRPr="00BE147B" w:rsidRDefault="00D05D2D" w:rsidP="001A6413">
      <w:pPr>
        <w:tabs>
          <w:tab w:val="left" w:pos="601"/>
        </w:tabs>
        <w:suppressAutoHyphens/>
        <w:ind w:left="595"/>
        <w:jc w:val="both"/>
        <w:rPr>
          <w:color w:val="000000"/>
          <w:sz w:val="22"/>
          <w:szCs w:val="22"/>
        </w:rPr>
      </w:pPr>
      <w:r w:rsidRPr="00251ACF">
        <w:rPr>
          <w:b/>
          <w:bCs/>
          <w:color w:val="000000"/>
          <w:sz w:val="22"/>
          <w:szCs w:val="22"/>
        </w:rPr>
        <w:t>- technologický postup montáže lávky predloží zhot</w:t>
      </w:r>
      <w:r w:rsidRPr="00D05D2D">
        <w:rPr>
          <w:b/>
          <w:bCs/>
          <w:color w:val="000000"/>
          <w:sz w:val="22"/>
          <w:szCs w:val="22"/>
        </w:rPr>
        <w:t>oviteľ pred podpisom zmluvy</w:t>
      </w:r>
      <w:r w:rsidRPr="00D05D2D">
        <w:rPr>
          <w:color w:val="000000"/>
          <w:sz w:val="22"/>
          <w:szCs w:val="22"/>
        </w:rPr>
        <w:t xml:space="preserve"> a náklady na jeho vypracovanie a samotnú montáž sú súčasťou ceny položiek VV.</w:t>
      </w:r>
    </w:p>
    <w:p w14:paraId="1CFD2FE1"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 xml:space="preserve">Zhotoviteľ nemá nárok na úpravu ceny spôsobenej predĺžením lehoty výstavby </w:t>
      </w:r>
      <w:r w:rsidRPr="00BE147B">
        <w:rPr>
          <w:color w:val="000000"/>
          <w:sz w:val="22"/>
          <w:szCs w:val="22"/>
          <w:lang w:bidi="sk-SK"/>
        </w:rPr>
        <w:t>v prípade, keď k predĺženiu lehoty výstavby došlo z dôvodov na strane zhotoviteľa.</w:t>
      </w:r>
    </w:p>
    <w:p w14:paraId="38229E6F" w14:textId="77777777" w:rsidR="007D0699" w:rsidRPr="004C5BBD" w:rsidRDefault="007D0699" w:rsidP="0083709E">
      <w:pPr>
        <w:numPr>
          <w:ilvl w:val="0"/>
          <w:numId w:val="42"/>
        </w:numPr>
        <w:tabs>
          <w:tab w:val="left" w:pos="601"/>
        </w:tabs>
        <w:suppressAutoHyphens/>
        <w:ind w:left="595" w:hanging="357"/>
        <w:jc w:val="both"/>
        <w:rPr>
          <w:color w:val="000000"/>
          <w:sz w:val="22"/>
          <w:szCs w:val="22"/>
          <w:u w:val="single"/>
        </w:rPr>
      </w:pPr>
      <w:r w:rsidRPr="00BE147B">
        <w:rPr>
          <w:color w:val="000000"/>
          <w:sz w:val="22"/>
          <w:szCs w:val="22"/>
        </w:rPr>
        <w:t xml:space="preserve">Zhotoviteľ prehlasuje, že </w:t>
      </w:r>
      <w:r w:rsidRPr="004C5BBD">
        <w:rPr>
          <w:color w:val="000000"/>
          <w:sz w:val="22"/>
          <w:szCs w:val="22"/>
          <w:u w:val="single"/>
        </w:rPr>
        <w:t>cena je stanovená v súlade s projektovou dokumentáciou a požiadavkami objednávateľa.</w:t>
      </w:r>
    </w:p>
    <w:p w14:paraId="2324DE0B"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lastRenderedPageBreak/>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58671E0B" w14:textId="28C03E63"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V súlade s § 18 ods. 1 písm. a) zákona o verejnom obstarávaní je možné uzatvoriť dodatok za týchto podmienok: Zmeny zmluvy ohľadom navýšenia alebo zníženia cien materiálov i prác na trhu nesmú ísť nad rámec nevyhnutného plnenia  a </w:t>
      </w:r>
      <w:r w:rsidRPr="00BE147B">
        <w:rPr>
          <w:b/>
          <w:bCs/>
          <w:color w:val="000000"/>
          <w:sz w:val="22"/>
          <w:szCs w:val="22"/>
          <w:u w:val="single"/>
        </w:rPr>
        <w:t>musia sa týkať iba tých položiek, u ktorých došlo k nárastu cien, a ktoré sú nevyhnutné na dosiahnutie účelu plnenia sledovaného touto zmluvou</w:t>
      </w:r>
      <w:r w:rsidR="009D5A95">
        <w:rPr>
          <w:b/>
          <w:bCs/>
          <w:color w:val="000000"/>
          <w:sz w:val="22"/>
          <w:szCs w:val="22"/>
          <w:u w:val="single"/>
        </w:rPr>
        <w:t>.</w:t>
      </w:r>
      <w:r w:rsidRPr="00BE147B">
        <w:rPr>
          <w:color w:val="000000"/>
          <w:sz w:val="22"/>
          <w:szCs w:val="22"/>
        </w:rPr>
        <w:t xml:space="preserv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E147B">
        <w:rPr>
          <w:color w:val="000000"/>
          <w:sz w:val="22"/>
          <w:szCs w:val="22"/>
        </w:rPr>
        <w:t>indexačnej</w:t>
      </w:r>
      <w:proofErr w:type="spellEnd"/>
      <w:r w:rsidRPr="00BE147B">
        <w:rPr>
          <w:color w:val="000000"/>
          <w:sz w:val="22"/>
          <w:szCs w:val="22"/>
        </w:rPr>
        <w:t xml:space="preserve"> doložky:</w:t>
      </w:r>
    </w:p>
    <w:p w14:paraId="06F861DE" w14:textId="77777777" w:rsidR="007D0699" w:rsidRPr="00BE147B" w:rsidRDefault="007D0699" w:rsidP="007D0699">
      <w:pPr>
        <w:tabs>
          <w:tab w:val="left" w:pos="601"/>
        </w:tabs>
        <w:suppressAutoHyphens/>
        <w:ind w:left="595"/>
        <w:jc w:val="both"/>
        <w:rPr>
          <w:color w:val="000000"/>
          <w:sz w:val="22"/>
          <w:szCs w:val="22"/>
        </w:rPr>
      </w:pPr>
    </w:p>
    <w:p w14:paraId="01CF3B46" w14:textId="77777777" w:rsidR="007D0699" w:rsidRPr="00BE147B" w:rsidRDefault="007D0699" w:rsidP="0083709E">
      <w:pPr>
        <w:pStyle w:val="Odsekzoznamu"/>
        <w:numPr>
          <w:ilvl w:val="0"/>
          <w:numId w:val="82"/>
        </w:numPr>
        <w:shd w:val="clear" w:color="auto" w:fill="FFFFFF"/>
        <w:ind w:left="993" w:hanging="426"/>
        <w:jc w:val="both"/>
        <w:rPr>
          <w:color w:val="000000"/>
          <w:sz w:val="22"/>
          <w:szCs w:val="22"/>
        </w:rPr>
      </w:pPr>
      <w:r w:rsidRPr="00BE147B">
        <w:rPr>
          <w:color w:val="000000"/>
          <w:sz w:val="22"/>
          <w:szCs w:val="22"/>
        </w:rPr>
        <w:t xml:space="preserve">Pre prípad, ak má byť doba dodania predmetu plnenia podľa tejto zmluvy v dĺžke viac ako tri mesiace alebo v prípade, </w:t>
      </w:r>
      <w:r w:rsidRPr="00BE147B">
        <w:rPr>
          <w:color w:val="000000"/>
          <w:sz w:val="22"/>
          <w:szCs w:val="22"/>
          <w:u w:val="single"/>
        </w:rPr>
        <w:t>ak medzi nadobudnutím platnosti a účinnosti tejto zmluvy uplynie doba viac ako tri mesiace</w:t>
      </w:r>
      <w:r w:rsidRPr="00BE147B">
        <w:rPr>
          <w:color w:val="000000"/>
          <w:sz w:val="22"/>
          <w:szCs w:val="22"/>
        </w:rPr>
        <w:t xml:space="preserve">, dohodli sa zmluvné strany na aplikovaní tejto </w:t>
      </w:r>
      <w:proofErr w:type="spellStart"/>
      <w:r w:rsidRPr="00BE147B">
        <w:rPr>
          <w:color w:val="000000"/>
          <w:sz w:val="22"/>
          <w:szCs w:val="22"/>
        </w:rPr>
        <w:t>indexačnej</w:t>
      </w:r>
      <w:proofErr w:type="spellEnd"/>
      <w:r w:rsidRPr="00BE147B">
        <w:rPr>
          <w:color w:val="000000"/>
          <w:sz w:val="22"/>
          <w:szCs w:val="22"/>
        </w:rPr>
        <w:t xml:space="preserve"> doložky. Nárok na uplatnenie </w:t>
      </w:r>
      <w:proofErr w:type="spellStart"/>
      <w:r w:rsidRPr="00BE147B">
        <w:rPr>
          <w:color w:val="000000"/>
          <w:sz w:val="22"/>
          <w:szCs w:val="22"/>
        </w:rPr>
        <w:t>indexačnej</w:t>
      </w:r>
      <w:proofErr w:type="spellEnd"/>
      <w:r w:rsidRPr="00BE147B">
        <w:rPr>
          <w:color w:val="000000"/>
          <w:sz w:val="22"/>
          <w:szCs w:val="22"/>
        </w:rPr>
        <w:t xml:space="preserve"> doložky vzniká najskôr po uplynutí 3 mesiacov platnosti zmluvy a zároveň po skončení kalendárneho kvartálu (</w:t>
      </w:r>
      <w:proofErr w:type="spellStart"/>
      <w:r w:rsidRPr="00BE147B">
        <w:rPr>
          <w:color w:val="000000"/>
          <w:sz w:val="22"/>
          <w:szCs w:val="22"/>
        </w:rPr>
        <w:t>t.z</w:t>
      </w:r>
      <w:proofErr w:type="spellEnd"/>
      <w:r w:rsidRPr="00BE147B">
        <w:rPr>
          <w:color w:val="000000"/>
          <w:sz w:val="22"/>
          <w:szCs w:val="22"/>
        </w:rPr>
        <w:t xml:space="preserve">. prvý kvartál končí 31.3. príslušného roka </w:t>
      </w:r>
      <w:proofErr w:type="spellStart"/>
      <w:r w:rsidRPr="00BE147B">
        <w:rPr>
          <w:color w:val="000000"/>
          <w:sz w:val="22"/>
          <w:szCs w:val="22"/>
        </w:rPr>
        <w:t>atď</w:t>
      </w:r>
      <w:proofErr w:type="spellEnd"/>
      <w:r w:rsidRPr="00BE147B">
        <w:rPr>
          <w:color w:val="000000"/>
          <w:sz w:val="22"/>
          <w:szCs w:val="22"/>
        </w:rPr>
        <w:t>).</w:t>
      </w:r>
    </w:p>
    <w:p w14:paraId="062193B2" w14:textId="77777777" w:rsidR="007D0699" w:rsidRPr="00BE147B" w:rsidRDefault="007D0699" w:rsidP="007D0699">
      <w:pPr>
        <w:pStyle w:val="Odsekzoznamu"/>
        <w:shd w:val="clear" w:color="auto" w:fill="FFFFFF"/>
        <w:jc w:val="both"/>
        <w:rPr>
          <w:color w:val="000000"/>
          <w:sz w:val="22"/>
          <w:szCs w:val="22"/>
        </w:rPr>
      </w:pPr>
    </w:p>
    <w:p w14:paraId="512BCE09" w14:textId="61BF9B3D"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Príklad: Zmluva sa uzavrie dňa 15.2 a termín na dodanie predmetu zmluvy je </w:t>
      </w:r>
      <w:r w:rsidR="000D08F0">
        <w:rPr>
          <w:color w:val="000000"/>
          <w:sz w:val="22"/>
          <w:szCs w:val="22"/>
        </w:rPr>
        <w:t>8</w:t>
      </w:r>
      <w:r w:rsidRPr="00BE147B">
        <w:rPr>
          <w:color w:val="000000"/>
          <w:sz w:val="22"/>
          <w:szCs w:val="22"/>
        </w:rPr>
        <w:t xml:space="preserve"> mesiacov. Preto prvý krát bude mať nárok zmluvná strana na úpravu ceny až po skončení 2. kvartálu </w:t>
      </w:r>
      <w:proofErr w:type="spellStart"/>
      <w:r w:rsidRPr="00BE147B">
        <w:rPr>
          <w:color w:val="000000"/>
          <w:sz w:val="22"/>
          <w:szCs w:val="22"/>
        </w:rPr>
        <w:t>t.z</w:t>
      </w:r>
      <w:proofErr w:type="spellEnd"/>
      <w:r w:rsidRPr="00BE147B">
        <w:rPr>
          <w:color w:val="000000"/>
          <w:sz w:val="22"/>
          <w:szCs w:val="22"/>
        </w:rPr>
        <w:t>. po 30.6, a to len o zvýšenie za 2. kvartál.</w:t>
      </w:r>
    </w:p>
    <w:p w14:paraId="188C0CD9"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V prípade, ak za predchádzajúci kalendárny štvrťrok platnosti zmluvy bol zistený nárast resp. pokles cien </w:t>
      </w:r>
      <w:r w:rsidRPr="00BE147B">
        <w:rPr>
          <w:color w:val="000000"/>
          <w:sz w:val="22"/>
          <w:szCs w:val="22"/>
          <w:u w:val="single"/>
        </w:rPr>
        <w:t>položiek, ktoré sú nevyhnutné na dosiahnutie účelu plnenia sledovaného touto zmluvou</w:t>
      </w:r>
      <w:r w:rsidRPr="00BE147B">
        <w:rPr>
          <w:color w:val="000000"/>
          <w:sz w:val="22"/>
          <w:szCs w:val="22"/>
        </w:rPr>
        <w:t xml:space="preserve">, stanovený Indexom cien stavebných prác a/alebo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týchto položiek, a to v rozsahu zmeny ceny medzi cenou plnenia podľa tejto zmluvy a príslušným Indexom nárastu resp. poklesu cien stavebných prác a/alebo stavebných materiálov (nákupné ceny) poníženým o 5 % (ďalej ako „zmena zmluvnej ceny“). </w:t>
      </w:r>
    </w:p>
    <w:p w14:paraId="4FD5A65D" w14:textId="77777777" w:rsidR="007D0699" w:rsidRPr="00BE147B" w:rsidRDefault="007D0699" w:rsidP="007D0699">
      <w:pPr>
        <w:pStyle w:val="Odsekzoznamu"/>
        <w:shd w:val="clear" w:color="auto" w:fill="FFFFFF"/>
        <w:jc w:val="both"/>
        <w:rPr>
          <w:color w:val="000000"/>
          <w:sz w:val="22"/>
          <w:szCs w:val="22"/>
        </w:rPr>
      </w:pPr>
    </w:p>
    <w:p w14:paraId="525C2D34"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Príklady:</w:t>
      </w:r>
    </w:p>
    <w:p w14:paraId="353F018D"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podľa Indexu bude o 18%, tak dodatkom bude cena upravená o 13%</w:t>
      </w:r>
    </w:p>
    <w:p w14:paraId="4D2B5A02"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nedosiahol 5% ale len 3%, tak dodatkom nebude cena upravená (nevznikol nárok na zmenu ceny).</w:t>
      </w:r>
    </w:p>
    <w:p w14:paraId="1328EC20" w14:textId="77777777" w:rsidR="007D0699" w:rsidRPr="00BE147B" w:rsidRDefault="007D0699" w:rsidP="007D0699">
      <w:pPr>
        <w:pStyle w:val="Odsekzoznamu"/>
        <w:shd w:val="clear" w:color="auto" w:fill="FFFFFF"/>
        <w:ind w:left="993"/>
        <w:jc w:val="both"/>
        <w:rPr>
          <w:color w:val="000000"/>
          <w:sz w:val="22"/>
          <w:szCs w:val="22"/>
        </w:rPr>
      </w:pPr>
    </w:p>
    <w:p w14:paraId="23F74298"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E147B">
        <w:rPr>
          <w:color w:val="000000"/>
          <w:sz w:val="22"/>
          <w:szCs w:val="22"/>
        </w:rPr>
        <w:t xml:space="preserve">Indexu cien stavebných prác a/alebo Indexu stavebných materiálov (nákupné ceny) </w:t>
      </w:r>
      <w:r w:rsidRPr="00BE147B">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BE147B" w:rsidRDefault="007D0699" w:rsidP="007D0699">
      <w:pPr>
        <w:pStyle w:val="Odsekzoznamu"/>
        <w:shd w:val="clear" w:color="auto" w:fill="FFFFFF"/>
        <w:ind w:left="993"/>
        <w:jc w:val="both"/>
        <w:rPr>
          <w:color w:val="222222"/>
          <w:sz w:val="22"/>
          <w:szCs w:val="22"/>
        </w:rPr>
      </w:pPr>
    </w:p>
    <w:p w14:paraId="477B835B" w14:textId="77777777" w:rsidR="007D0699" w:rsidRPr="00BE147B" w:rsidRDefault="007D0699" w:rsidP="007D0699">
      <w:pPr>
        <w:shd w:val="clear" w:color="auto" w:fill="FFFFFF"/>
        <w:ind w:left="567"/>
        <w:jc w:val="both"/>
        <w:rPr>
          <w:color w:val="222222"/>
          <w:sz w:val="22"/>
          <w:szCs w:val="22"/>
        </w:rPr>
      </w:pPr>
      <w:r w:rsidRPr="00BE147B">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BE147B" w:rsidRDefault="007D0699" w:rsidP="007D0699">
      <w:pPr>
        <w:pStyle w:val="Odsekzoznamu"/>
        <w:shd w:val="clear" w:color="auto" w:fill="FFFFFF"/>
        <w:ind w:left="993"/>
        <w:jc w:val="both"/>
        <w:rPr>
          <w:color w:val="222222"/>
          <w:sz w:val="22"/>
          <w:szCs w:val="22"/>
        </w:rPr>
      </w:pPr>
    </w:p>
    <w:p w14:paraId="6D0725D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4642E6B8" w14:textId="77777777" w:rsidR="007D0699" w:rsidRPr="00BE147B" w:rsidRDefault="007D0699" w:rsidP="007D0699">
      <w:pPr>
        <w:pStyle w:val="Odsekzoznamu"/>
        <w:shd w:val="clear" w:color="auto" w:fill="FFFFFF"/>
        <w:ind w:left="993"/>
        <w:jc w:val="both"/>
        <w:rPr>
          <w:color w:val="222222"/>
          <w:sz w:val="22"/>
          <w:szCs w:val="22"/>
        </w:rPr>
      </w:pPr>
    </w:p>
    <w:p w14:paraId="0F99FD62"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19A5898"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39457757" w14:textId="77777777" w:rsidR="007D0699" w:rsidRPr="00BE147B" w:rsidRDefault="007D0699" w:rsidP="007D0699">
      <w:pPr>
        <w:pStyle w:val="Odsekzoznamu"/>
        <w:shd w:val="clear" w:color="auto" w:fill="FFFFFF"/>
        <w:ind w:left="993"/>
        <w:jc w:val="both"/>
        <w:rPr>
          <w:color w:val="222222"/>
          <w:sz w:val="22"/>
          <w:szCs w:val="22"/>
        </w:rPr>
      </w:pPr>
    </w:p>
    <w:p w14:paraId="3900205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Ak po dobu platnosti tejto zmluvy dôjde k nahradeniu </w:t>
      </w:r>
      <w:r w:rsidRPr="00BE147B">
        <w:rPr>
          <w:color w:val="000000"/>
          <w:sz w:val="22"/>
          <w:szCs w:val="22"/>
        </w:rPr>
        <w:t xml:space="preserve">Indexu cien stavebných prác a/alebo Indexu stavebných materiálov (nákupné ceny), </w:t>
      </w:r>
      <w:r w:rsidRPr="00BE147B">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BE147B" w:rsidRDefault="007D0699" w:rsidP="007D0699">
      <w:pPr>
        <w:shd w:val="clear" w:color="auto" w:fill="FFFFFF"/>
        <w:jc w:val="both"/>
        <w:rPr>
          <w:color w:val="222222"/>
          <w:sz w:val="22"/>
          <w:szCs w:val="22"/>
        </w:rPr>
      </w:pPr>
    </w:p>
    <w:p w14:paraId="6354F5A5"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Zmluvné strany sa dohodli, že dodatok k zmluve mechanizmom podľa tohto ustanovenia môže byť uzatvorený aj v prípade, ak zmluva ešte nenadobudla účinnosť.</w:t>
      </w:r>
    </w:p>
    <w:p w14:paraId="4D60B8E5" w14:textId="77777777" w:rsidR="007D0699" w:rsidRPr="00BE147B" w:rsidRDefault="007D0699" w:rsidP="007D0699">
      <w:pPr>
        <w:pStyle w:val="Odsekzoznamu"/>
        <w:shd w:val="clear" w:color="auto" w:fill="FFFFFF"/>
        <w:ind w:left="993"/>
        <w:jc w:val="both"/>
        <w:rPr>
          <w:color w:val="222222"/>
          <w:sz w:val="22"/>
          <w:szCs w:val="22"/>
        </w:rPr>
      </w:pPr>
    </w:p>
    <w:p w14:paraId="12A20FFF"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77777777" w:rsidR="007D0699" w:rsidRPr="009E24D2"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(úpravy technického riešenia, nahradenie technického riešenia, zúženie, rozšírenie </w:t>
      </w:r>
      <w:r w:rsidRPr="009E24D2">
        <w:rPr>
          <w:color w:val="000000"/>
          <w:sz w:val="22"/>
          <w:szCs w:val="22"/>
        </w:rPr>
        <w:t>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Rámcovej zmluvy o dielo bude nasledovný:</w:t>
      </w:r>
    </w:p>
    <w:p w14:paraId="03D3653E"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9E24D2"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9E24D2">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V prípade súhlasu zmluvných strán so zmenou, vypracuje zhotoviteľ súpis naviac prác/menej prác k ocenenému výkazu výmer, ktorý bude obsahovať:</w:t>
      </w:r>
    </w:p>
    <w:p w14:paraId="17A9030F"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rekapituláciu ceny objektu, ktorá bude obsahovať cenu z rozpočtu, cenu  jednotlivých dodatkov k rozpočtu a cenu spolu,</w:t>
      </w:r>
    </w:p>
    <w:p w14:paraId="49E7171D"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rekapituláciu ceny súpisu naviac prác k rozpočtu,</w:t>
      </w:r>
    </w:p>
    <w:p w14:paraId="416E8402"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9E24D2">
        <w:rPr>
          <w:sz w:val="22"/>
          <w:szCs w:val="22"/>
        </w:rPr>
        <w:t>položkovite</w:t>
      </w:r>
      <w:proofErr w:type="spellEnd"/>
      <w:r w:rsidRPr="009E24D2">
        <w:rPr>
          <w:sz w:val="22"/>
          <w:szCs w:val="22"/>
        </w:rPr>
        <w:t xml:space="preserve"> ocenený výkaz výmer naviac prác,</w:t>
      </w:r>
    </w:p>
    <w:p w14:paraId="47CB1DB6"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9E24D2">
        <w:rPr>
          <w:sz w:val="22"/>
          <w:szCs w:val="22"/>
        </w:rPr>
        <w:t>položkovite</w:t>
      </w:r>
      <w:proofErr w:type="spellEnd"/>
      <w:r w:rsidRPr="009E24D2">
        <w:rPr>
          <w:sz w:val="22"/>
          <w:szCs w:val="22"/>
        </w:rPr>
        <w:t xml:space="preserve"> ocenený odpočet ceny menej prác,</w:t>
      </w:r>
    </w:p>
    <w:p w14:paraId="563FB8EA"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sprievodnú správu,</w:t>
      </w:r>
    </w:p>
    <w:p w14:paraId="65A5D521"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kópiu zápisov zo stavebného denníka,</w:t>
      </w:r>
    </w:p>
    <w:p w14:paraId="25EE30F3"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 xml:space="preserve">ďalšie náležitosti (zápisy, náčrtky,...) objasňujúce predmet súpisu naviac prác/menej prác k rozpočtu, </w:t>
      </w:r>
    </w:p>
    <w:p w14:paraId="3DD8AB93"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Pre ocenenie výkazu výmer u naviac prác bude zhotoviteľ používať ceny nasledovne:</w:t>
      </w:r>
    </w:p>
    <w:p w14:paraId="3C3B0350" w14:textId="77777777" w:rsidR="007D0699" w:rsidRPr="009E24D2"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9E24D2">
        <w:rPr>
          <w:sz w:val="22"/>
          <w:szCs w:val="22"/>
        </w:rPr>
        <w:t xml:space="preserve">pri položkách, ktoré sa vyskytovali v ocenenom výkaze výmer, </w:t>
      </w:r>
      <w:proofErr w:type="spellStart"/>
      <w:r w:rsidRPr="009E24D2">
        <w:rPr>
          <w:sz w:val="22"/>
          <w:szCs w:val="22"/>
        </w:rPr>
        <w:t>t.j</w:t>
      </w:r>
      <w:proofErr w:type="spellEnd"/>
      <w:r w:rsidRPr="009E24D2">
        <w:rPr>
          <w:sz w:val="22"/>
          <w:szCs w:val="22"/>
        </w:rPr>
        <w:t>. v Prílohe č. 1 tejto zmluvy, bude používať ceny z oceneného výkazu výmer podľa Prílohy č. 1  k tejto zmluve,</w:t>
      </w:r>
    </w:p>
    <w:p w14:paraId="3EFAF6E5" w14:textId="77777777" w:rsidR="007D0699" w:rsidRPr="009E24D2"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9E24D2">
        <w:rPr>
          <w:sz w:val="22"/>
          <w:szCs w:val="22"/>
        </w:rPr>
        <w:t xml:space="preserve">pri položkách, ktoré sa nevyskytovali v ocenenom výkaze výmer, </w:t>
      </w:r>
      <w:proofErr w:type="spellStart"/>
      <w:r w:rsidRPr="009E24D2">
        <w:rPr>
          <w:sz w:val="22"/>
          <w:szCs w:val="22"/>
        </w:rPr>
        <w:t>t.j</w:t>
      </w:r>
      <w:proofErr w:type="spellEnd"/>
      <w:r w:rsidRPr="009E24D2">
        <w:rPr>
          <w:sz w:val="22"/>
          <w:szCs w:val="22"/>
        </w:rPr>
        <w:t>. v Prílohe č. 1 tejto zmluvy, sa budú používať vždy aktuálne ceny podľa príslušného softvéru na oceňovanie stavebných prác (</w:t>
      </w:r>
      <w:proofErr w:type="spellStart"/>
      <w:r w:rsidRPr="009E24D2">
        <w:rPr>
          <w:sz w:val="22"/>
          <w:szCs w:val="22"/>
        </w:rPr>
        <w:t>cenkros</w:t>
      </w:r>
      <w:proofErr w:type="spellEnd"/>
      <w:r w:rsidRPr="009E24D2">
        <w:rPr>
          <w:sz w:val="22"/>
          <w:szCs w:val="22"/>
        </w:rPr>
        <w:t xml:space="preserve"> a pod.)</w:t>
      </w:r>
    </w:p>
    <w:p w14:paraId="3CDE7912"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color w:val="000000"/>
          <w:sz w:val="22"/>
          <w:szCs w:val="22"/>
        </w:rPr>
        <w:lastRenderedPageBreak/>
        <w:t xml:space="preserve">Ak sa pri vykonaní diela objaví potreba činností nezahrnutých do </w:t>
      </w:r>
      <w:r w:rsidRPr="009E24D2">
        <w:rPr>
          <w:sz w:val="22"/>
          <w:szCs w:val="22"/>
        </w:rPr>
        <w:t>oceneného výkazu výmer</w:t>
      </w:r>
      <w:r w:rsidRPr="009E24D2">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101AF172" w14:textId="77777777" w:rsidR="007D0699" w:rsidRPr="009E24D2" w:rsidRDefault="007D0699" w:rsidP="004C5BBD">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9E24D2" w:rsidRDefault="007D0699" w:rsidP="004C5BBD">
      <w:pPr>
        <w:numPr>
          <w:ilvl w:val="0"/>
          <w:numId w:val="42"/>
        </w:numPr>
        <w:tabs>
          <w:tab w:val="clear" w:pos="720"/>
          <w:tab w:val="left" w:pos="601"/>
          <w:tab w:val="num" w:pos="1920"/>
        </w:tabs>
        <w:suppressAutoHyphens/>
        <w:ind w:left="595" w:hanging="357"/>
        <w:jc w:val="both"/>
        <w:rPr>
          <w:color w:val="000000"/>
          <w:sz w:val="22"/>
          <w:szCs w:val="22"/>
        </w:rPr>
      </w:pPr>
      <w:r w:rsidRPr="009E24D2">
        <w:rPr>
          <w:color w:val="000000"/>
          <w:sz w:val="22"/>
          <w:szCs w:val="22"/>
        </w:rPr>
        <w:t>Zmeny zmluvy je možné realizovať aj v iných prípadoch, ak budú splnené podmienky na uzavretie dodatku podľa § 18 zákona o verejnom obstarávaní.</w:t>
      </w:r>
    </w:p>
    <w:p w14:paraId="3C5134A2" w14:textId="77777777" w:rsidR="007D0699" w:rsidRPr="009E24D2" w:rsidRDefault="007D0699" w:rsidP="004C5BBD">
      <w:pPr>
        <w:numPr>
          <w:ilvl w:val="0"/>
          <w:numId w:val="42"/>
        </w:numPr>
        <w:tabs>
          <w:tab w:val="clear" w:pos="720"/>
          <w:tab w:val="left" w:pos="601"/>
          <w:tab w:val="num" w:pos="1920"/>
        </w:tabs>
        <w:suppressAutoHyphens/>
        <w:ind w:left="595" w:hanging="357"/>
        <w:jc w:val="both"/>
        <w:rPr>
          <w:color w:val="000000"/>
          <w:sz w:val="22"/>
          <w:szCs w:val="22"/>
        </w:rPr>
      </w:pPr>
      <w:r w:rsidRPr="009E24D2">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9E24D2">
        <w:rPr>
          <w:color w:val="000000"/>
          <w:sz w:val="22"/>
          <w:szCs w:val="22"/>
        </w:rPr>
        <w:sym w:font="Symbol" w:char="F0B7"/>
      </w:r>
      <w:r w:rsidRPr="009E24D2">
        <w:rPr>
          <w:color w:val="000000"/>
          <w:sz w:val="22"/>
          <w:szCs w:val="22"/>
        </w:rPr>
        <w:t xml:space="preserve"> analýzu príčin vzniknutej situácie </w:t>
      </w:r>
      <w:r w:rsidRPr="009E24D2">
        <w:rPr>
          <w:color w:val="000000"/>
          <w:sz w:val="22"/>
          <w:szCs w:val="22"/>
        </w:rPr>
        <w:sym w:font="Symbol" w:char="F0B7"/>
      </w:r>
      <w:r w:rsidRPr="009E24D2">
        <w:rPr>
          <w:color w:val="000000"/>
          <w:sz w:val="22"/>
          <w:szCs w:val="22"/>
        </w:rPr>
        <w:t xml:space="preserve"> príčinné súvislosti so vzniknutou situáciou </w:t>
      </w:r>
      <w:r w:rsidRPr="009E24D2">
        <w:rPr>
          <w:color w:val="000000"/>
          <w:sz w:val="22"/>
          <w:szCs w:val="22"/>
        </w:rPr>
        <w:sym w:font="Symbol" w:char="F0B7"/>
      </w:r>
      <w:r w:rsidRPr="009E24D2">
        <w:rPr>
          <w:color w:val="000000"/>
          <w:sz w:val="22"/>
          <w:szCs w:val="22"/>
        </w:rPr>
        <w:t xml:space="preserve"> následky vzniknutej situácie a potrebu zmeny zmluvy </w:t>
      </w:r>
      <w:r w:rsidRPr="009E24D2">
        <w:rPr>
          <w:color w:val="000000"/>
          <w:sz w:val="22"/>
          <w:szCs w:val="22"/>
        </w:rPr>
        <w:sym w:font="Symbol" w:char="F0B7"/>
      </w:r>
      <w:r w:rsidRPr="009E24D2">
        <w:rPr>
          <w:color w:val="000000"/>
          <w:sz w:val="22"/>
          <w:szCs w:val="22"/>
        </w:rPr>
        <w:t xml:space="preserve"> vyhodnotenie skutočnosti, či zhotoviteľ vynaložil náležitú starostlivosť, resp., že bol obozretný </w:t>
      </w:r>
      <w:r w:rsidRPr="009E24D2">
        <w:rPr>
          <w:color w:val="000000"/>
          <w:sz w:val="22"/>
          <w:szCs w:val="22"/>
        </w:rPr>
        <w:sym w:font="Symbol" w:char="F0B7"/>
      </w:r>
      <w:r w:rsidRPr="009E24D2">
        <w:rPr>
          <w:color w:val="000000"/>
          <w:sz w:val="22"/>
          <w:szCs w:val="22"/>
        </w:rPr>
        <w:t xml:space="preserve"> posúdenie nevyhnutnosti na odstránenie následkov. Uzatvorenie dodatku nie je povinnosťou objednávateľa a bude sa dôkladne posudzovať.</w:t>
      </w:r>
    </w:p>
    <w:p w14:paraId="6EC08415" w14:textId="77777777" w:rsidR="00F45AA9" w:rsidRPr="009E24D2" w:rsidRDefault="00F45AA9" w:rsidP="00F45AA9">
      <w:pPr>
        <w:widowControl w:val="0"/>
        <w:autoSpaceDE w:val="0"/>
        <w:autoSpaceDN w:val="0"/>
        <w:adjustRightInd w:val="0"/>
        <w:ind w:left="993"/>
        <w:jc w:val="both"/>
        <w:rPr>
          <w:sz w:val="22"/>
          <w:szCs w:val="22"/>
        </w:rPr>
      </w:pPr>
    </w:p>
    <w:p w14:paraId="6A9810D6" w14:textId="77777777" w:rsidR="00F45AA9" w:rsidRPr="009E24D2" w:rsidRDefault="00F45AA9" w:rsidP="00F45AA9">
      <w:pPr>
        <w:rPr>
          <w:b/>
          <w:color w:val="000000"/>
          <w:sz w:val="22"/>
          <w:szCs w:val="22"/>
        </w:rPr>
      </w:pPr>
    </w:p>
    <w:p w14:paraId="66CAE1A5" w14:textId="77777777" w:rsidR="00F45AA9" w:rsidRPr="009E24D2" w:rsidRDefault="00F45AA9" w:rsidP="00F45AA9">
      <w:pPr>
        <w:ind w:left="240"/>
        <w:jc w:val="center"/>
        <w:rPr>
          <w:b/>
          <w:color w:val="000000"/>
          <w:sz w:val="22"/>
          <w:szCs w:val="22"/>
        </w:rPr>
      </w:pPr>
      <w:r w:rsidRPr="009E24D2">
        <w:rPr>
          <w:b/>
          <w:color w:val="000000"/>
          <w:sz w:val="22"/>
          <w:szCs w:val="22"/>
        </w:rPr>
        <w:t>Článok 6</w:t>
      </w:r>
    </w:p>
    <w:p w14:paraId="103F531B" w14:textId="77777777" w:rsidR="00F45AA9" w:rsidRPr="009E24D2" w:rsidRDefault="00F45AA9" w:rsidP="00F45AA9">
      <w:pPr>
        <w:jc w:val="center"/>
        <w:rPr>
          <w:b/>
          <w:color w:val="000000"/>
          <w:sz w:val="22"/>
          <w:szCs w:val="22"/>
        </w:rPr>
      </w:pPr>
      <w:r w:rsidRPr="009E24D2">
        <w:rPr>
          <w:b/>
          <w:color w:val="000000"/>
          <w:sz w:val="22"/>
          <w:szCs w:val="22"/>
        </w:rPr>
        <w:t>Platobné podmienky</w:t>
      </w:r>
    </w:p>
    <w:p w14:paraId="6863F651" w14:textId="77777777" w:rsidR="00F45AA9" w:rsidRPr="009E24D2" w:rsidRDefault="00F45AA9" w:rsidP="00F45AA9">
      <w:pPr>
        <w:jc w:val="both"/>
        <w:rPr>
          <w:b/>
          <w:color w:val="000000"/>
          <w:sz w:val="22"/>
          <w:szCs w:val="22"/>
        </w:rPr>
      </w:pPr>
    </w:p>
    <w:p w14:paraId="5DED7484" w14:textId="77777777" w:rsidR="00F45AA9" w:rsidRPr="009E24D2"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9E24D2">
        <w:rPr>
          <w:rFonts w:eastAsia="Batang"/>
          <w:sz w:val="22"/>
          <w:szCs w:val="22"/>
          <w:lang w:bidi="he-IL"/>
        </w:rPr>
        <w:t>Všetky platby sa budú uskutočňovať bezhotovostne.</w:t>
      </w:r>
    </w:p>
    <w:p w14:paraId="08720E24" w14:textId="7E713567" w:rsidR="006400CF" w:rsidRPr="009E24D2" w:rsidRDefault="006400CF" w:rsidP="001A6413">
      <w:pPr>
        <w:numPr>
          <w:ilvl w:val="0"/>
          <w:numId w:val="43"/>
        </w:numPr>
        <w:tabs>
          <w:tab w:val="clear" w:pos="360"/>
          <w:tab w:val="num" w:pos="601"/>
          <w:tab w:val="num" w:pos="3479"/>
        </w:tabs>
        <w:autoSpaceDN w:val="0"/>
        <w:ind w:left="595" w:hanging="357"/>
        <w:jc w:val="both"/>
        <w:rPr>
          <w:rFonts w:eastAsia="Arial Narrow"/>
          <w:sz w:val="22"/>
          <w:szCs w:val="22"/>
        </w:rPr>
      </w:pPr>
      <w:bookmarkStart w:id="5" w:name="_Hlk105751369"/>
      <w:r w:rsidRPr="009E24D2">
        <w:rPr>
          <w:sz w:val="22"/>
          <w:szCs w:val="22"/>
        </w:rPr>
        <w:t>Zmluvné strany sa dohodli, že cena diela bude fakturovaná  po odovzdaní a prevzatí diela v jednotlivých častiach, a to bez akýchkoľvek vád a nedorobkov, a to na základe objednávateľom podpísaného protokolu o odovzdaní a prevzatí diela</w:t>
      </w:r>
      <w:r w:rsidR="00251ACF" w:rsidRPr="009E24D2">
        <w:rPr>
          <w:sz w:val="22"/>
          <w:szCs w:val="22"/>
        </w:rPr>
        <w:t xml:space="preserve">. Zhotoviteľ môže vystaviť max. 4 </w:t>
      </w:r>
      <w:proofErr w:type="spellStart"/>
      <w:r w:rsidR="00251ACF" w:rsidRPr="009E24D2">
        <w:rPr>
          <w:sz w:val="22"/>
          <w:szCs w:val="22"/>
        </w:rPr>
        <w:t>čiatkové</w:t>
      </w:r>
      <w:proofErr w:type="spellEnd"/>
      <w:r w:rsidR="00251ACF" w:rsidRPr="009E24D2">
        <w:rPr>
          <w:sz w:val="22"/>
          <w:szCs w:val="22"/>
        </w:rPr>
        <w:t xml:space="preserve"> faktúry. </w:t>
      </w:r>
    </w:p>
    <w:bookmarkEnd w:id="5"/>
    <w:p w14:paraId="5B9EB869" w14:textId="77777777" w:rsidR="00F45AA9" w:rsidRPr="00B82CA3"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9E24D2">
        <w:rPr>
          <w:rFonts w:eastAsia="Batang"/>
          <w:sz w:val="22"/>
          <w:szCs w:val="22"/>
          <w:lang w:bidi="he-IL"/>
        </w:rPr>
        <w:t>Faktúra bude obsahovať všetky náležitosti daňového dokladu v súlade s § 71 zákona č. 222/2004 Z. z. o dani z pridanej hodnoty</w:t>
      </w:r>
      <w:r w:rsidRPr="00B82CA3">
        <w:rPr>
          <w:rFonts w:eastAsia="Batang"/>
          <w:sz w:val="22"/>
          <w:szCs w:val="22"/>
          <w:lang w:bidi="he-IL"/>
        </w:rPr>
        <w:t xml:space="preserve">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83709E">
      <w:pPr>
        <w:numPr>
          <w:ilvl w:val="0"/>
          <w:numId w:val="71"/>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83709E">
      <w:pPr>
        <w:numPr>
          <w:ilvl w:val="0"/>
          <w:numId w:val="61"/>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83709E">
      <w:pPr>
        <w:numPr>
          <w:ilvl w:val="0"/>
          <w:numId w:val="61"/>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83709E">
      <w:pPr>
        <w:numPr>
          <w:ilvl w:val="0"/>
          <w:numId w:val="61"/>
        </w:numPr>
        <w:ind w:left="1276" w:hanging="425"/>
        <w:jc w:val="both"/>
        <w:rPr>
          <w:sz w:val="22"/>
          <w:szCs w:val="22"/>
        </w:rPr>
      </w:pPr>
      <w:r w:rsidRPr="00B82CA3">
        <w:rPr>
          <w:sz w:val="22"/>
          <w:szCs w:val="22"/>
        </w:rPr>
        <w:t>označenie diela</w:t>
      </w:r>
    </w:p>
    <w:p w14:paraId="0E641863" w14:textId="77777777" w:rsidR="00F45AA9" w:rsidRPr="00B82CA3" w:rsidRDefault="00F45AA9" w:rsidP="0083709E">
      <w:pPr>
        <w:numPr>
          <w:ilvl w:val="0"/>
          <w:numId w:val="61"/>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83709E">
      <w:pPr>
        <w:numPr>
          <w:ilvl w:val="0"/>
          <w:numId w:val="61"/>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83709E">
      <w:pPr>
        <w:numPr>
          <w:ilvl w:val="0"/>
          <w:numId w:val="61"/>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83709E">
      <w:pPr>
        <w:numPr>
          <w:ilvl w:val="0"/>
          <w:numId w:val="61"/>
        </w:numPr>
        <w:ind w:left="1276" w:hanging="425"/>
        <w:jc w:val="both"/>
        <w:rPr>
          <w:sz w:val="22"/>
          <w:szCs w:val="22"/>
        </w:rPr>
      </w:pPr>
      <w:r w:rsidRPr="00B82CA3">
        <w:rPr>
          <w:sz w:val="22"/>
          <w:szCs w:val="22"/>
        </w:rPr>
        <w:t>podpis oprávnenej osoby (prípadne pečiatku v zmysle podnikateľského oprávnenia)</w:t>
      </w:r>
    </w:p>
    <w:p w14:paraId="236DFD0F" w14:textId="0318231C" w:rsidR="00F45AA9" w:rsidRPr="00B82CA3" w:rsidRDefault="00F45AA9" w:rsidP="0083709E">
      <w:pPr>
        <w:numPr>
          <w:ilvl w:val="0"/>
          <w:numId w:val="61"/>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xml:space="preserve">: </w:t>
      </w:r>
      <w:r w:rsidR="005606D3" w:rsidRPr="005606D3">
        <w:rPr>
          <w:sz w:val="22"/>
          <w:szCs w:val="22"/>
        </w:rPr>
        <w:t>Regionálna cyklotrasa Hubová – Švošov – Komjatná</w:t>
      </w:r>
      <w:r w:rsidR="007D0699" w:rsidRPr="007D0699">
        <w:rPr>
          <w:sz w:val="22"/>
          <w:szCs w:val="22"/>
        </w:rPr>
        <w:t>,</w:t>
      </w:r>
      <w:r w:rsidR="007D0699">
        <w:rPr>
          <w:sz w:val="22"/>
          <w:szCs w:val="22"/>
        </w:rPr>
        <w:t xml:space="preserve"> </w:t>
      </w:r>
      <w:r w:rsidRPr="00B82CA3">
        <w:rPr>
          <w:sz w:val="22"/>
          <w:szCs w:val="22"/>
        </w:rPr>
        <w:t xml:space="preserve">názov OP: </w:t>
      </w:r>
      <w:r w:rsidR="005606D3" w:rsidRPr="005606D3">
        <w:rPr>
          <w:sz w:val="22"/>
          <w:szCs w:val="22"/>
        </w:rPr>
        <w:t>RO_OPIROP_MIRRI - Riadiaci orgán OP Integrovaný ROP (MIRRI)</w:t>
      </w:r>
      <w:r w:rsidRPr="00B82CA3">
        <w:rPr>
          <w:sz w:val="22"/>
          <w:szCs w:val="22"/>
        </w:rPr>
        <w:t>, ITMS kód:</w:t>
      </w:r>
      <w:r w:rsidR="004C5BBD" w:rsidRPr="004C5BBD">
        <w:t xml:space="preserve"> </w:t>
      </w:r>
      <w:r w:rsidR="004C5BBD" w:rsidRPr="004C5BBD">
        <w:rPr>
          <w:sz w:val="22"/>
          <w:szCs w:val="22"/>
        </w:rPr>
        <w:t>302071BNH9</w:t>
      </w:r>
      <w:r w:rsidR="005606D3">
        <w:rPr>
          <w:sz w:val="22"/>
          <w:szCs w:val="22"/>
        </w:rPr>
        <w:t xml:space="preserve">, </w:t>
      </w:r>
      <w:r w:rsidRPr="00B82CA3">
        <w:rPr>
          <w:sz w:val="22"/>
          <w:szCs w:val="22"/>
        </w:rPr>
        <w:t>certifikáty o zhode, atesty o použitých materiáloch a pod.</w:t>
      </w:r>
    </w:p>
    <w:p w14:paraId="4D91EA29"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sz w:val="22"/>
          <w:szCs w:val="22"/>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w:t>
      </w:r>
      <w:r w:rsidRPr="00B82CA3">
        <w:rPr>
          <w:sz w:val="22"/>
          <w:szCs w:val="22"/>
        </w:rPr>
        <w:lastRenderedPageBreak/>
        <w:t>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83709E">
      <w:pPr>
        <w:numPr>
          <w:ilvl w:val="0"/>
          <w:numId w:val="62"/>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w:t>
      </w:r>
      <w:r w:rsidRPr="00B82CA3">
        <w:rPr>
          <w:color w:val="000000"/>
          <w:sz w:val="22"/>
          <w:szCs w:val="22"/>
        </w:rPr>
        <w:lastRenderedPageBreak/>
        <w:t>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8"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w:t>
      </w:r>
      <w:r w:rsidRPr="00B82CA3">
        <w:rPr>
          <w:color w:val="000000"/>
          <w:sz w:val="22"/>
          <w:szCs w:val="22"/>
        </w:rPr>
        <w:lastRenderedPageBreak/>
        <w:t>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vykoná dielo v rozsahu, kvalite a termínoch podľa tejto zmluvy o dielo.</w:t>
      </w:r>
    </w:p>
    <w:p w14:paraId="31A96308"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83709E">
      <w:pPr>
        <w:numPr>
          <w:ilvl w:val="0"/>
          <w:numId w:val="45"/>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lastRenderedPageBreak/>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4904A413" w14:textId="77777777" w:rsidR="004C5BBD" w:rsidRDefault="00F45AA9" w:rsidP="004C5BBD">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814B25A" w14:textId="77777777" w:rsidR="0020314C" w:rsidRDefault="00F45AA9" w:rsidP="0020314C">
      <w:pPr>
        <w:numPr>
          <w:ilvl w:val="0"/>
          <w:numId w:val="44"/>
        </w:numPr>
        <w:tabs>
          <w:tab w:val="num" w:pos="601"/>
        </w:tabs>
        <w:suppressAutoHyphens/>
        <w:ind w:left="595" w:hanging="357"/>
        <w:jc w:val="both"/>
        <w:rPr>
          <w:color w:val="000000"/>
          <w:sz w:val="22"/>
          <w:szCs w:val="22"/>
        </w:rPr>
      </w:pPr>
      <w:r w:rsidRPr="004C5BB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4C5BBD">
        <w:rPr>
          <w:color w:val="000000"/>
          <w:sz w:val="22"/>
          <w:szCs w:val="22"/>
        </w:rPr>
        <w:t>suť</w:t>
      </w:r>
      <w:proofErr w:type="spellEnd"/>
      <w:r w:rsidRPr="004C5BBD">
        <w:rPr>
          <w:color w:val="000000"/>
          <w:sz w:val="22"/>
          <w:szCs w:val="22"/>
        </w:rPr>
        <w:t>, vzniknutý jeho činnosťou a bude ho likvidovať a ukladať len na miestach k tomu určených v zmysle zákona č. 79/2015 Z. z. o odpadoch a o zmene a doplnení niektorých zákonov.</w:t>
      </w:r>
      <w:r w:rsidR="0043223C" w:rsidRPr="004C5BBD">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r w:rsidR="004C5BBD" w:rsidRPr="004C5BBD">
        <w:rPr>
          <w:color w:val="000000"/>
          <w:sz w:val="22"/>
          <w:szCs w:val="22"/>
        </w:rPr>
        <w:t xml:space="preserve"> </w:t>
      </w:r>
      <w:r w:rsidRPr="004C5BBD">
        <w:rPr>
          <w:color w:val="000000"/>
          <w:sz w:val="22"/>
          <w:szCs w:val="22"/>
        </w:rPr>
        <w:t>Doklady o odvoze a likvidácií stavebného odpadu odovzdá objednávateľovi pri preberacom konaní.</w:t>
      </w:r>
      <w:r w:rsidR="004C5BBD" w:rsidRPr="004C5BBD">
        <w:rPr>
          <w:color w:val="000000"/>
          <w:sz w:val="22"/>
          <w:szCs w:val="22"/>
        </w:rPr>
        <w:t xml:space="preserve"> </w:t>
      </w:r>
      <w:r w:rsidR="004C5BBD" w:rsidRPr="004C5BBD">
        <w:rPr>
          <w:b/>
          <w:bCs/>
          <w:color w:val="000000"/>
          <w:sz w:val="22"/>
          <w:szCs w:val="22"/>
        </w:rPr>
        <w:t>Zároveň platí, zhotoviteľ nebude likvidovať šrot z oceľovej konštrukcie lávky, len vybúra oceľovú konštrukciu a premiestni na vzdialenosť podľa rozpočtu. Likvidáciu zabezpečuje objednávateľ.</w:t>
      </w:r>
      <w:bookmarkStart w:id="6" w:name="_Hlk120084832"/>
      <w:r w:rsidR="004C5BBD" w:rsidRPr="004C5BBD">
        <w:rPr>
          <w:rFonts w:eastAsia="Arial Narrow"/>
          <w:b/>
          <w:sz w:val="22"/>
          <w:szCs w:val="22"/>
        </w:rPr>
        <w:t xml:space="preserve"> Pri položke rozobratie dočasnej betónovej komunikácie z cestných panelov, </w:t>
      </w:r>
      <w:r w:rsidR="004C5BBD">
        <w:rPr>
          <w:rFonts w:eastAsia="Arial Narrow"/>
          <w:b/>
          <w:sz w:val="22"/>
          <w:szCs w:val="22"/>
        </w:rPr>
        <w:t>zhotoviteľ</w:t>
      </w:r>
      <w:r w:rsidR="004C5BBD" w:rsidRPr="004C5BBD">
        <w:rPr>
          <w:rFonts w:eastAsia="Arial Narrow"/>
          <w:b/>
          <w:sz w:val="22"/>
          <w:szCs w:val="22"/>
        </w:rPr>
        <w:t xml:space="preserve"> </w:t>
      </w:r>
      <w:r w:rsidR="004C5BBD">
        <w:rPr>
          <w:rFonts w:eastAsia="Arial Narrow"/>
          <w:b/>
          <w:sz w:val="22"/>
          <w:szCs w:val="22"/>
        </w:rPr>
        <w:t xml:space="preserve">nelikviduje </w:t>
      </w:r>
      <w:proofErr w:type="spellStart"/>
      <w:r w:rsidR="004C5BBD" w:rsidRPr="004C5BBD">
        <w:rPr>
          <w:rFonts w:eastAsia="Arial Narrow"/>
          <w:b/>
          <w:sz w:val="22"/>
          <w:szCs w:val="22"/>
        </w:rPr>
        <w:t>betonov</w:t>
      </w:r>
      <w:r w:rsidR="004C5BBD">
        <w:rPr>
          <w:rFonts w:eastAsia="Arial Narrow"/>
          <w:b/>
          <w:sz w:val="22"/>
          <w:szCs w:val="22"/>
        </w:rPr>
        <w:t>é</w:t>
      </w:r>
      <w:proofErr w:type="spellEnd"/>
      <w:r w:rsidR="004C5BBD" w:rsidRPr="004C5BBD">
        <w:rPr>
          <w:rFonts w:eastAsia="Arial Narrow"/>
          <w:b/>
          <w:sz w:val="22"/>
          <w:szCs w:val="22"/>
        </w:rPr>
        <w:t xml:space="preserve"> panel</w:t>
      </w:r>
      <w:r w:rsidR="004C5BBD">
        <w:rPr>
          <w:rFonts w:eastAsia="Arial Narrow"/>
          <w:b/>
          <w:sz w:val="22"/>
          <w:szCs w:val="22"/>
        </w:rPr>
        <w:t>y</w:t>
      </w:r>
      <w:r w:rsidR="004C5BBD" w:rsidRPr="004C5BBD">
        <w:rPr>
          <w:rFonts w:eastAsia="Arial Narrow"/>
          <w:b/>
          <w:sz w:val="22"/>
          <w:szCs w:val="22"/>
        </w:rPr>
        <w:t>. Po rozobratí ich sústredí v mieste zariadenia staveniska.</w:t>
      </w:r>
      <w:bookmarkEnd w:id="6"/>
    </w:p>
    <w:p w14:paraId="7096A73C" w14:textId="566AA8B1" w:rsidR="00F45AA9" w:rsidRPr="0020314C" w:rsidRDefault="00F45AA9" w:rsidP="0020314C">
      <w:pPr>
        <w:numPr>
          <w:ilvl w:val="0"/>
          <w:numId w:val="44"/>
        </w:numPr>
        <w:tabs>
          <w:tab w:val="num" w:pos="601"/>
        </w:tabs>
        <w:suppressAutoHyphens/>
        <w:ind w:left="595" w:hanging="357"/>
        <w:jc w:val="both"/>
        <w:rPr>
          <w:color w:val="000000"/>
          <w:sz w:val="22"/>
          <w:szCs w:val="22"/>
        </w:rPr>
      </w:pPr>
      <w:r w:rsidRPr="0020314C">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dodržiavať bezpečnostné, hygienické, požiarne predpisy a predpisy pre ochranu životného prostredia</w:t>
      </w:r>
    </w:p>
    <w:p w14:paraId="58A30251"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w:t>
      </w:r>
      <w:r w:rsidRPr="00B82CA3">
        <w:rPr>
          <w:color w:val="000000"/>
          <w:sz w:val="22"/>
          <w:szCs w:val="22"/>
        </w:rPr>
        <w:lastRenderedPageBreak/>
        <w:t>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0014A1AA"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r w:rsidR="007F4D0B" w:rsidRPr="007F4D0B">
        <w:rPr>
          <w:b/>
          <w:bCs/>
          <w:color w:val="000000"/>
          <w:sz w:val="22"/>
          <w:szCs w:val="22"/>
        </w:rPr>
        <w:t xml:space="preserve"> </w:t>
      </w:r>
      <w:r w:rsidR="007F4D0B">
        <w:rPr>
          <w:b/>
          <w:bCs/>
          <w:color w:val="000000"/>
          <w:sz w:val="22"/>
          <w:szCs w:val="22"/>
        </w:rPr>
        <w:t xml:space="preserve">a </w:t>
      </w:r>
      <w:r w:rsidR="007F4D0B" w:rsidRPr="002A0C0D">
        <w:rPr>
          <w:b/>
          <w:bCs/>
          <w:color w:val="000000"/>
          <w:sz w:val="22"/>
          <w:szCs w:val="22"/>
        </w:rPr>
        <w:t>uzavrie dodatok k tejto zmluve</w:t>
      </w:r>
      <w:r w:rsidR="007F4D0B">
        <w:rPr>
          <w:b/>
          <w:bCs/>
          <w:color w:val="000000"/>
          <w:sz w:val="22"/>
          <w:szCs w:val="22"/>
        </w:rPr>
        <w:t>,</w:t>
      </w:r>
      <w:r w:rsidR="007F4D0B" w:rsidRPr="002A0C0D">
        <w:rPr>
          <w:b/>
          <w:bCs/>
          <w:color w:val="000000"/>
          <w:sz w:val="22"/>
          <w:szCs w:val="22"/>
        </w:rPr>
        <w:t xml:space="preserve"> pokiaľ dôjde k zmene osoby uvedenej v článku č. 9 bod 1 h)</w:t>
      </w:r>
      <w:r w:rsidR="002F04A1">
        <w:rPr>
          <w:b/>
          <w:bCs/>
          <w:color w:val="000000"/>
          <w:sz w:val="22"/>
          <w:szCs w:val="22"/>
        </w:rPr>
        <w:t>.</w:t>
      </w:r>
    </w:p>
    <w:p w14:paraId="2120C4D4" w14:textId="77777777" w:rsidR="007F4D0B" w:rsidRDefault="00F45AA9" w:rsidP="007F4D0B">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r w:rsidR="007F4D0B">
        <w:rPr>
          <w:color w:val="000000"/>
          <w:sz w:val="22"/>
          <w:szCs w:val="22"/>
        </w:rPr>
        <w:t>,</w:t>
      </w:r>
    </w:p>
    <w:p w14:paraId="6834DD97"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83709E">
      <w:pPr>
        <w:numPr>
          <w:ilvl w:val="0"/>
          <w:numId w:val="46"/>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lastRenderedPageBreak/>
        <w:t>Technický dozor je oprávnený dať pokyny, ktoré sú potrebné na vykonanie prác podľa zmluvy  do stavebného denníka.</w:t>
      </w:r>
    </w:p>
    <w:p w14:paraId="1FE5A5F3"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Default="00F45AA9" w:rsidP="0083709E">
      <w:pPr>
        <w:numPr>
          <w:ilvl w:val="0"/>
          <w:numId w:val="65"/>
        </w:numPr>
        <w:tabs>
          <w:tab w:val="clear" w:pos="720"/>
        </w:tabs>
        <w:suppressAutoHyphens/>
        <w:ind w:left="1276"/>
        <w:jc w:val="both"/>
        <w:rPr>
          <w:color w:val="000000"/>
          <w:sz w:val="22"/>
          <w:szCs w:val="22"/>
        </w:rPr>
      </w:pPr>
      <w:r w:rsidRPr="005267DF">
        <w:rPr>
          <w:sz w:val="22"/>
          <w:szCs w:val="22"/>
        </w:rPr>
        <w:t>Technický dozor nie je oprávnený</w:t>
      </w:r>
      <w:r w:rsidRPr="005267DF">
        <w:rPr>
          <w:color w:val="000000"/>
          <w:sz w:val="22"/>
          <w:szCs w:val="22"/>
        </w:rPr>
        <w:t xml:space="preserve"> zasahovať do hospodárskej činnosti zhotoviteľa.</w:t>
      </w:r>
    </w:p>
    <w:p w14:paraId="7C45BC0B" w14:textId="05071DEE" w:rsidR="00F45AA9" w:rsidRPr="005267DF" w:rsidRDefault="00F45AA9" w:rsidP="0083709E">
      <w:pPr>
        <w:numPr>
          <w:ilvl w:val="0"/>
          <w:numId w:val="65"/>
        </w:numPr>
        <w:tabs>
          <w:tab w:val="clear" w:pos="720"/>
        </w:tabs>
        <w:suppressAutoHyphens/>
        <w:ind w:left="1276"/>
        <w:jc w:val="both"/>
        <w:rPr>
          <w:color w:val="000000"/>
          <w:sz w:val="22"/>
          <w:szCs w:val="22"/>
        </w:rPr>
      </w:pPr>
      <w:r w:rsidRPr="005267DF">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83709E">
      <w:pPr>
        <w:numPr>
          <w:ilvl w:val="0"/>
          <w:numId w:val="65"/>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83709E">
      <w:pPr>
        <w:numPr>
          <w:ilvl w:val="2"/>
          <w:numId w:val="70"/>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dodávaného materiálu pri vstupe na stavenisko</w:t>
      </w:r>
    </w:p>
    <w:p w14:paraId="211BDDBE"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lastRenderedPageBreak/>
        <w:t>Poskytovateľ pomoci a nim poverené osoby,</w:t>
      </w:r>
    </w:p>
    <w:p w14:paraId="19A00DF6"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70DD83DD" w:rsidR="00F45AA9" w:rsidRDefault="00F45AA9" w:rsidP="00F45AA9">
      <w:pPr>
        <w:suppressAutoHyphens/>
        <w:jc w:val="center"/>
        <w:rPr>
          <w:b/>
          <w:color w:val="000000"/>
          <w:sz w:val="22"/>
          <w:szCs w:val="22"/>
        </w:rPr>
      </w:pPr>
      <w:r w:rsidRPr="00B82CA3">
        <w:rPr>
          <w:b/>
          <w:color w:val="000000"/>
          <w:sz w:val="22"/>
          <w:szCs w:val="22"/>
        </w:rPr>
        <w:t>Stavebný denník</w:t>
      </w:r>
    </w:p>
    <w:p w14:paraId="7D18B064" w14:textId="77777777" w:rsidR="002B772E" w:rsidRPr="00B82CA3" w:rsidRDefault="002B772E" w:rsidP="00F45AA9">
      <w:pPr>
        <w:suppressAutoHyphens/>
        <w:jc w:val="center"/>
        <w:rPr>
          <w:b/>
          <w:color w:val="000000"/>
          <w:sz w:val="22"/>
          <w:szCs w:val="22"/>
        </w:rPr>
      </w:pPr>
    </w:p>
    <w:p w14:paraId="048F296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83709E">
      <w:pPr>
        <w:numPr>
          <w:ilvl w:val="0"/>
          <w:numId w:val="47"/>
        </w:numPr>
        <w:suppressAutoHyphens/>
        <w:ind w:left="595" w:hanging="357"/>
        <w:jc w:val="both"/>
        <w:rPr>
          <w:sz w:val="22"/>
          <w:szCs w:val="22"/>
        </w:rPr>
      </w:pPr>
      <w:r w:rsidRPr="00B82CA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 xml:space="preserve">Ak je na stavbe technický dozor objednávateľa, je stavbyvedúci povinný predložiť mu denný záznam najneskôr v nasledujúci pracovný deň a odovzdať mu prvý priepis. V prípade, že je na stavbe občasný </w:t>
      </w:r>
      <w:r w:rsidRPr="00B82CA3">
        <w:rPr>
          <w:sz w:val="22"/>
          <w:szCs w:val="22"/>
        </w:rPr>
        <w:lastRenderedPageBreak/>
        <w:t>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83709E">
      <w:pPr>
        <w:numPr>
          <w:ilvl w:val="0"/>
          <w:numId w:val="50"/>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54D66C7C" w:rsidR="00F45AA9" w:rsidRDefault="00F45AA9" w:rsidP="0083709E">
      <w:pPr>
        <w:numPr>
          <w:ilvl w:val="0"/>
          <w:numId w:val="50"/>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410CB740" w14:textId="7DB5B3DB" w:rsidR="0020314C" w:rsidRPr="00D05D2D" w:rsidRDefault="0020314C" w:rsidP="00D05D2D">
      <w:pPr>
        <w:pStyle w:val="Odsekzoznamu"/>
        <w:numPr>
          <w:ilvl w:val="0"/>
          <w:numId w:val="50"/>
        </w:numPr>
        <w:jc w:val="both"/>
        <w:rPr>
          <w:color w:val="000000"/>
          <w:sz w:val="22"/>
          <w:szCs w:val="22"/>
        </w:rPr>
      </w:pPr>
      <w:r w:rsidRPr="00D05D2D">
        <w:rPr>
          <w:color w:val="000000"/>
          <w:sz w:val="22"/>
          <w:szCs w:val="22"/>
        </w:rPr>
        <w:t xml:space="preserve">Objednávateľ zabezpečí zbavenie práv tretích osôb a umožní prístup na stavenisko. Práva vstupov na pozemky zabezpečuje objednávateľ. Nie je predmetom zmluvy </w:t>
      </w:r>
      <w:proofErr w:type="spellStart"/>
      <w:r w:rsidRPr="00D05D2D">
        <w:rPr>
          <w:color w:val="000000"/>
          <w:sz w:val="22"/>
          <w:szCs w:val="22"/>
        </w:rPr>
        <w:t>majetko</w:t>
      </w:r>
      <w:proofErr w:type="spellEnd"/>
      <w:r w:rsidRPr="00D05D2D">
        <w:rPr>
          <w:color w:val="000000"/>
          <w:sz w:val="22"/>
          <w:szCs w:val="22"/>
        </w:rPr>
        <w:t>-právne vysporiadanie, ani nároky na dočasný a trvalý záber.</w:t>
      </w:r>
      <w:r w:rsidR="00D05D2D" w:rsidRPr="00D05D2D">
        <w:t xml:space="preserve"> </w:t>
      </w:r>
      <w:r w:rsidR="00D05D2D" w:rsidRPr="00D05D2D">
        <w:rPr>
          <w:color w:val="000000"/>
          <w:sz w:val="22"/>
          <w:szCs w:val="22"/>
        </w:rPr>
        <w:t xml:space="preserve">Povolenie na výruby vrátane odstránenia krovín a stromov zabezpečuje </w:t>
      </w:r>
      <w:r w:rsidR="00D05D2D">
        <w:rPr>
          <w:color w:val="000000"/>
          <w:sz w:val="22"/>
          <w:szCs w:val="22"/>
        </w:rPr>
        <w:t>objednávateľ</w:t>
      </w:r>
      <w:r w:rsidR="00D05D2D" w:rsidRPr="00D05D2D">
        <w:rPr>
          <w:color w:val="000000"/>
          <w:sz w:val="22"/>
          <w:szCs w:val="22"/>
        </w:rPr>
        <w:t xml:space="preserve">. Prekážky - oceľová konštrukcia </w:t>
      </w:r>
      <w:proofErr w:type="spellStart"/>
      <w:r w:rsidR="00D05D2D" w:rsidRPr="00D05D2D">
        <w:rPr>
          <w:color w:val="000000"/>
          <w:sz w:val="22"/>
          <w:szCs w:val="22"/>
        </w:rPr>
        <w:t>bilboardu</w:t>
      </w:r>
      <w:proofErr w:type="spellEnd"/>
      <w:r w:rsidR="00D05D2D" w:rsidRPr="00D05D2D">
        <w:rPr>
          <w:color w:val="000000"/>
          <w:sz w:val="22"/>
          <w:szCs w:val="22"/>
        </w:rPr>
        <w:t xml:space="preserve">, prístrešok pre bicykle a stĺp verejného osvetlenia, odstráni </w:t>
      </w:r>
      <w:r w:rsidR="00D05D2D">
        <w:rPr>
          <w:color w:val="000000"/>
          <w:sz w:val="22"/>
          <w:szCs w:val="22"/>
        </w:rPr>
        <w:t>objednávateľ</w:t>
      </w:r>
      <w:r w:rsidR="00D05D2D" w:rsidRPr="00D05D2D">
        <w:rPr>
          <w:color w:val="000000"/>
          <w:sz w:val="22"/>
          <w:szCs w:val="22"/>
        </w:rPr>
        <w:t xml:space="preserve"> pred začatím realizácie.</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83709E">
      <w:pPr>
        <w:numPr>
          <w:ilvl w:val="0"/>
          <w:numId w:val="51"/>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lastRenderedPageBreak/>
        <w:t>Ak objednávateľ odmietne predmet plnenia prevziať, spíše objednávateľ a zhotoviteľ zápisnicu, v ktorej uvedú svoje stanoviská a ich odôvodnenie.</w:t>
      </w:r>
    </w:p>
    <w:p w14:paraId="56A55F5B"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83709E">
      <w:pPr>
        <w:numPr>
          <w:ilvl w:val="0"/>
          <w:numId w:val="66"/>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lastRenderedPageBreak/>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83709E">
      <w:pPr>
        <w:numPr>
          <w:ilvl w:val="0"/>
          <w:numId w:val="54"/>
        </w:numPr>
        <w:suppressAutoHyphens/>
        <w:jc w:val="both"/>
        <w:rPr>
          <w:color w:val="000000"/>
          <w:sz w:val="22"/>
          <w:szCs w:val="22"/>
        </w:rPr>
      </w:pPr>
      <w:r w:rsidRPr="009E24D2">
        <w:rPr>
          <w:color w:val="000000"/>
          <w:sz w:val="22"/>
          <w:szCs w:val="22"/>
        </w:rPr>
        <w:t>Záručná doba je 60 mesiacov a</w:t>
      </w:r>
      <w:r w:rsidRPr="00B82CA3">
        <w:rPr>
          <w:color w:val="000000"/>
          <w:sz w:val="22"/>
          <w:szCs w:val="22"/>
        </w:rPr>
        <w:t xml:space="preserve">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2262A43" w:rsidR="00F45AA9" w:rsidRDefault="00F45AA9" w:rsidP="0083709E">
      <w:pPr>
        <w:numPr>
          <w:ilvl w:val="0"/>
          <w:numId w:val="54"/>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B82CA3" w:rsidRDefault="009D5A95" w:rsidP="009D5A95">
      <w:pPr>
        <w:suppressAutoHyphens/>
        <w:ind w:left="600"/>
        <w:jc w:val="both"/>
        <w:rPr>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lastRenderedPageBreak/>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3733D6F4" w:rsidR="00F45AA9" w:rsidRDefault="00F45AA9" w:rsidP="0083709E">
      <w:pPr>
        <w:numPr>
          <w:ilvl w:val="0"/>
          <w:numId w:val="55"/>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5ACA1466" w14:textId="77777777" w:rsidR="002B772E" w:rsidRPr="00B82CA3" w:rsidRDefault="002B772E" w:rsidP="002B772E">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83709E">
      <w:pPr>
        <w:numPr>
          <w:ilvl w:val="0"/>
          <w:numId w:val="56"/>
        </w:numPr>
        <w:suppressAutoHyphens/>
        <w:jc w:val="both"/>
        <w:rPr>
          <w:color w:val="000000"/>
          <w:sz w:val="22"/>
          <w:szCs w:val="22"/>
        </w:rPr>
      </w:pPr>
      <w:bookmarkStart w:id="7"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0327BE04"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40E6DDD5" w:rsidR="00F45AA9" w:rsidRDefault="00F45AA9" w:rsidP="0083709E">
      <w:pPr>
        <w:numPr>
          <w:ilvl w:val="0"/>
          <w:numId w:val="56"/>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3D90752" w14:textId="77777777" w:rsidR="000D08F0" w:rsidRPr="00B82CA3" w:rsidRDefault="000D08F0" w:rsidP="000D08F0">
      <w:pPr>
        <w:suppressAutoHyphens/>
        <w:ind w:left="600"/>
        <w:jc w:val="both"/>
        <w:rPr>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83709E">
      <w:pPr>
        <w:numPr>
          <w:ilvl w:val="0"/>
          <w:numId w:val="57"/>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83709E">
      <w:pPr>
        <w:numPr>
          <w:ilvl w:val="0"/>
          <w:numId w:val="57"/>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83709E">
      <w:pPr>
        <w:numPr>
          <w:ilvl w:val="0"/>
          <w:numId w:val="57"/>
        </w:numPr>
        <w:suppressAutoHyphens/>
        <w:jc w:val="both"/>
        <w:rPr>
          <w:color w:val="000000"/>
          <w:sz w:val="22"/>
          <w:szCs w:val="22"/>
        </w:rPr>
      </w:pPr>
      <w:r w:rsidRPr="00B82CA3">
        <w:rPr>
          <w:sz w:val="22"/>
          <w:szCs w:val="22"/>
        </w:rPr>
        <w:lastRenderedPageBreak/>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Uplatnené zmluvné pokuty sa nezapočítavajú na náhradu škody.</w:t>
      </w:r>
    </w:p>
    <w:p w14:paraId="603A6438" w14:textId="157D6B05" w:rsidR="00F45AA9" w:rsidRDefault="00F45AA9" w:rsidP="0083709E">
      <w:pPr>
        <w:numPr>
          <w:ilvl w:val="0"/>
          <w:numId w:val="57"/>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077F49C1" w14:textId="393D27A9" w:rsidR="002B772E" w:rsidRDefault="002B772E" w:rsidP="002B772E">
      <w:pPr>
        <w:suppressAutoHyphens/>
        <w:jc w:val="both"/>
        <w:rPr>
          <w:color w:val="000000"/>
          <w:sz w:val="22"/>
          <w:szCs w:val="22"/>
        </w:rPr>
      </w:pPr>
    </w:p>
    <w:p w14:paraId="7CA2C302" w14:textId="77777777" w:rsidR="002B772E" w:rsidRPr="00B82CA3" w:rsidRDefault="002B772E" w:rsidP="002B772E">
      <w:pPr>
        <w:suppressAutoHyphens/>
        <w:jc w:val="both"/>
        <w:rPr>
          <w:color w:val="000000"/>
          <w:sz w:val="22"/>
          <w:szCs w:val="22"/>
        </w:rPr>
      </w:pP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83709E">
      <w:pPr>
        <w:numPr>
          <w:ilvl w:val="0"/>
          <w:numId w:val="58"/>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lastRenderedPageBreak/>
        <w:t>najneskôr 20 kalendárnych dní po tom, čo bola písomnosť preukázateľne odoslaná adresátovi na adresu uvedenú v článku 1.</w:t>
      </w:r>
    </w:p>
    <w:p w14:paraId="587476C3" w14:textId="77777777" w:rsidR="00F45AA9" w:rsidRPr="00B82CA3" w:rsidRDefault="00F45AA9" w:rsidP="0083709E">
      <w:pPr>
        <w:numPr>
          <w:ilvl w:val="0"/>
          <w:numId w:val="58"/>
        </w:numPr>
        <w:suppressAutoHyphens/>
        <w:ind w:left="502"/>
        <w:jc w:val="both"/>
        <w:rPr>
          <w:color w:val="000000"/>
          <w:sz w:val="22"/>
          <w:szCs w:val="22"/>
        </w:rPr>
      </w:pPr>
      <w:r w:rsidRPr="00B82CA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2B405B1A" w:rsidR="00F45AA9" w:rsidRPr="009E24D2" w:rsidRDefault="00F45AA9" w:rsidP="0083709E">
      <w:pPr>
        <w:numPr>
          <w:ilvl w:val="3"/>
          <w:numId w:val="51"/>
        </w:numPr>
        <w:suppressAutoHyphens/>
        <w:ind w:left="567" w:hanging="283"/>
        <w:jc w:val="both"/>
        <w:rPr>
          <w:color w:val="000000"/>
          <w:sz w:val="22"/>
          <w:szCs w:val="22"/>
        </w:rPr>
      </w:pPr>
      <w:r w:rsidRPr="009E24D2">
        <w:rPr>
          <w:color w:val="000000"/>
          <w:sz w:val="22"/>
          <w:szCs w:val="22"/>
        </w:rPr>
        <w:t xml:space="preserve">Zhotoviteľ je povinný preukázať garanciu na splnenie zmluvných záväzkov (ďalej len „garancia“) </w:t>
      </w:r>
      <w:r w:rsidRPr="009E24D2">
        <w:rPr>
          <w:b/>
          <w:color w:val="000000"/>
          <w:sz w:val="22"/>
          <w:szCs w:val="22"/>
        </w:rPr>
        <w:t xml:space="preserve">vo výške </w:t>
      </w:r>
      <w:r w:rsidR="006400CF" w:rsidRPr="009E24D2">
        <w:rPr>
          <w:b/>
          <w:color w:val="000000"/>
          <w:sz w:val="22"/>
          <w:szCs w:val="22"/>
        </w:rPr>
        <w:t>10</w:t>
      </w:r>
      <w:r w:rsidRPr="009E24D2">
        <w:rPr>
          <w:b/>
          <w:color w:val="000000"/>
          <w:sz w:val="22"/>
          <w:szCs w:val="22"/>
        </w:rPr>
        <w:t>0 000 €</w:t>
      </w:r>
      <w:r w:rsidRPr="009E24D2">
        <w:rPr>
          <w:color w:val="000000"/>
          <w:sz w:val="22"/>
          <w:szCs w:val="22"/>
        </w:rPr>
        <w:t>, a to v lehote do</w:t>
      </w:r>
      <w:r w:rsidRPr="009E24D2">
        <w:rPr>
          <w:sz w:val="22"/>
          <w:szCs w:val="22"/>
        </w:rPr>
        <w:t xml:space="preserve"> 10 kalendárnych dní od prevzatia staveniska</w:t>
      </w:r>
      <w:r w:rsidRPr="009E24D2">
        <w:rPr>
          <w:color w:val="000000"/>
          <w:sz w:val="22"/>
          <w:szCs w:val="22"/>
        </w:rPr>
        <w:t>.</w:t>
      </w:r>
    </w:p>
    <w:p w14:paraId="1A769590" w14:textId="77777777" w:rsidR="00F45AA9" w:rsidRPr="009E24D2" w:rsidRDefault="00F45AA9" w:rsidP="0083709E">
      <w:pPr>
        <w:numPr>
          <w:ilvl w:val="3"/>
          <w:numId w:val="51"/>
        </w:numPr>
        <w:suppressAutoHyphens/>
        <w:ind w:left="567" w:hanging="283"/>
        <w:jc w:val="both"/>
        <w:rPr>
          <w:color w:val="000000"/>
          <w:sz w:val="22"/>
          <w:szCs w:val="22"/>
        </w:rPr>
      </w:pPr>
      <w:r w:rsidRPr="009E24D2">
        <w:rPr>
          <w:color w:val="000000"/>
          <w:sz w:val="22"/>
          <w:szCs w:val="22"/>
        </w:rPr>
        <w:t xml:space="preserve">Zhotoviteľ preukáže garanciu objednávateľovi: a) zložením finančných prostriedkov na účet objednávateľa; b) </w:t>
      </w:r>
      <w:r w:rsidRPr="009E24D2">
        <w:rPr>
          <w:sz w:val="22"/>
          <w:szCs w:val="22"/>
        </w:rPr>
        <w:t>predložením bankovej záruky vo forme overenej kópie alebo c) záruky poistenia vo forme overenej kópie</w:t>
      </w:r>
      <w:r w:rsidRPr="009E24D2">
        <w:rPr>
          <w:color w:val="000000"/>
          <w:sz w:val="22"/>
          <w:szCs w:val="22"/>
        </w:rPr>
        <w:t>.</w:t>
      </w:r>
    </w:p>
    <w:p w14:paraId="52546EC8" w14:textId="77777777" w:rsidR="00F45AA9" w:rsidRPr="00B82CA3" w:rsidRDefault="00F45AA9" w:rsidP="0083709E">
      <w:pPr>
        <w:numPr>
          <w:ilvl w:val="3"/>
          <w:numId w:val="51"/>
        </w:numPr>
        <w:suppressAutoHyphens/>
        <w:ind w:left="567" w:hanging="283"/>
        <w:jc w:val="both"/>
        <w:rPr>
          <w:color w:val="000000"/>
          <w:sz w:val="22"/>
          <w:szCs w:val="22"/>
        </w:rPr>
      </w:pPr>
      <w:r w:rsidRPr="009E24D2">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w:t>
      </w:r>
      <w:r w:rsidRPr="00B82CA3">
        <w:rPr>
          <w:color w:val="000000"/>
          <w:sz w:val="22"/>
          <w:szCs w:val="22"/>
        </w:rPr>
        <w:t xml:space="preserve"> obdrží kópiu Protokolu o vyhotovení diela bez vád a nedorobkov.</w:t>
      </w:r>
    </w:p>
    <w:p w14:paraId="0C2AD4B6"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5EBB755D" w:rsidR="00F45AA9" w:rsidRPr="00B82CA3" w:rsidRDefault="00F45AA9" w:rsidP="0083709E">
      <w:pPr>
        <w:numPr>
          <w:ilvl w:val="0"/>
          <w:numId w:val="59"/>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 </w:t>
      </w:r>
      <w:r w:rsidR="00A75101" w:rsidRPr="00A75101">
        <w:rPr>
          <w:rFonts w:eastAsia="Arial Narrow"/>
          <w:sz w:val="22"/>
          <w:szCs w:val="22"/>
        </w:rPr>
        <w:t xml:space="preserve">a) po schválení žiadosti o poskytnutie nenávratného finančného príspevku (ďalej len NFP); b) po schválení procesu verejného obstarávania poskytovateľom NFP; c) ku dňu nadobudnutia účinnosti Zmluvy o poskytnutí NFP, d) zverejnením zmluvy, a teda dňom nasledujúcim po dni jej zverejnenia v súlade s ustanovením § 47a ods. 1 zákona č. 40/1964 </w:t>
      </w:r>
      <w:proofErr w:type="spellStart"/>
      <w:r w:rsidR="00A75101" w:rsidRPr="00A75101">
        <w:rPr>
          <w:rFonts w:eastAsia="Arial Narrow"/>
          <w:sz w:val="22"/>
          <w:szCs w:val="22"/>
        </w:rPr>
        <w:t>Z.z</w:t>
      </w:r>
      <w:proofErr w:type="spellEnd"/>
      <w:r w:rsidR="00A75101" w:rsidRPr="00A75101">
        <w:rPr>
          <w:rFonts w:eastAsia="Arial Narrow"/>
          <w:sz w:val="22"/>
          <w:szCs w:val="22"/>
        </w:rPr>
        <w:t>. Občianskeho zákonníka, príp. na webovej stránke verejného obstarávateľa.</w:t>
      </w:r>
    </w:p>
    <w:p w14:paraId="6ECCEB4A" w14:textId="77777777" w:rsidR="00F45AA9" w:rsidRPr="00B82CA3" w:rsidRDefault="00F45AA9" w:rsidP="0083709E">
      <w:pPr>
        <w:numPr>
          <w:ilvl w:val="0"/>
          <w:numId w:val="59"/>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83709E">
      <w:pPr>
        <w:numPr>
          <w:ilvl w:val="0"/>
          <w:numId w:val="59"/>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3A4D55E4"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Zmluva je vyhotovená v </w:t>
      </w:r>
      <w:r w:rsidR="005606D3">
        <w:rPr>
          <w:color w:val="000000"/>
          <w:sz w:val="22"/>
          <w:szCs w:val="22"/>
        </w:rPr>
        <w:t>4</w:t>
      </w:r>
      <w:r w:rsidRPr="00B82CA3">
        <w:rPr>
          <w:color w:val="000000"/>
          <w:sz w:val="22"/>
          <w:szCs w:val="22"/>
        </w:rPr>
        <w:t xml:space="preserve"> - </w:t>
      </w:r>
      <w:r w:rsidR="005606D3">
        <w:rPr>
          <w:color w:val="000000"/>
          <w:sz w:val="22"/>
          <w:szCs w:val="22"/>
        </w:rPr>
        <w:t>o</w:t>
      </w:r>
      <w:r w:rsidRPr="00B82CA3">
        <w:rPr>
          <w:color w:val="000000"/>
          <w:sz w:val="22"/>
          <w:szCs w:val="22"/>
        </w:rPr>
        <w:t>ch rovnopisoch, z</w:t>
      </w:r>
      <w:r w:rsidR="005606D3">
        <w:rPr>
          <w:color w:val="000000"/>
          <w:sz w:val="22"/>
          <w:szCs w:val="22"/>
        </w:rPr>
        <w:t> </w:t>
      </w:r>
      <w:r w:rsidRPr="00B82CA3">
        <w:rPr>
          <w:color w:val="000000"/>
          <w:sz w:val="22"/>
          <w:szCs w:val="22"/>
        </w:rPr>
        <w:t>ktorých</w:t>
      </w:r>
      <w:r w:rsidR="005606D3">
        <w:rPr>
          <w:color w:val="000000"/>
          <w:sz w:val="22"/>
          <w:szCs w:val="22"/>
        </w:rPr>
        <w:t xml:space="preserve"> 2</w:t>
      </w:r>
      <w:r w:rsidRPr="00B82CA3">
        <w:rPr>
          <w:color w:val="000000"/>
          <w:sz w:val="22"/>
          <w:szCs w:val="22"/>
        </w:rPr>
        <w:t xml:space="preserve"> rovnopisy dostane objednávateľ a 2 rovnopisy zhotoviteľ.</w:t>
      </w:r>
    </w:p>
    <w:p w14:paraId="41F1A534"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60B338AF" w:rsidR="00F45AA9" w:rsidRDefault="00F45AA9" w:rsidP="0083709E">
      <w:pPr>
        <w:numPr>
          <w:ilvl w:val="0"/>
          <w:numId w:val="59"/>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56928530" w14:textId="4E0C66B1" w:rsidR="007F4D0B" w:rsidRPr="00B82CA3" w:rsidRDefault="007F4D0B" w:rsidP="0083709E">
      <w:pPr>
        <w:numPr>
          <w:ilvl w:val="0"/>
          <w:numId w:val="59"/>
        </w:numPr>
        <w:suppressAutoHyphens/>
        <w:jc w:val="both"/>
        <w:rPr>
          <w:color w:val="000000"/>
          <w:sz w:val="22"/>
          <w:szCs w:val="22"/>
        </w:rPr>
      </w:pPr>
      <w:r w:rsidRPr="002A0C0D">
        <w:rPr>
          <w:color w:val="000000"/>
          <w:sz w:val="22"/>
          <w:szCs w:val="22"/>
        </w:rPr>
        <w:t>Objednávateľ si vyhradzuje prá</w:t>
      </w:r>
      <w:r>
        <w:rPr>
          <w:color w:val="000000"/>
          <w:sz w:val="22"/>
          <w:szCs w:val="22"/>
        </w:rPr>
        <w:t>v</w:t>
      </w:r>
      <w:r w:rsidRPr="002A0C0D">
        <w:rPr>
          <w:color w:val="000000"/>
          <w:sz w:val="22"/>
          <w:szCs w:val="22"/>
        </w:rPr>
        <w:t>o bez akýchkoľvek sankcií odstúpiť od tejto zmluvy v prípade, kedy ešte nedošlo k plneniu tejto zmluvy a výsledky kontroly poskytovateľa NFP neumožnia financovani</w:t>
      </w:r>
      <w:r>
        <w:rPr>
          <w:color w:val="000000"/>
          <w:sz w:val="22"/>
          <w:szCs w:val="22"/>
        </w:rPr>
        <w:t>e</w:t>
      </w:r>
      <w:r w:rsidRPr="002A0C0D">
        <w:rPr>
          <w:color w:val="000000"/>
          <w:sz w:val="22"/>
          <w:szCs w:val="22"/>
        </w:rPr>
        <w:t xml:space="preserve"> výdavkov vzniknutých z obstarávania.</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lastRenderedPageBreak/>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83709E">
      <w:pPr>
        <w:numPr>
          <w:ilvl w:val="0"/>
          <w:numId w:val="73"/>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83709E">
      <w:pPr>
        <w:numPr>
          <w:ilvl w:val="0"/>
          <w:numId w:val="73"/>
        </w:numPr>
        <w:rPr>
          <w:snapToGrid w:val="0"/>
          <w:sz w:val="22"/>
          <w:szCs w:val="22"/>
        </w:rPr>
      </w:pPr>
      <w:r w:rsidRPr="00B82CA3">
        <w:rPr>
          <w:snapToGrid w:val="0"/>
          <w:sz w:val="22"/>
          <w:szCs w:val="22"/>
        </w:rPr>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83709E">
      <w:pPr>
        <w:numPr>
          <w:ilvl w:val="0"/>
          <w:numId w:val="73"/>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83709E">
      <w:pPr>
        <w:numPr>
          <w:ilvl w:val="0"/>
          <w:numId w:val="73"/>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8" w:name="_Toc28362079"/>
      <w:bookmarkStart w:id="9" w:name="_Toc86999171"/>
      <w:bookmarkStart w:id="10" w:name="_Toc108776016"/>
      <w:r w:rsidRPr="00B82CA3">
        <w:rPr>
          <w:rFonts w:ascii="Times New Roman" w:hAnsi="Times New Roman" w:cs="Times New Roman"/>
          <w:b w:val="0"/>
          <w:sz w:val="22"/>
          <w:szCs w:val="22"/>
        </w:rPr>
        <w:lastRenderedPageBreak/>
        <w:t>Príloha č. 2 zmluvy:</w:t>
      </w:r>
      <w:bookmarkEnd w:id="8"/>
      <w:bookmarkEnd w:id="9"/>
      <w:bookmarkEnd w:id="10"/>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11" w:name="_Toc17906934"/>
      <w:bookmarkStart w:id="12" w:name="_Toc28362080"/>
      <w:bookmarkStart w:id="13" w:name="_Toc86999172"/>
      <w:bookmarkStart w:id="14" w:name="_Toc108776017"/>
      <w:r w:rsidRPr="00B82CA3">
        <w:rPr>
          <w:rFonts w:ascii="Times New Roman" w:hAnsi="Times New Roman" w:cs="Times New Roman"/>
          <w:sz w:val="22"/>
          <w:szCs w:val="22"/>
        </w:rPr>
        <w:t>Zoznam  subdodávateľov</w:t>
      </w:r>
      <w:bookmarkEnd w:id="11"/>
      <w:bookmarkEnd w:id="12"/>
      <w:bookmarkEnd w:id="13"/>
      <w:bookmarkEnd w:id="14"/>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1721B17" w:rsidR="00F45AA9" w:rsidRPr="00B82CA3" w:rsidRDefault="00251ACF" w:rsidP="00F45AA9">
      <w:pPr>
        <w:shd w:val="clear" w:color="auto" w:fill="FFFFFF"/>
        <w:ind w:left="567"/>
        <w:jc w:val="both"/>
        <w:rPr>
          <w:bCs/>
          <w:sz w:val="22"/>
          <w:szCs w:val="22"/>
        </w:rPr>
      </w:pPr>
      <w:r>
        <w:rPr>
          <w:bCs/>
          <w:sz w:val="22"/>
          <w:szCs w:val="22"/>
        </w:rPr>
        <w:t xml:space="preserve">Spoločnosť: </w:t>
      </w:r>
      <w:r w:rsidR="00F45AA9" w:rsidRPr="00B82CA3">
        <w:rPr>
          <w:bCs/>
          <w:sz w:val="22"/>
          <w:szCs w:val="22"/>
        </w:rPr>
        <w:t xml:space="preserve">..........................................................., so sídlom ..........................................................., </w:t>
      </w:r>
    </w:p>
    <w:p w14:paraId="138AAFAB" w14:textId="2C7E169D"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5" w:name="_Hlk9445513"/>
      <w:r w:rsidRPr="00B82CA3">
        <w:rPr>
          <w:sz w:val="22"/>
          <w:szCs w:val="22"/>
        </w:rPr>
        <w:t xml:space="preserve"> „</w:t>
      </w:r>
      <w:r w:rsidR="002F04A1" w:rsidRPr="002F04A1">
        <w:rPr>
          <w:rFonts w:eastAsia="Arial Narrow"/>
          <w:b/>
          <w:sz w:val="22"/>
          <w:szCs w:val="22"/>
        </w:rPr>
        <w:t xml:space="preserve">Regionálna cyklotrasa Hubová – Švošov – </w:t>
      </w:r>
      <w:proofErr w:type="spellStart"/>
      <w:r w:rsidR="002F04A1" w:rsidRPr="002F04A1">
        <w:rPr>
          <w:rFonts w:eastAsia="Arial Narrow"/>
          <w:b/>
          <w:sz w:val="22"/>
          <w:szCs w:val="22"/>
        </w:rPr>
        <w:t>Komjatná</w:t>
      </w:r>
      <w:r w:rsidR="00251ACF">
        <w:rPr>
          <w:rFonts w:eastAsia="Arial Narrow"/>
          <w:b/>
          <w:sz w:val="22"/>
          <w:szCs w:val="22"/>
        </w:rPr>
        <w:t>_II</w:t>
      </w:r>
      <w:proofErr w:type="spellEnd"/>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5"/>
    <w:p w14:paraId="7372B90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6" w:name="_Toc86999173"/>
      <w:bookmarkStart w:id="17" w:name="_Toc108776018"/>
      <w:r w:rsidRPr="00B82CA3">
        <w:rPr>
          <w:rFonts w:ascii="Times New Roman" w:hAnsi="Times New Roman" w:cs="Times New Roman"/>
          <w:b w:val="0"/>
          <w:bCs w:val="0"/>
          <w:sz w:val="22"/>
          <w:szCs w:val="22"/>
        </w:rPr>
        <w:lastRenderedPageBreak/>
        <w:t>Príloha č. 3 zmluvy</w:t>
      </w:r>
      <w:bookmarkEnd w:id="16"/>
      <w:bookmarkEnd w:id="17"/>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8" w:name="_Toc86999174"/>
      <w:bookmarkStart w:id="19" w:name="_Toc108776019"/>
      <w:r w:rsidRPr="00B82CA3">
        <w:rPr>
          <w:rFonts w:ascii="Times New Roman" w:hAnsi="Times New Roman" w:cs="Times New Roman"/>
          <w:sz w:val="22"/>
          <w:szCs w:val="22"/>
        </w:rPr>
        <w:t>ZOZNAM  „Iných osôb“</w:t>
      </w:r>
      <w:bookmarkEnd w:id="18"/>
      <w:bookmarkEnd w:id="19"/>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20" w:name="_Toc86999175"/>
      <w:bookmarkStart w:id="21" w:name="_Toc108776020"/>
      <w:r w:rsidRPr="00B82CA3">
        <w:rPr>
          <w:rFonts w:ascii="Times New Roman" w:hAnsi="Times New Roman" w:cs="Times New Roman"/>
          <w:sz w:val="22"/>
          <w:szCs w:val="22"/>
        </w:rPr>
        <w:t>ktoré poskytujú zdroje alebo kapacity Zhotoviteľovi počas platnosti tejto Zmluvy</w:t>
      </w:r>
      <w:bookmarkEnd w:id="20"/>
      <w:bookmarkEnd w:id="21"/>
    </w:p>
    <w:p w14:paraId="1DB621CF" w14:textId="77777777" w:rsidR="00F45AA9" w:rsidRPr="00B82CA3" w:rsidRDefault="00F45AA9" w:rsidP="00F45AA9">
      <w:pPr>
        <w:rPr>
          <w:sz w:val="22"/>
          <w:szCs w:val="22"/>
        </w:rPr>
      </w:pPr>
    </w:p>
    <w:p w14:paraId="6F3BC1E3" w14:textId="41FB8B2C" w:rsidR="00F45AA9" w:rsidRPr="00B82CA3" w:rsidRDefault="00F45AA9" w:rsidP="00F45AA9">
      <w:pPr>
        <w:jc w:val="both"/>
        <w:rPr>
          <w:sz w:val="22"/>
          <w:szCs w:val="22"/>
        </w:rPr>
      </w:pPr>
      <w:r w:rsidRPr="00B82CA3">
        <w:rPr>
          <w:sz w:val="22"/>
          <w:szCs w:val="22"/>
        </w:rPr>
        <w:t>(ktorými preukázal</w:t>
      </w:r>
      <w:r w:rsidR="00B203AC">
        <w:rPr>
          <w:sz w:val="22"/>
          <w:szCs w:val="22"/>
        </w:rPr>
        <w:t xml:space="preserve"> </w:t>
      </w:r>
      <w:r w:rsidRPr="00B82CA3">
        <w:rPr>
          <w:sz w:val="22"/>
          <w:szCs w:val="22"/>
        </w:rPr>
        <w:t>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34336EBD" w14:textId="367E53C4" w:rsidR="00F45AA9" w:rsidRPr="00B82CA3" w:rsidRDefault="00F45AA9" w:rsidP="00F45AA9">
      <w:pPr>
        <w:rPr>
          <w:sz w:val="22"/>
          <w:szCs w:val="22"/>
        </w:rPr>
      </w:pPr>
      <w:r w:rsidRPr="00B82CA3">
        <w:rPr>
          <w:sz w:val="22"/>
          <w:szCs w:val="22"/>
        </w:rPr>
        <w:t xml:space="preserve">„ Iná osoba“ v kontexte § 34 ods. 3 zákona č. 343/2015 </w:t>
      </w:r>
      <w:proofErr w:type="spellStart"/>
      <w:r w:rsidRPr="00B82CA3">
        <w:rPr>
          <w:sz w:val="22"/>
          <w:szCs w:val="22"/>
        </w:rPr>
        <w:t>Z.z</w:t>
      </w:r>
      <w:proofErr w:type="spellEnd"/>
      <w:r w:rsidRPr="00B82CA3">
        <w:rPr>
          <w:sz w:val="22"/>
          <w:szCs w:val="22"/>
        </w:rPr>
        <w:t>. (kapacity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B203AC">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077D83">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077D83">
            <w:pPr>
              <w:rPr>
                <w:b/>
                <w:bCs/>
                <w:sz w:val="22"/>
                <w:szCs w:val="22"/>
              </w:rPr>
            </w:pPr>
            <w:r w:rsidRPr="00B82CA3">
              <w:rPr>
                <w:b/>
                <w:bCs/>
                <w:sz w:val="22"/>
                <w:szCs w:val="22"/>
              </w:rPr>
              <w:t>Názov, Sídlo</w:t>
            </w:r>
          </w:p>
          <w:p w14:paraId="4789C87D" w14:textId="77777777" w:rsidR="00F45AA9" w:rsidRPr="00B82CA3" w:rsidRDefault="00F45AA9" w:rsidP="00077D83">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077D83">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077D83">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544048B3" w14:textId="77777777" w:rsidTr="00B203AC">
        <w:trPr>
          <w:trHeight w:val="567"/>
        </w:trPr>
        <w:tc>
          <w:tcPr>
            <w:tcW w:w="23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F4B13C" w14:textId="77777777" w:rsidR="00F45AA9" w:rsidRPr="00B82CA3" w:rsidRDefault="00F45AA9" w:rsidP="00077D83">
            <w:pPr>
              <w:rPr>
                <w:sz w:val="22"/>
                <w:szCs w:val="22"/>
              </w:rPr>
            </w:pPr>
          </w:p>
        </w:tc>
        <w:tc>
          <w:tcPr>
            <w:tcW w:w="687"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2740289C" w14:textId="77777777" w:rsidR="00F45AA9" w:rsidRPr="00B82CA3" w:rsidRDefault="00F45AA9" w:rsidP="00077D83">
            <w:pPr>
              <w:rPr>
                <w:sz w:val="22"/>
                <w:szCs w:val="22"/>
              </w:rPr>
            </w:pPr>
          </w:p>
        </w:tc>
        <w:tc>
          <w:tcPr>
            <w:tcW w:w="110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6362AC08" w14:textId="77777777" w:rsidR="00F45AA9" w:rsidRPr="00B82CA3" w:rsidRDefault="00F45AA9" w:rsidP="00077D83">
            <w:pPr>
              <w:rPr>
                <w:sz w:val="22"/>
                <w:szCs w:val="22"/>
              </w:rPr>
            </w:pPr>
          </w:p>
        </w:tc>
        <w:tc>
          <w:tcPr>
            <w:tcW w:w="222"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5B6E940F" w14:textId="77777777" w:rsidR="00F45AA9" w:rsidRPr="00B82CA3" w:rsidRDefault="00F45AA9" w:rsidP="00077D83">
            <w:pPr>
              <w:rPr>
                <w:sz w:val="22"/>
                <w:szCs w:val="22"/>
              </w:rPr>
            </w:pPr>
          </w:p>
        </w:tc>
        <w:tc>
          <w:tcPr>
            <w:tcW w:w="770"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3C32E588" w14:textId="77777777" w:rsidR="00F45AA9" w:rsidRPr="00B82CA3" w:rsidRDefault="00F45AA9" w:rsidP="00077D83">
            <w:pPr>
              <w:rPr>
                <w:sz w:val="22"/>
                <w:szCs w:val="22"/>
              </w:rPr>
            </w:pPr>
          </w:p>
        </w:tc>
        <w:tc>
          <w:tcPr>
            <w:tcW w:w="460"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079C6355" w14:textId="77777777" w:rsidR="00F45AA9" w:rsidRPr="00B82CA3" w:rsidRDefault="00F45AA9" w:rsidP="00077D83">
            <w:pPr>
              <w:rPr>
                <w:sz w:val="22"/>
                <w:szCs w:val="22"/>
              </w:rPr>
            </w:pPr>
          </w:p>
        </w:tc>
        <w:tc>
          <w:tcPr>
            <w:tcW w:w="849"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159B6DF4" w14:textId="77777777" w:rsidR="00F45AA9" w:rsidRPr="00B82CA3" w:rsidRDefault="00F45AA9" w:rsidP="00077D83">
            <w:pPr>
              <w:rPr>
                <w:sz w:val="22"/>
                <w:szCs w:val="22"/>
              </w:rPr>
            </w:pPr>
          </w:p>
        </w:tc>
        <w:tc>
          <w:tcPr>
            <w:tcW w:w="672"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06D5D45B" w14:textId="77777777" w:rsidR="00F45AA9" w:rsidRPr="00B82CA3" w:rsidRDefault="00F45AA9" w:rsidP="00077D83">
            <w:pPr>
              <w:rPr>
                <w:sz w:val="22"/>
                <w:szCs w:val="22"/>
              </w:rPr>
            </w:pPr>
          </w:p>
        </w:tc>
      </w:tr>
      <w:tr w:rsidR="00B203AC" w:rsidRPr="00B82CA3" w14:paraId="602CBF96" w14:textId="77777777" w:rsidTr="00B203AC">
        <w:trPr>
          <w:trHeight w:val="567"/>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D57A5" w14:textId="77777777" w:rsidR="00B203AC" w:rsidRPr="00B82CA3" w:rsidRDefault="00B203AC" w:rsidP="00077D83">
            <w:pPr>
              <w:rPr>
                <w:sz w:val="22"/>
                <w:szCs w:val="22"/>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7784868" w14:textId="77777777" w:rsidR="00B203AC" w:rsidRPr="00B82CA3" w:rsidRDefault="00B203AC" w:rsidP="00077D83">
            <w:pPr>
              <w:rPr>
                <w:sz w:val="22"/>
                <w:szCs w:val="22"/>
              </w:rPr>
            </w:pP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7E9419" w14:textId="77777777" w:rsidR="00B203AC" w:rsidRPr="00B82CA3" w:rsidRDefault="00B203AC" w:rsidP="00077D83">
            <w:pPr>
              <w:rPr>
                <w:sz w:val="22"/>
                <w:szCs w:val="22"/>
              </w:rPr>
            </w:pPr>
          </w:p>
        </w:tc>
        <w:tc>
          <w:tcPr>
            <w:tcW w:w="2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F046683" w14:textId="77777777" w:rsidR="00B203AC" w:rsidRPr="00B82CA3" w:rsidRDefault="00B203AC" w:rsidP="00077D83">
            <w:pPr>
              <w:rPr>
                <w:sz w:val="22"/>
                <w:szCs w:val="22"/>
              </w:rPr>
            </w:pPr>
          </w:p>
        </w:tc>
        <w:tc>
          <w:tcPr>
            <w:tcW w:w="7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6DD8ADA" w14:textId="77777777" w:rsidR="00B203AC" w:rsidRPr="00B82CA3" w:rsidRDefault="00B203AC" w:rsidP="00077D83">
            <w:pPr>
              <w:rPr>
                <w:sz w:val="22"/>
                <w:szCs w:val="22"/>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C24B02E" w14:textId="77777777" w:rsidR="00B203AC" w:rsidRPr="00B82CA3" w:rsidRDefault="00B203AC" w:rsidP="00077D83">
            <w:pPr>
              <w:rPr>
                <w:sz w:val="22"/>
                <w:szCs w:val="22"/>
              </w:rPr>
            </w:pPr>
          </w:p>
        </w:tc>
        <w:tc>
          <w:tcPr>
            <w:tcW w:w="8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6878629" w14:textId="77777777" w:rsidR="00B203AC" w:rsidRPr="00B82CA3" w:rsidRDefault="00B203AC" w:rsidP="00077D83">
            <w:pPr>
              <w:rPr>
                <w:sz w:val="22"/>
                <w:szCs w:val="22"/>
              </w:rPr>
            </w:pPr>
          </w:p>
        </w:tc>
        <w:tc>
          <w:tcPr>
            <w:tcW w:w="6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832CE9A" w14:textId="77777777" w:rsidR="00B203AC" w:rsidRPr="00B82CA3" w:rsidRDefault="00B203AC" w:rsidP="00077D83">
            <w:pPr>
              <w:rPr>
                <w:sz w:val="22"/>
                <w:szCs w:val="22"/>
              </w:rPr>
            </w:pPr>
          </w:p>
        </w:tc>
      </w:tr>
      <w:tr w:rsidR="00B203AC" w:rsidRPr="00B82CA3" w14:paraId="4A7B01E8" w14:textId="77777777" w:rsidTr="00B203AC">
        <w:trPr>
          <w:trHeight w:val="567"/>
        </w:trPr>
        <w:tc>
          <w:tcPr>
            <w:tcW w:w="23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93A2BE6" w14:textId="77777777" w:rsidR="00B203AC" w:rsidRPr="00B82CA3" w:rsidRDefault="00B203AC" w:rsidP="00077D83">
            <w:pPr>
              <w:rPr>
                <w:sz w:val="22"/>
                <w:szCs w:val="22"/>
              </w:rPr>
            </w:pPr>
          </w:p>
        </w:tc>
        <w:tc>
          <w:tcPr>
            <w:tcW w:w="687" w:type="pct"/>
            <w:tcBorders>
              <w:top w:val="nil"/>
              <w:left w:val="nil"/>
              <w:bottom w:val="single" w:sz="4" w:space="0" w:color="auto"/>
              <w:right w:val="single" w:sz="8" w:space="0" w:color="auto"/>
            </w:tcBorders>
            <w:tcMar>
              <w:top w:w="0" w:type="dxa"/>
              <w:left w:w="108" w:type="dxa"/>
              <w:bottom w:w="0" w:type="dxa"/>
              <w:right w:w="108" w:type="dxa"/>
            </w:tcMar>
          </w:tcPr>
          <w:p w14:paraId="67B2C83B" w14:textId="77777777" w:rsidR="00B203AC" w:rsidRPr="00B82CA3" w:rsidRDefault="00B203AC" w:rsidP="00077D83">
            <w:pPr>
              <w:rPr>
                <w:sz w:val="22"/>
                <w:szCs w:val="22"/>
              </w:rPr>
            </w:pPr>
          </w:p>
        </w:tc>
        <w:tc>
          <w:tcPr>
            <w:tcW w:w="1106" w:type="pct"/>
            <w:tcBorders>
              <w:top w:val="nil"/>
              <w:left w:val="nil"/>
              <w:bottom w:val="single" w:sz="4" w:space="0" w:color="auto"/>
              <w:right w:val="single" w:sz="8" w:space="0" w:color="auto"/>
            </w:tcBorders>
            <w:tcMar>
              <w:top w:w="0" w:type="dxa"/>
              <w:left w:w="108" w:type="dxa"/>
              <w:bottom w:w="0" w:type="dxa"/>
              <w:right w:w="108" w:type="dxa"/>
            </w:tcMar>
          </w:tcPr>
          <w:p w14:paraId="50B869AE" w14:textId="77777777" w:rsidR="00B203AC" w:rsidRPr="00B82CA3" w:rsidRDefault="00B203AC" w:rsidP="00077D83">
            <w:pPr>
              <w:rPr>
                <w:sz w:val="22"/>
                <w:szCs w:val="22"/>
              </w:rPr>
            </w:pPr>
          </w:p>
        </w:tc>
        <w:tc>
          <w:tcPr>
            <w:tcW w:w="222" w:type="pct"/>
            <w:tcBorders>
              <w:top w:val="nil"/>
              <w:left w:val="nil"/>
              <w:bottom w:val="single" w:sz="4" w:space="0" w:color="auto"/>
              <w:right w:val="single" w:sz="8" w:space="0" w:color="auto"/>
            </w:tcBorders>
            <w:tcMar>
              <w:top w:w="0" w:type="dxa"/>
              <w:left w:w="108" w:type="dxa"/>
              <w:bottom w:w="0" w:type="dxa"/>
              <w:right w:w="108" w:type="dxa"/>
            </w:tcMar>
          </w:tcPr>
          <w:p w14:paraId="4DBB27C7" w14:textId="77777777" w:rsidR="00B203AC" w:rsidRPr="00B82CA3" w:rsidRDefault="00B203AC" w:rsidP="00077D83">
            <w:pPr>
              <w:rPr>
                <w:sz w:val="22"/>
                <w:szCs w:val="22"/>
              </w:rPr>
            </w:pPr>
          </w:p>
        </w:tc>
        <w:tc>
          <w:tcPr>
            <w:tcW w:w="770" w:type="pct"/>
            <w:tcBorders>
              <w:top w:val="nil"/>
              <w:left w:val="nil"/>
              <w:bottom w:val="single" w:sz="4" w:space="0" w:color="auto"/>
              <w:right w:val="single" w:sz="8" w:space="0" w:color="auto"/>
            </w:tcBorders>
            <w:tcMar>
              <w:top w:w="0" w:type="dxa"/>
              <w:left w:w="108" w:type="dxa"/>
              <w:bottom w:w="0" w:type="dxa"/>
              <w:right w:w="108" w:type="dxa"/>
            </w:tcMar>
          </w:tcPr>
          <w:p w14:paraId="1FF1E8E4" w14:textId="77777777" w:rsidR="00B203AC" w:rsidRPr="00B82CA3" w:rsidRDefault="00B203AC" w:rsidP="00077D83">
            <w:pPr>
              <w:rPr>
                <w:sz w:val="22"/>
                <w:szCs w:val="22"/>
              </w:rPr>
            </w:pPr>
          </w:p>
        </w:tc>
        <w:tc>
          <w:tcPr>
            <w:tcW w:w="460" w:type="pct"/>
            <w:tcBorders>
              <w:top w:val="nil"/>
              <w:left w:val="nil"/>
              <w:bottom w:val="single" w:sz="4" w:space="0" w:color="auto"/>
              <w:right w:val="single" w:sz="8" w:space="0" w:color="auto"/>
            </w:tcBorders>
            <w:tcMar>
              <w:top w:w="0" w:type="dxa"/>
              <w:left w:w="108" w:type="dxa"/>
              <w:bottom w:w="0" w:type="dxa"/>
              <w:right w:w="108" w:type="dxa"/>
            </w:tcMar>
          </w:tcPr>
          <w:p w14:paraId="1E804660" w14:textId="77777777" w:rsidR="00B203AC" w:rsidRPr="00B82CA3" w:rsidRDefault="00B203AC" w:rsidP="00077D83">
            <w:pPr>
              <w:rPr>
                <w:sz w:val="22"/>
                <w:szCs w:val="22"/>
              </w:rPr>
            </w:pPr>
          </w:p>
        </w:tc>
        <w:tc>
          <w:tcPr>
            <w:tcW w:w="849" w:type="pct"/>
            <w:tcBorders>
              <w:top w:val="nil"/>
              <w:left w:val="nil"/>
              <w:bottom w:val="single" w:sz="4" w:space="0" w:color="auto"/>
              <w:right w:val="single" w:sz="8" w:space="0" w:color="auto"/>
            </w:tcBorders>
            <w:tcMar>
              <w:top w:w="0" w:type="dxa"/>
              <w:left w:w="108" w:type="dxa"/>
              <w:bottom w:w="0" w:type="dxa"/>
              <w:right w:w="108" w:type="dxa"/>
            </w:tcMar>
          </w:tcPr>
          <w:p w14:paraId="3A1898A8" w14:textId="77777777" w:rsidR="00B203AC" w:rsidRPr="00B82CA3" w:rsidRDefault="00B203AC" w:rsidP="00077D83">
            <w:pPr>
              <w:rPr>
                <w:sz w:val="22"/>
                <w:szCs w:val="22"/>
              </w:rPr>
            </w:pPr>
          </w:p>
        </w:tc>
        <w:tc>
          <w:tcPr>
            <w:tcW w:w="672" w:type="pct"/>
            <w:tcBorders>
              <w:top w:val="nil"/>
              <w:left w:val="nil"/>
              <w:bottom w:val="single" w:sz="4" w:space="0" w:color="auto"/>
              <w:right w:val="single" w:sz="8" w:space="0" w:color="auto"/>
            </w:tcBorders>
            <w:tcMar>
              <w:top w:w="0" w:type="dxa"/>
              <w:left w:w="108" w:type="dxa"/>
              <w:bottom w:w="0" w:type="dxa"/>
              <w:right w:w="108" w:type="dxa"/>
            </w:tcMar>
          </w:tcPr>
          <w:p w14:paraId="5CA53F52" w14:textId="77777777" w:rsidR="00B203AC" w:rsidRPr="00B82CA3" w:rsidRDefault="00B203AC" w:rsidP="00077D83">
            <w:pPr>
              <w:rPr>
                <w:sz w:val="22"/>
                <w:szCs w:val="22"/>
              </w:rPr>
            </w:pPr>
          </w:p>
        </w:tc>
      </w:tr>
      <w:tr w:rsidR="00B203AC" w:rsidRPr="00B82CA3" w14:paraId="7A92047D" w14:textId="77777777" w:rsidTr="00B203AC">
        <w:trPr>
          <w:trHeight w:val="567"/>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73B38E" w14:textId="77777777" w:rsidR="00B203AC" w:rsidRPr="00B82CA3" w:rsidRDefault="00B203AC" w:rsidP="00077D83">
            <w:pPr>
              <w:rPr>
                <w:sz w:val="22"/>
                <w:szCs w:val="22"/>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6BC371C" w14:textId="77777777" w:rsidR="00B203AC" w:rsidRPr="00B82CA3" w:rsidRDefault="00B203AC" w:rsidP="00077D83">
            <w:pPr>
              <w:rPr>
                <w:sz w:val="22"/>
                <w:szCs w:val="22"/>
              </w:rPr>
            </w:pP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D9B15EC" w14:textId="77777777" w:rsidR="00B203AC" w:rsidRPr="00B82CA3" w:rsidRDefault="00B203AC" w:rsidP="00077D83">
            <w:pPr>
              <w:rPr>
                <w:sz w:val="22"/>
                <w:szCs w:val="22"/>
              </w:rPr>
            </w:pPr>
          </w:p>
        </w:tc>
        <w:tc>
          <w:tcPr>
            <w:tcW w:w="2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1A4D608" w14:textId="77777777" w:rsidR="00B203AC" w:rsidRPr="00B82CA3" w:rsidRDefault="00B203AC" w:rsidP="00077D83">
            <w:pPr>
              <w:rPr>
                <w:sz w:val="22"/>
                <w:szCs w:val="22"/>
              </w:rPr>
            </w:pPr>
          </w:p>
        </w:tc>
        <w:tc>
          <w:tcPr>
            <w:tcW w:w="7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BB39579" w14:textId="77777777" w:rsidR="00B203AC" w:rsidRPr="00B82CA3" w:rsidRDefault="00B203AC" w:rsidP="00077D83">
            <w:pPr>
              <w:rPr>
                <w:sz w:val="22"/>
                <w:szCs w:val="22"/>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37A0F03" w14:textId="77777777" w:rsidR="00B203AC" w:rsidRPr="00B82CA3" w:rsidRDefault="00B203AC" w:rsidP="00077D83">
            <w:pPr>
              <w:rPr>
                <w:sz w:val="22"/>
                <w:szCs w:val="22"/>
              </w:rPr>
            </w:pPr>
          </w:p>
        </w:tc>
        <w:tc>
          <w:tcPr>
            <w:tcW w:w="8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C9EB315" w14:textId="77777777" w:rsidR="00B203AC" w:rsidRPr="00B82CA3" w:rsidRDefault="00B203AC" w:rsidP="00077D83">
            <w:pPr>
              <w:rPr>
                <w:sz w:val="22"/>
                <w:szCs w:val="22"/>
              </w:rPr>
            </w:pPr>
          </w:p>
        </w:tc>
        <w:tc>
          <w:tcPr>
            <w:tcW w:w="6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F48E551" w14:textId="77777777" w:rsidR="00B203AC" w:rsidRPr="00B82CA3" w:rsidRDefault="00B203AC" w:rsidP="00077D83">
            <w:pPr>
              <w:rPr>
                <w:sz w:val="22"/>
                <w:szCs w:val="22"/>
              </w:rPr>
            </w:pPr>
          </w:p>
        </w:tc>
      </w:tr>
      <w:tr w:rsidR="00B203AC" w:rsidRPr="00B82CA3" w14:paraId="4FAEE8E1"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ED2093" w14:textId="77777777" w:rsidR="00B203AC" w:rsidRPr="00B82CA3" w:rsidRDefault="00B203AC"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D078C8E" w14:textId="77777777" w:rsidR="00B203AC" w:rsidRPr="00B82CA3" w:rsidRDefault="00B203AC"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35A805AB" w14:textId="77777777" w:rsidR="00B203AC" w:rsidRPr="00B82CA3" w:rsidRDefault="00B203AC"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09EE420C" w14:textId="77777777" w:rsidR="00B203AC" w:rsidRPr="00B82CA3" w:rsidRDefault="00B203AC"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1468806F" w14:textId="77777777" w:rsidR="00B203AC" w:rsidRPr="00B82CA3" w:rsidRDefault="00B203AC"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813CD09" w14:textId="77777777" w:rsidR="00B203AC" w:rsidRPr="00B82CA3" w:rsidRDefault="00B203AC"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7AAD9A46" w14:textId="77777777" w:rsidR="00B203AC" w:rsidRPr="00B82CA3" w:rsidRDefault="00B203AC"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71045E9F" w14:textId="77777777" w:rsidR="00B203AC" w:rsidRPr="00B82CA3" w:rsidRDefault="00B203AC" w:rsidP="00077D83">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sectPr w:rsidR="00F45AA9" w:rsidRPr="00B82CA3" w:rsidSect="002F04A1">
      <w:footerReference w:type="first" r:id="rId9"/>
      <w:type w:val="continuous"/>
      <w:pgSz w:w="11906" w:h="16838"/>
      <w:pgMar w:top="1418" w:right="902" w:bottom="1418"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BCD0" w14:textId="77777777" w:rsidR="00902007" w:rsidRDefault="00902007" w:rsidP="00F33448">
      <w:r>
        <w:separator/>
      </w:r>
    </w:p>
  </w:endnote>
  <w:endnote w:type="continuationSeparator" w:id="0">
    <w:p w14:paraId="203A89B6" w14:textId="77777777" w:rsidR="00902007" w:rsidRDefault="00902007"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76C8" w14:textId="77777777" w:rsidR="00902007" w:rsidRDefault="00902007" w:rsidP="00F33448">
      <w:r>
        <w:separator/>
      </w:r>
    </w:p>
  </w:footnote>
  <w:footnote w:type="continuationSeparator" w:id="0">
    <w:p w14:paraId="0EA4D11C" w14:textId="77777777" w:rsidR="00902007" w:rsidRDefault="00902007" w:rsidP="00F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8"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9"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1"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5"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3374425"/>
    <w:multiLevelType w:val="hybridMultilevel"/>
    <w:tmpl w:val="2466C5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2"/>
  </w:num>
  <w:num w:numId="2" w16cid:durableId="765925044">
    <w:abstractNumId w:val="60"/>
  </w:num>
  <w:num w:numId="3" w16cid:durableId="284965391">
    <w:abstractNumId w:val="38"/>
  </w:num>
  <w:num w:numId="4" w16cid:durableId="1237516917">
    <w:abstractNumId w:val="32"/>
  </w:num>
  <w:num w:numId="5" w16cid:durableId="2114858060">
    <w:abstractNumId w:val="70"/>
  </w:num>
  <w:num w:numId="6" w16cid:durableId="830947927">
    <w:abstractNumId w:val="27"/>
  </w:num>
  <w:num w:numId="7" w16cid:durableId="219053371">
    <w:abstractNumId w:val="48"/>
  </w:num>
  <w:num w:numId="8" w16cid:durableId="794983634">
    <w:abstractNumId w:val="79"/>
  </w:num>
  <w:num w:numId="9" w16cid:durableId="92632548">
    <w:abstractNumId w:val="40"/>
  </w:num>
  <w:num w:numId="10" w16cid:durableId="346829318">
    <w:abstractNumId w:val="50"/>
  </w:num>
  <w:num w:numId="11" w16cid:durableId="1453131978">
    <w:abstractNumId w:val="56"/>
  </w:num>
  <w:num w:numId="12" w16cid:durableId="120656003">
    <w:abstractNumId w:val="94"/>
  </w:num>
  <w:num w:numId="13" w16cid:durableId="678435385">
    <w:abstractNumId w:val="41"/>
  </w:num>
  <w:num w:numId="14" w16cid:durableId="402681261">
    <w:abstractNumId w:val="49"/>
  </w:num>
  <w:num w:numId="15" w16cid:durableId="1739671029">
    <w:abstractNumId w:val="75"/>
  </w:num>
  <w:num w:numId="16" w16cid:durableId="1477910829">
    <w:abstractNumId w:val="81"/>
  </w:num>
  <w:num w:numId="17" w16cid:durableId="1983002768">
    <w:abstractNumId w:val="85"/>
  </w:num>
  <w:num w:numId="18" w16cid:durableId="1663778216">
    <w:abstractNumId w:val="47"/>
  </w:num>
  <w:num w:numId="19" w16cid:durableId="1160193429">
    <w:abstractNumId w:val="45"/>
  </w:num>
  <w:num w:numId="20" w16cid:durableId="2061858122">
    <w:abstractNumId w:val="26"/>
  </w:num>
  <w:num w:numId="21" w16cid:durableId="922379669">
    <w:abstractNumId w:val="71"/>
  </w:num>
  <w:num w:numId="22" w16cid:durableId="348914738">
    <w:abstractNumId w:val="68"/>
  </w:num>
  <w:num w:numId="23" w16cid:durableId="142161483">
    <w:abstractNumId w:val="63"/>
  </w:num>
  <w:num w:numId="24" w16cid:durableId="1883514736">
    <w:abstractNumId w:val="44"/>
  </w:num>
  <w:num w:numId="25" w16cid:durableId="2075660150">
    <w:abstractNumId w:val="31"/>
  </w:num>
  <w:num w:numId="26" w16cid:durableId="151525202">
    <w:abstractNumId w:val="35"/>
  </w:num>
  <w:num w:numId="27" w16cid:durableId="1965192017">
    <w:abstractNumId w:val="13"/>
  </w:num>
  <w:num w:numId="28" w16cid:durableId="822771457">
    <w:abstractNumId w:val="22"/>
  </w:num>
  <w:num w:numId="29" w16cid:durableId="1783452670">
    <w:abstractNumId w:val="74"/>
  </w:num>
  <w:num w:numId="30" w16cid:durableId="1831749666">
    <w:abstractNumId w:val="29"/>
  </w:num>
  <w:num w:numId="31" w16cid:durableId="467669732">
    <w:abstractNumId w:val="39"/>
  </w:num>
  <w:num w:numId="32" w16cid:durableId="482812906">
    <w:abstractNumId w:val="25"/>
  </w:num>
  <w:num w:numId="33" w16cid:durableId="741103892">
    <w:abstractNumId w:val="24"/>
  </w:num>
  <w:num w:numId="34" w16cid:durableId="742291027">
    <w:abstractNumId w:val="43"/>
  </w:num>
  <w:num w:numId="35" w16cid:durableId="446431965">
    <w:abstractNumId w:val="90"/>
  </w:num>
  <w:num w:numId="36" w16cid:durableId="1041976664">
    <w:abstractNumId w:val="69"/>
  </w:num>
  <w:num w:numId="37" w16cid:durableId="1513110347">
    <w:abstractNumId w:val="34"/>
  </w:num>
  <w:num w:numId="38" w16cid:durableId="1461337803">
    <w:abstractNumId w:val="17"/>
  </w:num>
  <w:num w:numId="39" w16cid:durableId="1358433035">
    <w:abstractNumId w:val="76"/>
  </w:num>
  <w:num w:numId="40" w16cid:durableId="1578175167">
    <w:abstractNumId w:val="21"/>
  </w:num>
  <w:num w:numId="41" w16cid:durableId="399399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5"/>
    <w:lvlOverride w:ilvl="0">
      <w:startOverride w:val="1"/>
    </w:lvlOverride>
  </w:num>
  <w:num w:numId="44" w16cid:durableId="1720861947">
    <w:abstractNumId w:val="37"/>
    <w:lvlOverride w:ilvl="0">
      <w:startOverride w:val="1"/>
    </w:lvlOverride>
  </w:num>
  <w:num w:numId="45" w16cid:durableId="15087912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1"/>
    <w:lvlOverride w:ilvl="0">
      <w:startOverride w:val="1"/>
    </w:lvlOverride>
  </w:num>
  <w:num w:numId="47" w16cid:durableId="4789576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6"/>
  </w:num>
  <w:num w:numId="49" w16cid:durableId="1781559167">
    <w:abstractNumId w:val="80"/>
  </w:num>
  <w:num w:numId="50" w16cid:durableId="17186231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8"/>
    <w:lvlOverride w:ilvl="0">
      <w:startOverride w:val="1"/>
    </w:lvlOverride>
  </w:num>
  <w:num w:numId="53" w16cid:durableId="447428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1"/>
    <w:lvlOverride w:ilvl="0">
      <w:startOverride w:val="1"/>
    </w:lvlOverride>
  </w:num>
  <w:num w:numId="61" w16cid:durableId="1368332098">
    <w:abstractNumId w:val="93"/>
  </w:num>
  <w:num w:numId="62"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4"/>
    <w:lvlOverride w:ilvl="0">
      <w:startOverride w:val="1"/>
    </w:lvlOverride>
  </w:num>
  <w:num w:numId="66" w16cid:durableId="1881169424">
    <w:abstractNumId w:val="28"/>
    <w:lvlOverride w:ilvl="0">
      <w:startOverride w:val="1"/>
    </w:lvlOverride>
  </w:num>
  <w:num w:numId="67" w16cid:durableId="1324696182">
    <w:abstractNumId w:val="73"/>
  </w:num>
  <w:num w:numId="68" w16cid:durableId="1880582504">
    <w:abstractNumId w:val="95"/>
  </w:num>
  <w:num w:numId="69" w16cid:durableId="2053381486">
    <w:abstractNumId w:val="55"/>
  </w:num>
  <w:num w:numId="70" w16cid:durableId="1296982930">
    <w:abstractNumId w:val="87"/>
  </w:num>
  <w:num w:numId="71" w16cid:durableId="616252341">
    <w:abstractNumId w:val="42"/>
  </w:num>
  <w:num w:numId="72" w16cid:durableId="782647610">
    <w:abstractNumId w:val="57"/>
  </w:num>
  <w:num w:numId="73" w16cid:durableId="34014221">
    <w:abstractNumId w:val="72"/>
  </w:num>
  <w:num w:numId="74" w16cid:durableId="265581491">
    <w:abstractNumId w:val="59"/>
  </w:num>
  <w:num w:numId="75" w16cid:durableId="1600487281">
    <w:abstractNumId w:val="91"/>
  </w:num>
  <w:num w:numId="76" w16cid:durableId="1977762445">
    <w:abstractNumId w:val="0"/>
  </w:num>
  <w:num w:numId="77" w16cid:durableId="1384476658">
    <w:abstractNumId w:val="64"/>
  </w:num>
  <w:num w:numId="78" w16cid:durableId="822159911">
    <w:abstractNumId w:val="33"/>
  </w:num>
  <w:num w:numId="79" w16cid:durableId="1276062943">
    <w:abstractNumId w:val="89"/>
  </w:num>
  <w:num w:numId="80" w16cid:durableId="370570909">
    <w:abstractNumId w:val="67"/>
  </w:num>
  <w:num w:numId="81" w16cid:durableId="883256480">
    <w:abstractNumId w:val="19"/>
  </w:num>
  <w:num w:numId="82" w16cid:durableId="1092242890">
    <w:abstractNumId w:val="86"/>
  </w:num>
  <w:num w:numId="83" w16cid:durableId="1592544797">
    <w:abstractNumId w:val="65"/>
  </w:num>
  <w:num w:numId="84" w16cid:durableId="955215341">
    <w:abstractNumId w:val="12"/>
  </w:num>
  <w:num w:numId="85" w16cid:durableId="413088580">
    <w:abstractNumId w:val="8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32F"/>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50B"/>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A40"/>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6413"/>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0FE"/>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314C"/>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1ACF"/>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0764"/>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2E"/>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04A1"/>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B78DA"/>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1A6"/>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1281"/>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BBD"/>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6D3"/>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3FC"/>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00CF"/>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11C"/>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6C12"/>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5F1"/>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2007"/>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24D2"/>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10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03AC"/>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6BE2"/>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98A"/>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5D2D"/>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1C0"/>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79A"/>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12045</Words>
  <Characters>68659</Characters>
  <Application>Microsoft Office Word</Application>
  <DocSecurity>0</DocSecurity>
  <Lines>572</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3</cp:revision>
  <cp:lastPrinted>2022-06-27T07:47:00Z</cp:lastPrinted>
  <dcterms:created xsi:type="dcterms:W3CDTF">2022-12-05T09:07:00Z</dcterms:created>
  <dcterms:modified xsi:type="dcterms:W3CDTF">2022-12-05T09:12:00Z</dcterms:modified>
</cp:coreProperties>
</file>