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608955D9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D43396">
        <w:rPr>
          <w:rFonts w:ascii="Times New Roman" w:hAnsi="Times New Roman"/>
          <w:b/>
          <w:sz w:val="36"/>
          <w:szCs w:val="36"/>
        </w:rPr>
        <w:t xml:space="preserve">licencií a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1106FA3A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4795DACE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4CD0E29D" w:rsidR="001D3D93" w:rsidRPr="006E3BAE" w:rsidRDefault="00F8685A" w:rsidP="00D43396">
      <w:pPr>
        <w:numPr>
          <w:ilvl w:val="0"/>
          <w:numId w:val="1"/>
        </w:numPr>
        <w:spacing w:after="12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0853FB" w:rsidRPr="000853FB">
        <w:rPr>
          <w:rFonts w:ascii="Times New Roman" w:hAnsi="Times New Roman"/>
          <w:bCs/>
          <w:i/>
          <w:noProof/>
          <w:sz w:val="24"/>
          <w:szCs w:val="24"/>
        </w:rPr>
        <w:t>„Nákup a podpora licencií na zabezpečenie monitorovania informačného systému pre správu registratúry“</w:t>
      </w:r>
      <w:r w:rsidR="00D4339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0853FB">
        <w:rPr>
          <w:rFonts w:ascii="Times New Roman" w:hAnsi="Times New Roman"/>
          <w:bCs/>
          <w:i/>
          <w:noProof/>
          <w:sz w:val="24"/>
          <w:szCs w:val="24"/>
        </w:rPr>
        <w:t>10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44A3D43D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000EEB">
        <w:rPr>
          <w:rFonts w:ascii="Times New Roman" w:hAnsi="Times New Roman"/>
          <w:sz w:val="24"/>
          <w:szCs w:val="24"/>
        </w:rPr>
        <w:t>sú licencie a</w:t>
      </w:r>
      <w:r w:rsidR="00CF4AEE" w:rsidRPr="004259F3">
        <w:rPr>
          <w:rFonts w:ascii="Times New Roman" w:hAnsi="Times New Roman"/>
          <w:sz w:val="24"/>
          <w:szCs w:val="24"/>
        </w:rPr>
        <w:t xml:space="preserve">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</w:t>
      </w:r>
      <w:r w:rsidR="0091533A">
        <w:rPr>
          <w:rFonts w:ascii="Times New Roman" w:hAnsi="Times New Roman"/>
          <w:bCs/>
          <w:sz w:val="24"/>
          <w:szCs w:val="24"/>
        </w:rPr>
        <w:t xml:space="preserve">zabezpečenie </w:t>
      </w:r>
      <w:r w:rsidR="00C3525A" w:rsidRPr="00C3525A">
        <w:rPr>
          <w:rFonts w:ascii="Times New Roman" w:hAnsi="Times New Roman"/>
          <w:bCs/>
          <w:sz w:val="24"/>
          <w:szCs w:val="24"/>
        </w:rPr>
        <w:t>monitorovania informačného systému pre správu registratúry</w:t>
      </w:r>
      <w:r w:rsidR="00000EEB">
        <w:rPr>
          <w:rFonts w:ascii="Times New Roman" w:hAnsi="Times New Roman"/>
          <w:bCs/>
          <w:sz w:val="24"/>
          <w:szCs w:val="24"/>
        </w:rPr>
        <w:t>,</w:t>
      </w:r>
      <w:r w:rsidR="00D111C1" w:rsidRPr="004259F3">
        <w:rPr>
          <w:rFonts w:ascii="Times New Roman" w:hAnsi="Times New Roman"/>
          <w:sz w:val="24"/>
          <w:szCs w:val="24"/>
        </w:rPr>
        <w:t xml:space="preserve"> </w:t>
      </w:r>
      <w:r w:rsidR="00000EEB">
        <w:rPr>
          <w:rFonts w:ascii="Times New Roman" w:hAnsi="Times New Roman"/>
          <w:sz w:val="24"/>
          <w:szCs w:val="24"/>
        </w:rPr>
        <w:t>ako je uvedené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7C0323BF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 w:rsidRPr="00266AFB">
        <w:rPr>
          <w:rFonts w:ascii="Times New Roman" w:hAnsi="Times New Roman"/>
          <w:b/>
          <w:sz w:val="24"/>
          <w:szCs w:val="24"/>
        </w:rPr>
        <w:t xml:space="preserve">do </w:t>
      </w:r>
      <w:r w:rsidR="00266AFB" w:rsidRPr="00266AFB">
        <w:rPr>
          <w:rFonts w:ascii="Times New Roman" w:hAnsi="Times New Roman"/>
          <w:b/>
          <w:sz w:val="24"/>
          <w:szCs w:val="24"/>
        </w:rPr>
        <w:t>5</w:t>
      </w:r>
      <w:r w:rsidR="00DB3E47" w:rsidRPr="00266AFB">
        <w:rPr>
          <w:rFonts w:ascii="Times New Roman" w:hAnsi="Times New Roman"/>
          <w:b/>
          <w:sz w:val="24"/>
          <w:szCs w:val="24"/>
        </w:rPr>
        <w:t xml:space="preserve"> kalendárnych dní od nadobudnutia účinnosti Zmluvy</w:t>
      </w:r>
      <w:r w:rsidR="004E0054">
        <w:rPr>
          <w:rFonts w:ascii="Times New Roman" w:hAnsi="Times New Roman"/>
          <w:sz w:val="24"/>
          <w:szCs w:val="24"/>
        </w:rPr>
        <w:t>, pričom doba platnosti podpory licencií je uvedená v prílohe.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>bezodkladne po uzatvorení zml</w:t>
      </w:r>
      <w:bookmarkStart w:id="0" w:name="_GoBack"/>
      <w:bookmarkEnd w:id="0"/>
      <w:r w:rsidR="00F61CD3" w:rsidRPr="0039112F">
        <w:rPr>
          <w:rFonts w:ascii="Times New Roman" w:hAnsi="Times New Roman"/>
          <w:sz w:val="24"/>
          <w:szCs w:val="24"/>
        </w:rPr>
        <w:t xml:space="preserve">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48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4105"/>
        <w:gridCol w:w="1554"/>
        <w:gridCol w:w="2415"/>
        <w:gridCol w:w="1695"/>
        <w:gridCol w:w="2127"/>
      </w:tblGrid>
      <w:tr w:rsidR="000470C7" w:rsidRPr="00F93997" w14:paraId="0D895B96" w14:textId="77777777" w:rsidTr="00002F5E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0470C7" w:rsidRPr="00F93997" w:rsidRDefault="000470C7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6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0470C7" w:rsidRPr="00F93997" w:rsidRDefault="000470C7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0A403397" w:rsidR="000470C7" w:rsidRPr="00F93997" w:rsidRDefault="000470C7" w:rsidP="00A45394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licencií /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17E7C862" w:rsidR="000470C7" w:rsidRPr="00F93997" w:rsidRDefault="000470C7" w:rsidP="00002F5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="00002F5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typu per user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/ 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0470C7" w:rsidRPr="00F93997" w:rsidRDefault="000470C7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5CBEDA48" w:rsidR="000470C7" w:rsidRPr="00F93997" w:rsidRDefault="000470C7" w:rsidP="00002F5E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</w:t>
            </w:r>
            <w:r w:rsidR="00002F5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.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ceny za položku a 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="00002F5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typu per user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/ licencií,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potrebné zabezpečiť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0470C7" w:rsidRPr="00F93997" w14:paraId="2BDBD150" w14:textId="77777777" w:rsidTr="00002F5E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62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5B43" w14:textId="77777777" w:rsidR="00CF19DA" w:rsidRPr="00CF19DA" w:rsidRDefault="00CF19DA" w:rsidP="00CF19DA">
            <w:pPr>
              <w:spacing w:after="120" w:line="240" w:lineRule="auto"/>
              <w:ind w:left="19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F19DA">
              <w:rPr>
                <w:rFonts w:ascii="Times New Roman" w:eastAsiaTheme="minorHAnsi" w:hAnsi="Times New Roman"/>
                <w:color w:val="000000"/>
              </w:rPr>
              <w:t xml:space="preserve">Nákup nových licencií. Služba má poskytovať analyticko-vývojársky monitorovací nástroj pre systém ESSR (informačný systém pre správu registratúry). </w:t>
            </w:r>
          </w:p>
          <w:p w14:paraId="426AF547" w14:textId="77777777" w:rsidR="00CF19DA" w:rsidRPr="00CF19DA" w:rsidRDefault="00CF19DA" w:rsidP="00CF19DA">
            <w:pPr>
              <w:spacing w:after="120" w:line="240" w:lineRule="auto"/>
              <w:ind w:left="19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F19DA">
              <w:rPr>
                <w:rFonts w:ascii="Times New Roman" w:eastAsiaTheme="minorHAnsi" w:hAnsi="Times New Roman"/>
                <w:color w:val="000000"/>
              </w:rPr>
              <w:t xml:space="preserve">Umožniť monitorovať alokované HW prostriedky (zaplnenie diskov, vyťaženie pamäte RAM, alokácia CPU a pod.), odozvy systému (priemerné odozvy systému pre koncových používateľov alebo integračné volania, odozvy nad alebo pod určitú hodnotu, odozvy End-to-End a pod.), dostupnosť vlastných ale aj externých rozhraní. </w:t>
            </w:r>
          </w:p>
          <w:p w14:paraId="1C5079C4" w14:textId="77777777" w:rsidR="00CF19DA" w:rsidRPr="00CF19DA" w:rsidRDefault="00CF19DA" w:rsidP="00CF19DA">
            <w:pPr>
              <w:spacing w:after="120" w:line="240" w:lineRule="auto"/>
              <w:ind w:left="19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F19DA">
              <w:rPr>
                <w:rFonts w:ascii="Times New Roman" w:eastAsiaTheme="minorHAnsi" w:hAnsi="Times New Roman"/>
                <w:color w:val="000000"/>
              </w:rPr>
              <w:t xml:space="preserve">Monitorovať prácu jednotlivých používateľov v systéme až na úroveň RPC volaní jednotlivých serverov medzi sebou pri spracovaní požiadavky, alebo až na úroveň databázového dopytu. </w:t>
            </w:r>
          </w:p>
          <w:p w14:paraId="565C06EE" w14:textId="77777777" w:rsidR="00CF19DA" w:rsidRPr="00CF19DA" w:rsidRDefault="00CF19DA" w:rsidP="00CF19DA">
            <w:pPr>
              <w:spacing w:after="120" w:line="240" w:lineRule="auto"/>
              <w:ind w:left="19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F19DA">
              <w:rPr>
                <w:rFonts w:ascii="Times New Roman" w:eastAsiaTheme="minorHAnsi" w:hAnsi="Times New Roman"/>
                <w:color w:val="000000"/>
              </w:rPr>
              <w:t xml:space="preserve">Vďaka týmto vlastnostiam včas odchytiť stavy jednotlivých komponentov systému ESSR, ktorých následkom by mohol byť až celkový výpadok. </w:t>
            </w:r>
          </w:p>
          <w:p w14:paraId="2382B12E" w14:textId="448F2321" w:rsidR="00CF19DA" w:rsidRPr="00CF19DA" w:rsidRDefault="00CF19DA" w:rsidP="00CF19DA">
            <w:pPr>
              <w:spacing w:after="120" w:line="240" w:lineRule="auto"/>
              <w:ind w:left="19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F19DA">
              <w:rPr>
                <w:rFonts w:ascii="Times New Roman" w:eastAsiaTheme="minorHAnsi" w:hAnsi="Times New Roman"/>
                <w:color w:val="000000"/>
              </w:rPr>
              <w:t>Monitorovanie celého systém</w:t>
            </w:r>
            <w:r w:rsidR="00F0067A">
              <w:rPr>
                <w:rFonts w:ascii="Times New Roman" w:eastAsiaTheme="minorHAnsi" w:hAnsi="Times New Roman"/>
                <w:color w:val="000000"/>
              </w:rPr>
              <w:t>u</w:t>
            </w:r>
            <w:r w:rsidRPr="00CF19DA">
              <w:rPr>
                <w:rFonts w:ascii="Times New Roman" w:eastAsiaTheme="minorHAnsi" w:hAnsi="Times New Roman"/>
                <w:color w:val="000000"/>
              </w:rPr>
              <w:t xml:space="preserve"> ako po systémovej, tak aj po aplikačnej stránke, čoho výsledok je vyššia miera dostupnosti systému ESSR. </w:t>
            </w:r>
          </w:p>
          <w:p w14:paraId="00A81BDC" w14:textId="77777777" w:rsidR="00A45394" w:rsidRDefault="00CF19DA" w:rsidP="00CF19DA">
            <w:pPr>
              <w:spacing w:after="120" w:line="240" w:lineRule="auto"/>
              <w:ind w:left="19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F19DA">
              <w:rPr>
                <w:rFonts w:ascii="Times New Roman" w:eastAsiaTheme="minorHAnsi" w:hAnsi="Times New Roman"/>
                <w:color w:val="000000"/>
              </w:rPr>
              <w:t>V prípade nahlásených incidentov od koncových používateľov, ale aj integrujúcich sa systémov, vedieť z telemetrie vyčítať akým spôsobom daný používateľ pracoval, s ktorými objektami narábal a tak vyhodnotiť, či zvolený spôsob práce je správny, prípadne či je možné daný stav opraviť, zlepšiť, zmeniť.</w:t>
            </w:r>
          </w:p>
          <w:p w14:paraId="5B44871B" w14:textId="20D3A943" w:rsidR="00CF19DA" w:rsidRPr="001E6E64" w:rsidRDefault="00CF19DA" w:rsidP="00CF19DA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A45394">
              <w:rPr>
                <w:rFonts w:ascii="Times New Roman" w:eastAsiaTheme="minorHAnsi" w:hAnsi="Times New Roman"/>
                <w:i/>
                <w:color w:val="FF0000"/>
              </w:rPr>
              <w:t>Pozn.: Konkrétny názov licencie bude doplnený podľa ponuky úspešného uchádzača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FEACD" w14:textId="6445A079" w:rsidR="000470C7" w:rsidRPr="00A45394" w:rsidRDefault="00A45394" w:rsidP="00A45394">
            <w:pPr>
              <w:pStyle w:val="Odsekzoznamu"/>
              <w:spacing w:before="120" w:after="120" w:line="240" w:lineRule="auto"/>
              <w:ind w:left="62" w:firstLine="567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---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12F3D0D7" w:rsidR="000470C7" w:rsidRPr="00F93997" w:rsidRDefault="00A45394" w:rsidP="00E96A1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  <w:r w:rsidR="00CF19DA">
              <w:rPr>
                <w:rFonts w:ascii="Times New Roman" w:eastAsiaTheme="minorHAnsi" w:hAnsi="Times New Roman"/>
                <w:color w:val="000000"/>
              </w:rPr>
              <w:t>320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470C7" w:rsidRPr="00F93997" w14:paraId="2DC5106D" w14:textId="77777777" w:rsidTr="00002F5E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08C28" w14:textId="5C5DF074" w:rsidR="000470C7" w:rsidRDefault="00CF19DA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6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4416" w14:textId="77777777" w:rsidR="00CF19DA" w:rsidRPr="00CF19DA" w:rsidRDefault="00CF19DA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CF19DA">
              <w:rPr>
                <w:rFonts w:ascii="Times New Roman" w:eastAsiaTheme="minorHAnsi" w:hAnsi="Times New Roman"/>
              </w:rPr>
              <w:t>Podpora pre licencie položky č. 1 na obdobie od 01.01.2023 do 31.12.2023 zahŕňa:</w:t>
            </w:r>
          </w:p>
          <w:p w14:paraId="15CAEE70" w14:textId="77777777" w:rsidR="00CF19DA" w:rsidRPr="00CF19DA" w:rsidRDefault="00CF19DA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CF19DA">
              <w:rPr>
                <w:rFonts w:ascii="Times New Roman" w:eastAsiaTheme="minorHAnsi" w:hAnsi="Times New Roman"/>
              </w:rPr>
              <w:t xml:space="preserve">- nárok na aktuálne verzie a </w:t>
            </w:r>
            <w:proofErr w:type="spellStart"/>
            <w:r w:rsidRPr="00CF19DA">
              <w:rPr>
                <w:rFonts w:ascii="Times New Roman" w:eastAsiaTheme="minorHAnsi" w:hAnsi="Times New Roman"/>
              </w:rPr>
              <w:t>release</w:t>
            </w:r>
            <w:proofErr w:type="spellEnd"/>
            <w:r w:rsidRPr="00CF19DA">
              <w:rPr>
                <w:rFonts w:ascii="Times New Roman" w:eastAsiaTheme="minorHAnsi" w:hAnsi="Times New Roman"/>
              </w:rPr>
              <w:t xml:space="preserve"> základného softvérového produktu,</w:t>
            </w:r>
          </w:p>
          <w:p w14:paraId="252A0E7D" w14:textId="77777777" w:rsidR="00CF19DA" w:rsidRPr="00CF19DA" w:rsidRDefault="00CF19DA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CF19DA">
              <w:rPr>
                <w:rFonts w:ascii="Times New Roman" w:eastAsiaTheme="minorHAnsi" w:hAnsi="Times New Roman"/>
              </w:rPr>
              <w:t>- sprístupnenie programov  na nosiči dát s návodom na inštaláciu a popisom vecných a technických zmien vo vzťahu k hlavným funkciám systému,</w:t>
            </w:r>
          </w:p>
          <w:p w14:paraId="597A960B" w14:textId="77777777" w:rsidR="00CF19DA" w:rsidRPr="00CF19DA" w:rsidRDefault="00CF19DA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CF19DA">
              <w:rPr>
                <w:rFonts w:ascii="Times New Roman" w:eastAsiaTheme="minorHAnsi" w:hAnsi="Times New Roman"/>
              </w:rPr>
              <w:t>- nové vydania a dodatky základného softvérového produktu budú  ponúknuté v primeranom časovom rozpätí podľa ich dispozície,</w:t>
            </w:r>
          </w:p>
          <w:p w14:paraId="5D27B7C8" w14:textId="4EDB0C85" w:rsidR="00A45394" w:rsidRDefault="00CF19DA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CF19DA">
              <w:rPr>
                <w:rFonts w:ascii="Times New Roman" w:eastAsiaTheme="minorHAnsi" w:hAnsi="Times New Roman"/>
              </w:rPr>
              <w:t>- najnovšie softvérové informácie, ktoré umožnia korektné využitie základného softvérového produktu</w:t>
            </w:r>
          </w:p>
          <w:p w14:paraId="30D881D1" w14:textId="4AFD0669" w:rsidR="00A45394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A45394">
              <w:rPr>
                <w:rFonts w:ascii="Times New Roman" w:eastAsiaTheme="minorHAnsi" w:hAnsi="Times New Roman"/>
                <w:i/>
                <w:color w:val="FF0000"/>
              </w:rPr>
              <w:t xml:space="preserve">Pozn.: Konkrétny názov </w:t>
            </w:r>
            <w:r>
              <w:rPr>
                <w:rFonts w:ascii="Times New Roman" w:eastAsiaTheme="minorHAnsi" w:hAnsi="Times New Roman"/>
                <w:i/>
                <w:color w:val="FF0000"/>
              </w:rPr>
              <w:t>podpory</w:t>
            </w:r>
            <w:r w:rsidRPr="00A45394">
              <w:rPr>
                <w:rFonts w:ascii="Times New Roman" w:eastAsiaTheme="minorHAnsi" w:hAnsi="Times New Roman"/>
                <w:i/>
                <w:color w:val="FF0000"/>
              </w:rPr>
              <w:t xml:space="preserve"> bude doplnený podľa ponuky úspešného uchádzača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  <w:p w14:paraId="316DB1E6" w14:textId="60FBA43C" w:rsidR="00A45394" w:rsidRPr="00354F28" w:rsidRDefault="00A45394" w:rsidP="00A45394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E9673" w14:textId="263F8E67" w:rsidR="000470C7" w:rsidRDefault="00CF19DA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12 </w:t>
            </w:r>
            <w:r w:rsidR="00A45394">
              <w:rPr>
                <w:rFonts w:ascii="Times New Roman" w:eastAsiaTheme="minorHAnsi" w:hAnsi="Times New Roman"/>
                <w:color w:val="000000"/>
              </w:rPr>
              <w:t>mesiacov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A2C4" w14:textId="4A111535" w:rsidR="000470C7" w:rsidRDefault="00CF19DA" w:rsidP="00E96A1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  <w:r w:rsidR="00A45394">
              <w:rPr>
                <w:rFonts w:ascii="Times New Roman" w:eastAsiaTheme="minorHAnsi" w:hAnsi="Times New Roman"/>
                <w:color w:val="000000"/>
              </w:rPr>
              <w:t>3</w:t>
            </w:r>
            <w:r>
              <w:rPr>
                <w:rFonts w:ascii="Times New Roman" w:eastAsiaTheme="minorHAnsi" w:hAnsi="Times New Roman"/>
                <w:color w:val="000000"/>
              </w:rPr>
              <w:t>20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0614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150B" w14:textId="77777777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470C7" w:rsidRPr="00F93997" w14:paraId="010C4C65" w14:textId="04860916" w:rsidTr="00CF19DA">
        <w:trPr>
          <w:gridAfter w:val="3"/>
          <w:wAfter w:w="6237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25173D6D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470C7" w:rsidRPr="00F93997" w14:paraId="3B052AD5" w14:textId="079C4D6D" w:rsidTr="00CF19DA">
        <w:trPr>
          <w:gridAfter w:val="3"/>
          <w:wAfter w:w="6237" w:type="dxa"/>
          <w:trHeight w:val="55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12530560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79423E4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AE5A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16B5CF3E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66AFB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66AFB">
      <w:rPr>
        <w:rFonts w:ascii="Times New Roman" w:hAnsi="Times New Roman"/>
        <w:bCs/>
        <w:noProof/>
      </w:rPr>
      <w:t>13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266AF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266AFB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266A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3565E39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266AF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59801B34" w:rsidR="00B74E30" w:rsidRPr="00B74E30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 w:rsidR="000470C7">
      <w:rPr>
        <w:rFonts w:ascii="Times New Roman" w:hAnsi="Times New Roman"/>
        <w:b/>
        <w:lang w:val="sk-SK"/>
      </w:rPr>
      <w:t xml:space="preserve">licencií a </w:t>
    </w:r>
    <w:r>
      <w:rPr>
        <w:rFonts w:ascii="Times New Roman" w:hAnsi="Times New Roman"/>
        <w:b/>
      </w:rPr>
      <w:t xml:space="preserve">podpory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266A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E07AB"/>
    <w:multiLevelType w:val="hybridMultilevel"/>
    <w:tmpl w:val="1876B7D8"/>
    <w:lvl w:ilvl="0" w:tplc="15329D7C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0"/>
  </w:num>
  <w:num w:numId="2">
    <w:abstractNumId w:val="48"/>
  </w:num>
  <w:num w:numId="3">
    <w:abstractNumId w:val="5"/>
  </w:num>
  <w:num w:numId="4">
    <w:abstractNumId w:val="39"/>
  </w:num>
  <w:num w:numId="5">
    <w:abstractNumId w:val="23"/>
  </w:num>
  <w:num w:numId="6">
    <w:abstractNumId w:val="41"/>
  </w:num>
  <w:num w:numId="7">
    <w:abstractNumId w:val="9"/>
  </w:num>
  <w:num w:numId="8">
    <w:abstractNumId w:val="45"/>
  </w:num>
  <w:num w:numId="9">
    <w:abstractNumId w:val="17"/>
  </w:num>
  <w:num w:numId="10">
    <w:abstractNumId w:val="40"/>
  </w:num>
  <w:num w:numId="11">
    <w:abstractNumId w:val="11"/>
  </w:num>
  <w:num w:numId="12">
    <w:abstractNumId w:val="27"/>
  </w:num>
  <w:num w:numId="13">
    <w:abstractNumId w:val="38"/>
  </w:num>
  <w:num w:numId="14">
    <w:abstractNumId w:val="21"/>
  </w:num>
  <w:num w:numId="15">
    <w:abstractNumId w:val="47"/>
  </w:num>
  <w:num w:numId="16">
    <w:abstractNumId w:val="30"/>
  </w:num>
  <w:num w:numId="17">
    <w:abstractNumId w:val="26"/>
  </w:num>
  <w:num w:numId="18">
    <w:abstractNumId w:val="10"/>
  </w:num>
  <w:num w:numId="19">
    <w:abstractNumId w:val="18"/>
  </w:num>
  <w:num w:numId="20">
    <w:abstractNumId w:val="7"/>
  </w:num>
  <w:num w:numId="21">
    <w:abstractNumId w:val="33"/>
  </w:num>
  <w:num w:numId="22">
    <w:abstractNumId w:val="2"/>
  </w:num>
  <w:num w:numId="23">
    <w:abstractNumId w:val="4"/>
  </w:num>
  <w:num w:numId="24">
    <w:abstractNumId w:val="37"/>
  </w:num>
  <w:num w:numId="25">
    <w:abstractNumId w:val="12"/>
  </w:num>
  <w:num w:numId="26">
    <w:abstractNumId w:val="46"/>
  </w:num>
  <w:num w:numId="27">
    <w:abstractNumId w:val="34"/>
  </w:num>
  <w:num w:numId="28">
    <w:abstractNumId w:val="28"/>
  </w:num>
  <w:num w:numId="29">
    <w:abstractNumId w:val="36"/>
  </w:num>
  <w:num w:numId="30">
    <w:abstractNumId w:val="32"/>
  </w:num>
  <w:num w:numId="31">
    <w:abstractNumId w:val="29"/>
  </w:num>
  <w:num w:numId="32">
    <w:abstractNumId w:val="13"/>
  </w:num>
  <w:num w:numId="33">
    <w:abstractNumId w:val="0"/>
  </w:num>
  <w:num w:numId="34">
    <w:abstractNumId w:val="43"/>
  </w:num>
  <w:num w:numId="35">
    <w:abstractNumId w:val="22"/>
  </w:num>
  <w:num w:numId="36">
    <w:abstractNumId w:val="14"/>
  </w:num>
  <w:num w:numId="37">
    <w:abstractNumId w:val="25"/>
  </w:num>
  <w:num w:numId="38">
    <w:abstractNumId w:val="42"/>
  </w:num>
  <w:num w:numId="39">
    <w:abstractNumId w:val="16"/>
  </w:num>
  <w:num w:numId="40">
    <w:abstractNumId w:val="19"/>
  </w:num>
  <w:num w:numId="41">
    <w:abstractNumId w:val="1"/>
  </w:num>
  <w:num w:numId="42">
    <w:abstractNumId w:val="8"/>
  </w:num>
  <w:num w:numId="43">
    <w:abstractNumId w:val="15"/>
  </w:num>
  <w:num w:numId="44">
    <w:abstractNumId w:val="24"/>
  </w:num>
  <w:num w:numId="45">
    <w:abstractNumId w:val="44"/>
  </w:num>
  <w:num w:numId="46">
    <w:abstractNumId w:val="6"/>
  </w:num>
  <w:num w:numId="47">
    <w:abstractNumId w:val="35"/>
  </w:num>
  <w:num w:numId="48">
    <w:abstractNumId w:val="31"/>
  </w:num>
  <w:num w:numId="49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0EEB"/>
    <w:rsid w:val="00001679"/>
    <w:rsid w:val="00001BFA"/>
    <w:rsid w:val="000025C9"/>
    <w:rsid w:val="00002D74"/>
    <w:rsid w:val="00002F5E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470C7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3FB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21DA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AFB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28"/>
    <w:rsid w:val="00354F9F"/>
    <w:rsid w:val="0035667E"/>
    <w:rsid w:val="003569F9"/>
    <w:rsid w:val="0035769E"/>
    <w:rsid w:val="00363470"/>
    <w:rsid w:val="00366C19"/>
    <w:rsid w:val="00371C59"/>
    <w:rsid w:val="00380DA3"/>
    <w:rsid w:val="00381182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675B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0054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1B3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2F1D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533A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2C9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394"/>
    <w:rsid w:val="00A45A27"/>
    <w:rsid w:val="00A474D7"/>
    <w:rsid w:val="00A514AA"/>
    <w:rsid w:val="00A52129"/>
    <w:rsid w:val="00A53A7E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E71C6"/>
    <w:rsid w:val="00AF0BC1"/>
    <w:rsid w:val="00AF224D"/>
    <w:rsid w:val="00AF273B"/>
    <w:rsid w:val="00AF3096"/>
    <w:rsid w:val="00AF3E78"/>
    <w:rsid w:val="00AF59FC"/>
    <w:rsid w:val="00B00F40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1C92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25A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19DA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37E6F"/>
    <w:rsid w:val="00D43396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5DE2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6A1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C5F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067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4ABD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E3B733A-2324-4B15-AE4C-7D046374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3891</Words>
  <Characters>22180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2022-11-21T10:34:00Z</dcterms:created>
  <dcterms:modified xsi:type="dcterms:W3CDTF">2022-11-22T08:26:00Z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