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E9EA0" w14:textId="608955D9" w:rsidR="000B5E9A" w:rsidRPr="007C204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D43396">
        <w:rPr>
          <w:rFonts w:ascii="Times New Roman" w:hAnsi="Times New Roman"/>
          <w:b/>
          <w:sz w:val="36"/>
          <w:szCs w:val="36"/>
        </w:rPr>
        <w:t xml:space="preserve">licencií a </w:t>
      </w:r>
      <w:r w:rsidR="008936AE">
        <w:rPr>
          <w:rFonts w:ascii="Times New Roman" w:hAnsi="Times New Roman"/>
          <w:b/>
          <w:sz w:val="36"/>
          <w:szCs w:val="36"/>
        </w:rPr>
        <w:t>podpory</w:t>
      </w:r>
    </w:p>
    <w:p w14:paraId="506225C7" w14:textId="77777777" w:rsidR="00531E4E" w:rsidRDefault="00E479DA" w:rsidP="00531E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46322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FA48B2">
        <w:rPr>
          <w:rFonts w:ascii="Times New Roman" w:hAnsi="Times New Roman"/>
          <w:b/>
          <w:sz w:val="24"/>
          <w:szCs w:val="24"/>
        </w:rPr>
        <w:t> 269 ods. 2</w:t>
      </w:r>
      <w:r w:rsidR="00FA48B2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531E4E">
        <w:rPr>
          <w:rFonts w:ascii="Times New Roman" w:hAnsi="Times New Roman"/>
          <w:b/>
          <w:sz w:val="24"/>
          <w:szCs w:val="24"/>
        </w:rPr>
        <w:t>§ </w:t>
      </w:r>
      <w:r w:rsidR="006E3BAE">
        <w:rPr>
          <w:rFonts w:ascii="Times New Roman" w:hAnsi="Times New Roman"/>
          <w:b/>
          <w:sz w:val="24"/>
          <w:szCs w:val="24"/>
        </w:rPr>
        <w:t>58</w:t>
      </w:r>
      <w:r w:rsidR="00531E4E">
        <w:rPr>
          <w:rFonts w:ascii="Times New Roman" w:hAnsi="Times New Roman"/>
          <w:b/>
          <w:sz w:val="24"/>
          <w:szCs w:val="24"/>
        </w:rPr>
        <w:t> </w:t>
      </w:r>
      <w:r w:rsidR="006E3BAE">
        <w:rPr>
          <w:rFonts w:ascii="Times New Roman" w:hAnsi="Times New Roman"/>
          <w:b/>
          <w:sz w:val="24"/>
          <w:szCs w:val="24"/>
        </w:rPr>
        <w:t>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</w:p>
    <w:p w14:paraId="23683CBD" w14:textId="5897BE08" w:rsidR="0082489D" w:rsidRPr="00096247" w:rsidRDefault="00A163A8" w:rsidP="0028724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(ďalej len „zákon o verejnom obstarávaní“)</w:t>
      </w:r>
    </w:p>
    <w:p w14:paraId="70EEE59D" w14:textId="77777777"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17EBB8C4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91BED14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4F62E2BE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1FA181F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1204C77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5C65D48F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49985D19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7538582D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D9BBD39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2AB6E563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458ACADA" w14:textId="77777777" w:rsidR="001A4E39" w:rsidRDefault="00E479DA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</w:p>
    <w:p w14:paraId="7894D666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0F1F2A8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5CF6C436" w14:textId="77777777" w:rsidR="00A14522" w:rsidRPr="00096247" w:rsidRDefault="00A14522" w:rsidP="00126C4A">
      <w:pPr>
        <w:widowControl w:val="0"/>
        <w:autoSpaceDE w:val="0"/>
        <w:autoSpaceDN w:val="0"/>
        <w:adjustRightInd w:val="0"/>
        <w:spacing w:after="12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FA48B2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78FED397" w14:textId="1106FA3A" w:rsidR="00A14522" w:rsidRPr="00096247" w:rsidRDefault="00A14522" w:rsidP="00126C4A">
      <w:pPr>
        <w:tabs>
          <w:tab w:val="center" w:pos="4535"/>
        </w:tabs>
        <w:spacing w:after="12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</w:p>
    <w:p w14:paraId="4DD8A61C" w14:textId="77777777" w:rsidR="00A14522" w:rsidRPr="00477E2D" w:rsidRDefault="00FA48B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0B695A8A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63C315DB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4E2A5577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91D8714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0CD3E3BC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37D45221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75F839E" w14:textId="4795DACE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</w:p>
    <w:p w14:paraId="5649371D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51D430E5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5464A778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34797E1C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33E7D80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56846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FA48B2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7222BF7B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3A18BDE1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483753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623945AA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4A327E4C" w14:textId="3DF03316" w:rsidR="00126C4A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42E4B0CD" w14:textId="77777777" w:rsidR="00126C4A" w:rsidRDefault="00126C4A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bCs/>
          <w:sz w:val="24"/>
          <w:szCs w:val="24"/>
          <w:lang w:eastAsia="sk-SK"/>
        </w:rPr>
        <w:br w:type="page"/>
      </w:r>
    </w:p>
    <w:p w14:paraId="17295E81" w14:textId="77777777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291B3024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3128E2D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9E5178F" w14:textId="4CD0E29D" w:rsidR="001D3D93" w:rsidRPr="006E3BAE" w:rsidRDefault="00F8685A" w:rsidP="00D43396">
      <w:pPr>
        <w:numPr>
          <w:ilvl w:val="0"/>
          <w:numId w:val="1"/>
        </w:numPr>
        <w:spacing w:after="120"/>
        <w:ind w:left="709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1D3D93" w:rsidRPr="009D33F6">
        <w:rPr>
          <w:rFonts w:ascii="Times New Roman" w:hAnsi="Times New Roman"/>
          <w:i/>
          <w:sz w:val="24"/>
          <w:szCs w:val="24"/>
        </w:rPr>
        <w:t>„</w:t>
      </w:r>
      <w:r w:rsidR="009176AE" w:rsidRPr="00B8119E">
        <w:rPr>
          <w:rFonts w:ascii="Times New Roman" w:hAnsi="Times New Roman"/>
          <w:i/>
          <w:sz w:val="24"/>
          <w:szCs w:val="24"/>
        </w:rPr>
        <w:t>Nákup licencií na používanie softvérových produktov a systémov vrátane súvisiacej podpory</w:t>
      </w:r>
      <w:r w:rsidR="0079080B" w:rsidRPr="00B8119E">
        <w:rPr>
          <w:rFonts w:ascii="Times New Roman" w:hAnsi="Times New Roman"/>
          <w:i/>
          <w:sz w:val="24"/>
          <w:szCs w:val="24"/>
        </w:rPr>
        <w:t>,</w:t>
      </w:r>
      <w:r w:rsidR="001D3D93" w:rsidRPr="009D33F6">
        <w:rPr>
          <w:rFonts w:ascii="Times New Roman" w:hAnsi="Times New Roman"/>
          <w:i/>
          <w:sz w:val="24"/>
          <w:szCs w:val="24"/>
        </w:rPr>
        <w:t>“</w:t>
      </w:r>
      <w:r w:rsidR="0079080B" w:rsidRPr="009D33F6">
        <w:rPr>
          <w:rFonts w:ascii="Times New Roman" w:hAnsi="Times New Roman"/>
          <w:i/>
          <w:sz w:val="24"/>
          <w:szCs w:val="24"/>
        </w:rPr>
        <w:t xml:space="preserve"> zákazka </w:t>
      </w:r>
      <w:r w:rsidR="000853FB" w:rsidRPr="000853FB">
        <w:rPr>
          <w:rFonts w:ascii="Times New Roman" w:hAnsi="Times New Roman"/>
          <w:bCs/>
          <w:i/>
          <w:noProof/>
          <w:sz w:val="24"/>
          <w:szCs w:val="24"/>
        </w:rPr>
        <w:t>„Nákup a podpora licencií na zabezpečenie monitorovania informačného systému pre správu registratúry“</w:t>
      </w:r>
      <w:r w:rsidR="00D43396">
        <w:rPr>
          <w:rFonts w:ascii="Times New Roman" w:hAnsi="Times New Roman"/>
          <w:bCs/>
          <w:i/>
          <w:noProof/>
          <w:sz w:val="24"/>
          <w:szCs w:val="24"/>
        </w:rPr>
        <w:t xml:space="preserve"> </w:t>
      </w:r>
      <w:r w:rsidR="0079080B" w:rsidRPr="009D33F6">
        <w:rPr>
          <w:rFonts w:ascii="Times New Roman" w:hAnsi="Times New Roman"/>
          <w:bCs/>
          <w:i/>
          <w:noProof/>
          <w:sz w:val="24"/>
          <w:szCs w:val="24"/>
        </w:rPr>
        <w:t xml:space="preserve">- výzva na predkladanie ponúk č. </w:t>
      </w:r>
      <w:r w:rsidR="000853FB">
        <w:rPr>
          <w:rFonts w:ascii="Times New Roman" w:hAnsi="Times New Roman"/>
          <w:bCs/>
          <w:i/>
          <w:noProof/>
          <w:sz w:val="24"/>
          <w:szCs w:val="24"/>
        </w:rPr>
        <w:t>10</w:t>
      </w:r>
      <w:r w:rsidR="006E3BAE" w:rsidRPr="009D33F6">
        <w:rPr>
          <w:rFonts w:ascii="Times New Roman" w:hAnsi="Times New Roman"/>
          <w:i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>vo Vestníku verejného obstarávania č.</w:t>
      </w:r>
      <w:r w:rsidR="003E376D" w:rsidRPr="003E376D">
        <w:rPr>
          <w:rFonts w:ascii="Times New Roman" w:hAnsi="Times New Roman"/>
          <w:bCs/>
          <w:noProof/>
        </w:rPr>
        <w:t xml:space="preserve"> </w:t>
      </w:r>
      <w:r w:rsidR="003E376D" w:rsidRPr="00BD6885">
        <w:rPr>
          <w:rFonts w:ascii="Times New Roman" w:hAnsi="Times New Roman"/>
          <w:bCs/>
          <w:noProof/>
        </w:rPr>
        <w:t>250</w:t>
      </w:r>
      <w:r w:rsidR="00C3443C" w:rsidRPr="009D33F6">
        <w:rPr>
          <w:rFonts w:ascii="Times New Roman" w:hAnsi="Times New Roman"/>
          <w:sz w:val="24"/>
          <w:szCs w:val="24"/>
        </w:rPr>
        <w:t>/202</w:t>
      </w:r>
      <w:r w:rsidR="009176AE">
        <w:rPr>
          <w:rFonts w:ascii="Times New Roman" w:hAnsi="Times New Roman"/>
          <w:sz w:val="24"/>
          <w:szCs w:val="24"/>
        </w:rPr>
        <w:t>1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3E376D">
        <w:rPr>
          <w:rFonts w:ascii="Times New Roman" w:hAnsi="Times New Roman"/>
          <w:sz w:val="24"/>
          <w:szCs w:val="24"/>
        </w:rPr>
        <w:t>02</w:t>
      </w:r>
      <w:r w:rsidR="00C3443C" w:rsidRPr="009D33F6">
        <w:rPr>
          <w:rFonts w:ascii="Times New Roman" w:hAnsi="Times New Roman"/>
          <w:sz w:val="24"/>
          <w:szCs w:val="24"/>
        </w:rPr>
        <w:t>.</w:t>
      </w:r>
      <w:r w:rsidR="003E376D">
        <w:rPr>
          <w:rFonts w:ascii="Times New Roman" w:hAnsi="Times New Roman"/>
          <w:sz w:val="24"/>
          <w:szCs w:val="24"/>
        </w:rPr>
        <w:t>11</w:t>
      </w:r>
      <w:r w:rsidR="00C3443C" w:rsidRPr="009D33F6">
        <w:rPr>
          <w:rFonts w:ascii="Times New Roman" w:hAnsi="Times New Roman"/>
          <w:sz w:val="24"/>
          <w:szCs w:val="24"/>
        </w:rPr>
        <w:t>.202</w:t>
      </w:r>
      <w:r w:rsidR="009176AE">
        <w:rPr>
          <w:rFonts w:ascii="Times New Roman" w:hAnsi="Times New Roman"/>
          <w:sz w:val="24"/>
          <w:szCs w:val="24"/>
        </w:rPr>
        <w:t>1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B74284" w:rsidRPr="00B74284">
        <w:rPr>
          <w:rFonts w:ascii="Times New Roman" w:hAnsi="Times New Roman"/>
          <w:bCs/>
          <w:sz w:val="24"/>
          <w:szCs w:val="24"/>
        </w:rPr>
        <w:t>52182-MUT</w:t>
      </w:r>
      <w:r w:rsidR="00C3443C" w:rsidRPr="009D33F6">
        <w:rPr>
          <w:rFonts w:ascii="Times New Roman" w:hAnsi="Times New Roman"/>
          <w:sz w:val="24"/>
          <w:szCs w:val="24"/>
        </w:rPr>
        <w:t xml:space="preserve">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B74284" w:rsidRPr="00B74284">
        <w:rPr>
          <w:rFonts w:ascii="Times New Roman" w:hAnsi="Times New Roman"/>
          <w:bCs/>
          <w:sz w:val="24"/>
          <w:szCs w:val="24"/>
        </w:rPr>
        <w:t>29.10.2021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B74284" w:rsidRPr="00B74284">
        <w:rPr>
          <w:rFonts w:ascii="Times New Roman" w:hAnsi="Times New Roman"/>
          <w:bCs/>
          <w:sz w:val="24"/>
          <w:szCs w:val="24"/>
        </w:rPr>
        <w:t>2021/S 211-550918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74C5A02A" w14:textId="77777777" w:rsidR="00C2468D" w:rsidRPr="00096247" w:rsidRDefault="00483753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5C9E5594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41460561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36492252" w14:textId="77777777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483753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2EB67397" w14:textId="77777777" w:rsidR="00214C1F" w:rsidRPr="00214C1F" w:rsidRDefault="00483753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287D2C7E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65209FEF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FA47C93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544BEAB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7F77799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2580884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4EF8A6FE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342B35A4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78B5A679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6BC05E40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483753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4DECA57A" w14:textId="77777777" w:rsidR="00896024" w:rsidRDefault="00483753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0A950646" w14:textId="77777777" w:rsidR="00214C1F" w:rsidRPr="00896024" w:rsidRDefault="00214C1F" w:rsidP="00896024">
      <w:pPr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21E73D0" w14:textId="77777777" w:rsidR="00C441DE" w:rsidRPr="00096247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354DB7DF" w14:textId="77777777" w:rsidR="00B90763" w:rsidRDefault="0048375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0193C087" w14:textId="77777777" w:rsidR="00A72F5F" w:rsidRDefault="0048375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</w:p>
    <w:p w14:paraId="1C4DBEB5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6D99DA0D" w14:textId="77777777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A6307E">
        <w:rPr>
          <w:rFonts w:ascii="Times New Roman" w:hAnsi="Times New Roman"/>
          <w:b/>
          <w:sz w:val="24"/>
          <w:szCs w:val="24"/>
        </w:rPr>
        <w:t>dodania</w:t>
      </w:r>
    </w:p>
    <w:p w14:paraId="424F282F" w14:textId="77777777" w:rsidR="00DD6E2D" w:rsidRPr="00ED32EE" w:rsidRDefault="00483753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EE55B7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 w:rsidRPr="00DE2D1B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DE2D1B">
        <w:rPr>
          <w:rFonts w:ascii="Times New Roman" w:hAnsi="Times New Roman"/>
          <w:sz w:val="24"/>
          <w:szCs w:val="24"/>
        </w:rPr>
        <w:t xml:space="preserve"> využívať </w:t>
      </w:r>
      <w:r w:rsidR="001938A9" w:rsidRPr="00DE2D1B">
        <w:rPr>
          <w:rFonts w:ascii="Times New Roman" w:hAnsi="Times New Roman"/>
          <w:sz w:val="24"/>
          <w:szCs w:val="24"/>
        </w:rPr>
        <w:t>Tovar</w:t>
      </w:r>
      <w:r w:rsidR="00ED32EE" w:rsidRPr="00DE2D1B">
        <w:rPr>
          <w:rFonts w:ascii="Times New Roman" w:hAnsi="Times New Roman"/>
          <w:sz w:val="24"/>
          <w:szCs w:val="24"/>
        </w:rPr>
        <w:t xml:space="preserve"> po dobu stanovenú v</w:t>
      </w:r>
      <w:r w:rsidR="00965767" w:rsidRPr="00DE2D1B">
        <w:rPr>
          <w:rFonts w:ascii="Times New Roman" w:hAnsi="Times New Roman"/>
          <w:sz w:val="24"/>
          <w:szCs w:val="24"/>
        </w:rPr>
        <w:t xml:space="preserve"> prílohe</w:t>
      </w:r>
      <w:r w:rsidR="0084401F" w:rsidRPr="00DE2D1B">
        <w:rPr>
          <w:rFonts w:ascii="Times New Roman" w:hAnsi="Times New Roman"/>
          <w:sz w:val="24"/>
          <w:szCs w:val="24"/>
        </w:rPr>
        <w:t> </w:t>
      </w:r>
      <w:r w:rsidR="00965767" w:rsidRPr="00DE2D1B">
        <w:rPr>
          <w:rFonts w:ascii="Times New Roman" w:hAnsi="Times New Roman"/>
          <w:sz w:val="24"/>
          <w:szCs w:val="24"/>
        </w:rPr>
        <w:t>„</w:t>
      </w:r>
      <w:r w:rsidR="007F5702" w:rsidRPr="00DE2D1B">
        <w:rPr>
          <w:rFonts w:ascii="Times New Roman" w:hAnsi="Times New Roman"/>
          <w:sz w:val="24"/>
          <w:szCs w:val="24"/>
        </w:rPr>
        <w:t>Š</w:t>
      </w:r>
      <w:r w:rsidR="00965767" w:rsidRPr="00DE2D1B">
        <w:rPr>
          <w:rFonts w:ascii="Times New Roman" w:hAnsi="Times New Roman"/>
          <w:sz w:val="24"/>
          <w:szCs w:val="24"/>
        </w:rPr>
        <w:t>pecifikácia Tovaru a cenník“ (</w:t>
      </w:r>
      <w:r w:rsidR="00965767" w:rsidRPr="00965767">
        <w:rPr>
          <w:rFonts w:ascii="Times New Roman" w:hAnsi="Times New Roman"/>
          <w:sz w:val="24"/>
          <w:szCs w:val="24"/>
        </w:rPr>
        <w:t>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71C57441" w14:textId="77777777" w:rsidR="00A72B02" w:rsidRDefault="00483753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D35F2">
        <w:rPr>
          <w:rFonts w:ascii="Times New Roman" w:hAnsi="Times New Roman"/>
          <w:sz w:val="24"/>
          <w:szCs w:val="24"/>
        </w:rPr>
        <w:t xml:space="preserve"> podľa </w:t>
      </w:r>
      <w:r w:rsidR="00805506">
        <w:rPr>
          <w:rFonts w:ascii="Times New Roman" w:hAnsi="Times New Roman"/>
          <w:sz w:val="24"/>
          <w:szCs w:val="24"/>
        </w:rPr>
        <w:t>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3F09D202" w14:textId="44A3D43D" w:rsidR="002F62C6" w:rsidRPr="004259F3" w:rsidRDefault="002F62C6" w:rsidP="0071180C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1180C">
        <w:rPr>
          <w:rFonts w:ascii="Times New Roman" w:hAnsi="Times New Roman"/>
          <w:sz w:val="24"/>
          <w:szCs w:val="24"/>
        </w:rPr>
        <w:t xml:space="preserve">Predmetom </w:t>
      </w:r>
      <w:r w:rsidR="008D35F2">
        <w:rPr>
          <w:rFonts w:ascii="Times New Roman" w:hAnsi="Times New Roman"/>
          <w:sz w:val="24"/>
          <w:szCs w:val="24"/>
        </w:rPr>
        <w:t>dodania</w:t>
      </w:r>
      <w:r w:rsidRPr="0071180C">
        <w:rPr>
          <w:rFonts w:ascii="Times New Roman" w:hAnsi="Times New Roman"/>
          <w:sz w:val="24"/>
          <w:szCs w:val="24"/>
        </w:rPr>
        <w:t xml:space="preserve"> (</w:t>
      </w:r>
      <w:r w:rsidR="005076A1" w:rsidRPr="004259F3">
        <w:rPr>
          <w:rFonts w:ascii="Times New Roman" w:hAnsi="Times New Roman"/>
          <w:sz w:val="24"/>
          <w:szCs w:val="24"/>
        </w:rPr>
        <w:t>T</w:t>
      </w:r>
      <w:r w:rsidRPr="004259F3">
        <w:rPr>
          <w:rFonts w:ascii="Times New Roman" w:hAnsi="Times New Roman"/>
          <w:sz w:val="24"/>
          <w:szCs w:val="24"/>
        </w:rPr>
        <w:t xml:space="preserve">ovar) </w:t>
      </w:r>
      <w:r w:rsidR="00000EEB">
        <w:rPr>
          <w:rFonts w:ascii="Times New Roman" w:hAnsi="Times New Roman"/>
          <w:sz w:val="24"/>
          <w:szCs w:val="24"/>
        </w:rPr>
        <w:t>sú licencie a</w:t>
      </w:r>
      <w:r w:rsidR="00CF4AEE" w:rsidRPr="004259F3">
        <w:rPr>
          <w:rFonts w:ascii="Times New Roman" w:hAnsi="Times New Roman"/>
          <w:sz w:val="24"/>
          <w:szCs w:val="24"/>
        </w:rPr>
        <w:t xml:space="preserve"> </w:t>
      </w:r>
      <w:r w:rsidR="00CF4AEE" w:rsidRPr="004259F3">
        <w:rPr>
          <w:rFonts w:ascii="Times New Roman" w:hAnsi="Times New Roman"/>
          <w:bCs/>
          <w:sz w:val="24"/>
          <w:szCs w:val="24"/>
        </w:rPr>
        <w:t xml:space="preserve">podpora licencií na </w:t>
      </w:r>
      <w:r w:rsidR="0091533A">
        <w:rPr>
          <w:rFonts w:ascii="Times New Roman" w:hAnsi="Times New Roman"/>
          <w:bCs/>
          <w:sz w:val="24"/>
          <w:szCs w:val="24"/>
        </w:rPr>
        <w:t xml:space="preserve">zabezpečenie </w:t>
      </w:r>
      <w:r w:rsidR="00C3525A" w:rsidRPr="00C3525A">
        <w:rPr>
          <w:rFonts w:ascii="Times New Roman" w:hAnsi="Times New Roman"/>
          <w:bCs/>
          <w:sz w:val="24"/>
          <w:szCs w:val="24"/>
        </w:rPr>
        <w:t>monitorovania informačného systému pre správu registratúry</w:t>
      </w:r>
      <w:r w:rsidR="00000EEB">
        <w:rPr>
          <w:rFonts w:ascii="Times New Roman" w:hAnsi="Times New Roman"/>
          <w:bCs/>
          <w:sz w:val="24"/>
          <w:szCs w:val="24"/>
        </w:rPr>
        <w:t>,</w:t>
      </w:r>
      <w:r w:rsidR="00D111C1" w:rsidRPr="004259F3">
        <w:rPr>
          <w:rFonts w:ascii="Times New Roman" w:hAnsi="Times New Roman"/>
          <w:sz w:val="24"/>
          <w:szCs w:val="24"/>
        </w:rPr>
        <w:t xml:space="preserve"> </w:t>
      </w:r>
      <w:r w:rsidR="00000EEB">
        <w:rPr>
          <w:rFonts w:ascii="Times New Roman" w:hAnsi="Times New Roman"/>
          <w:sz w:val="24"/>
          <w:szCs w:val="24"/>
        </w:rPr>
        <w:t>ako je uvedené</w:t>
      </w:r>
      <w:r w:rsidR="00ED32EE" w:rsidRPr="004259F3">
        <w:rPr>
          <w:rFonts w:ascii="Times New Roman" w:hAnsi="Times New Roman"/>
          <w:sz w:val="24"/>
          <w:szCs w:val="24"/>
        </w:rPr>
        <w:t xml:space="preserve"> v </w:t>
      </w:r>
      <w:r w:rsidR="00965767" w:rsidRPr="004259F3">
        <w:rPr>
          <w:rFonts w:ascii="Times New Roman" w:hAnsi="Times New Roman"/>
          <w:sz w:val="24"/>
          <w:szCs w:val="24"/>
        </w:rPr>
        <w:t>Prílohe</w:t>
      </w:r>
      <w:r w:rsidR="007B6F92" w:rsidRPr="004259F3">
        <w:rPr>
          <w:rFonts w:ascii="Times New Roman" w:hAnsi="Times New Roman"/>
          <w:sz w:val="24"/>
          <w:szCs w:val="24"/>
        </w:rPr>
        <w:t xml:space="preserve"> (ďalej len „</w:t>
      </w:r>
      <w:r w:rsidR="00323A67" w:rsidRPr="004259F3">
        <w:rPr>
          <w:rFonts w:ascii="Times New Roman" w:hAnsi="Times New Roman"/>
          <w:sz w:val="24"/>
          <w:szCs w:val="24"/>
        </w:rPr>
        <w:t>Licencie</w:t>
      </w:r>
      <w:r w:rsidR="007B6F92" w:rsidRPr="004259F3">
        <w:rPr>
          <w:rFonts w:ascii="Times New Roman" w:hAnsi="Times New Roman"/>
          <w:sz w:val="24"/>
          <w:szCs w:val="24"/>
        </w:rPr>
        <w:t>“)</w:t>
      </w:r>
      <w:r w:rsidR="003955FD" w:rsidRPr="004259F3">
        <w:rPr>
          <w:rFonts w:ascii="Times New Roman" w:hAnsi="Times New Roman"/>
          <w:sz w:val="24"/>
          <w:szCs w:val="24"/>
        </w:rPr>
        <w:t xml:space="preserve">, ktoré </w:t>
      </w:r>
      <w:r w:rsidR="00323A67" w:rsidRPr="004259F3">
        <w:rPr>
          <w:rFonts w:ascii="Times New Roman" w:hAnsi="Times New Roman"/>
          <w:sz w:val="24"/>
          <w:szCs w:val="24"/>
        </w:rPr>
        <w:t>umožňujú</w:t>
      </w:r>
      <w:r w:rsidR="003955FD" w:rsidRPr="004259F3">
        <w:rPr>
          <w:rFonts w:ascii="Times New Roman" w:hAnsi="Times New Roman"/>
          <w:sz w:val="24"/>
          <w:szCs w:val="24"/>
        </w:rPr>
        <w:t xml:space="preserve"> </w:t>
      </w:r>
      <w:r w:rsidR="00483753" w:rsidRPr="004259F3">
        <w:rPr>
          <w:rFonts w:ascii="Times New Roman" w:hAnsi="Times New Roman"/>
          <w:sz w:val="24"/>
          <w:szCs w:val="24"/>
        </w:rPr>
        <w:t>Objednávateľovi</w:t>
      </w:r>
      <w:r w:rsidR="003955FD" w:rsidRPr="004259F3">
        <w:rPr>
          <w:rFonts w:ascii="Times New Roman" w:hAnsi="Times New Roman"/>
          <w:sz w:val="24"/>
          <w:szCs w:val="24"/>
        </w:rPr>
        <w:t xml:space="preserve"> využívať </w:t>
      </w:r>
      <w:r w:rsidR="00323A67" w:rsidRPr="004259F3">
        <w:rPr>
          <w:rFonts w:ascii="Times New Roman" w:hAnsi="Times New Roman"/>
          <w:sz w:val="24"/>
          <w:szCs w:val="24"/>
        </w:rPr>
        <w:t xml:space="preserve">softvérové produkty alebo systémy na zariadeniach </w:t>
      </w:r>
      <w:r w:rsidR="003955FD" w:rsidRPr="004259F3">
        <w:rPr>
          <w:rFonts w:ascii="Times New Roman" w:hAnsi="Times New Roman"/>
          <w:sz w:val="24"/>
          <w:szCs w:val="24"/>
        </w:rPr>
        <w:t>na území Slovenskej republiky</w:t>
      </w:r>
      <w:r w:rsidR="007F5702" w:rsidRPr="004259F3">
        <w:rPr>
          <w:rFonts w:ascii="Times New Roman" w:hAnsi="Times New Roman"/>
          <w:sz w:val="24"/>
          <w:szCs w:val="24"/>
        </w:rPr>
        <w:t xml:space="preserve"> a</w:t>
      </w:r>
      <w:r w:rsidR="007F5702" w:rsidRPr="004259F3">
        <w:rPr>
          <w:rFonts w:eastAsia="Times New Roman"/>
          <w:szCs w:val="24"/>
          <w:lang w:eastAsia="cs-CZ"/>
        </w:rPr>
        <w:t xml:space="preserve"> </w:t>
      </w:r>
      <w:r w:rsidR="007F5702" w:rsidRPr="004259F3">
        <w:rPr>
          <w:rFonts w:ascii="Times New Roman" w:hAnsi="Times New Roman"/>
          <w:sz w:val="24"/>
          <w:szCs w:val="24"/>
        </w:rPr>
        <w:t xml:space="preserve">na organizačných útvaroch </w:t>
      </w:r>
      <w:r w:rsidR="00483753" w:rsidRPr="004259F3">
        <w:rPr>
          <w:rFonts w:ascii="Times New Roman" w:hAnsi="Times New Roman"/>
          <w:sz w:val="24"/>
          <w:szCs w:val="24"/>
        </w:rPr>
        <w:t>Objednávateľa</w:t>
      </w:r>
      <w:r w:rsidR="007F5702" w:rsidRPr="004259F3">
        <w:rPr>
          <w:rFonts w:ascii="Times New Roman" w:hAnsi="Times New Roman"/>
          <w:sz w:val="24"/>
          <w:szCs w:val="24"/>
        </w:rPr>
        <w:t xml:space="preserve"> v zahraničí</w:t>
      </w:r>
      <w:r w:rsidR="003955FD" w:rsidRPr="004259F3">
        <w:rPr>
          <w:rFonts w:ascii="Times New Roman" w:hAnsi="Times New Roman"/>
          <w:sz w:val="24"/>
          <w:szCs w:val="24"/>
        </w:rPr>
        <w:t>.</w:t>
      </w:r>
    </w:p>
    <w:p w14:paraId="76CA5BE2" w14:textId="77777777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4C33E00B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7D26D20B" w14:textId="77777777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</w:t>
      </w:r>
      <w:r w:rsidRPr="00FF5968">
        <w:rPr>
          <w:rFonts w:ascii="Times New Roman" w:hAnsi="Times New Roman"/>
          <w:sz w:val="24"/>
          <w:szCs w:val="24"/>
        </w:rPr>
        <w:lastRenderedPageBreak/>
        <w:t xml:space="preserve">zmeniť svoje oprávnené osoby; táto zmena je voči druhej Zmluvnej strane účinná okamihom doručenia </w:t>
      </w:r>
      <w:r w:rsidRPr="00A01B73">
        <w:rPr>
          <w:rFonts w:ascii="Times New Roman" w:hAnsi="Times New Roman"/>
          <w:sz w:val="24"/>
          <w:szCs w:val="24"/>
        </w:rPr>
        <w:t>písomného oznámenia o tejto zmene.</w:t>
      </w:r>
    </w:p>
    <w:p w14:paraId="5554FE36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38A92E2A" w14:textId="77777777" w:rsidR="00FF5968" w:rsidRP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461A51">
        <w:rPr>
          <w:rFonts w:ascii="Times New Roman" w:hAnsi="Times New Roman"/>
          <w:sz w:val="24"/>
          <w:szCs w:val="24"/>
        </w:rPr>
        <w:t>Objednávateľ</w:t>
      </w:r>
      <w:r w:rsidR="00FF5968" w:rsidRPr="00461A51">
        <w:rPr>
          <w:rFonts w:ascii="Times New Roman" w:hAnsi="Times New Roman"/>
          <w:sz w:val="24"/>
          <w:szCs w:val="24"/>
        </w:rPr>
        <w:t>:</w:t>
      </w:r>
    </w:p>
    <w:p w14:paraId="4D5CE536" w14:textId="77777777" w:rsidR="00FF5968" w:rsidRDefault="00483753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7FD22E4B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3D46DFBE" w14:textId="77777777" w:rsidR="00812D07" w:rsidRPr="00096247" w:rsidRDefault="00962E30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Oprávnená</w:t>
      </w:r>
      <w:r w:rsidR="00812D07" w:rsidRPr="00096247">
        <w:rPr>
          <w:rFonts w:ascii="Times New Roman" w:hAnsi="Times New Roman"/>
          <w:sz w:val="24"/>
          <w:szCs w:val="24"/>
        </w:rPr>
        <w:t xml:space="preserve"> osob</w:t>
      </w:r>
      <w:r>
        <w:rPr>
          <w:rFonts w:ascii="Times New Roman" w:hAnsi="Times New Roman"/>
          <w:sz w:val="24"/>
          <w:szCs w:val="24"/>
        </w:rPr>
        <w:t>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</w:t>
      </w:r>
      <w:r w:rsidR="00812D07" w:rsidRPr="00096247">
        <w:rPr>
          <w:rFonts w:ascii="Times New Roman" w:hAnsi="Times New Roman"/>
          <w:sz w:val="24"/>
          <w:szCs w:val="24"/>
        </w:rPr>
        <w:t xml:space="preserve"> oprávnen</w:t>
      </w:r>
      <w:r>
        <w:rPr>
          <w:rFonts w:ascii="Times New Roman" w:hAnsi="Times New Roman"/>
          <w:sz w:val="24"/>
          <w:szCs w:val="24"/>
        </w:rPr>
        <w:t>á</w:t>
      </w:r>
      <w:r w:rsidR="00812D07" w:rsidRPr="00096247">
        <w:rPr>
          <w:rFonts w:ascii="Times New Roman" w:hAnsi="Times New Roman"/>
          <w:sz w:val="24"/>
          <w:szCs w:val="24"/>
        </w:rPr>
        <w:t xml:space="preserve"> podpisovať a preberať písomnosti vo veciach týkajúcich sa plnenia </w:t>
      </w:r>
      <w:r w:rsidR="00812D07">
        <w:rPr>
          <w:rFonts w:ascii="Times New Roman" w:hAnsi="Times New Roman"/>
          <w:sz w:val="24"/>
          <w:szCs w:val="24"/>
        </w:rPr>
        <w:t xml:space="preserve">Zmluvy a </w:t>
      </w:r>
      <w:r w:rsidR="00812D07" w:rsidRPr="00096247">
        <w:rPr>
          <w:rFonts w:ascii="Times New Roman" w:hAnsi="Times New Roman"/>
          <w:sz w:val="24"/>
          <w:szCs w:val="24"/>
        </w:rPr>
        <w:t xml:space="preserve">prevziať </w:t>
      </w:r>
      <w:r w:rsidR="00812D07">
        <w:rPr>
          <w:rFonts w:ascii="Times New Roman" w:hAnsi="Times New Roman"/>
          <w:sz w:val="24"/>
          <w:szCs w:val="24"/>
        </w:rPr>
        <w:t>do</w:t>
      </w:r>
      <w:r w:rsidR="00812D07"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="00812D07"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="00812D07"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="00812D07"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="00812D07" w:rsidRPr="00096247">
        <w:rPr>
          <w:rFonts w:ascii="Times New Roman" w:hAnsi="Times New Roman"/>
          <w:sz w:val="24"/>
          <w:szCs w:val="24"/>
        </w:rPr>
        <w:t xml:space="preserve">. </w:t>
      </w:r>
    </w:p>
    <w:p w14:paraId="63025676" w14:textId="77777777" w:rsidR="00812D07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6BBBCFEC" w14:textId="7C0323BF" w:rsidR="00ED32EE" w:rsidRPr="0048673E" w:rsidRDefault="00483753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DB3E47" w:rsidRPr="00266AFB">
        <w:rPr>
          <w:rFonts w:ascii="Times New Roman" w:hAnsi="Times New Roman"/>
          <w:b/>
          <w:sz w:val="24"/>
          <w:szCs w:val="24"/>
        </w:rPr>
        <w:t xml:space="preserve">do </w:t>
      </w:r>
      <w:r w:rsidR="00266AFB" w:rsidRPr="00266AFB">
        <w:rPr>
          <w:rFonts w:ascii="Times New Roman" w:hAnsi="Times New Roman"/>
          <w:b/>
          <w:sz w:val="24"/>
          <w:szCs w:val="24"/>
        </w:rPr>
        <w:t>5</w:t>
      </w:r>
      <w:r w:rsidR="00DB3E47" w:rsidRPr="00266AFB">
        <w:rPr>
          <w:rFonts w:ascii="Times New Roman" w:hAnsi="Times New Roman"/>
          <w:b/>
          <w:sz w:val="24"/>
          <w:szCs w:val="24"/>
        </w:rPr>
        <w:t xml:space="preserve"> kalendárnych dní od nadobudnutia účinnosti Zmluvy</w:t>
      </w:r>
      <w:r w:rsidR="004E0054">
        <w:rPr>
          <w:rFonts w:ascii="Times New Roman" w:hAnsi="Times New Roman"/>
          <w:sz w:val="24"/>
          <w:szCs w:val="24"/>
        </w:rPr>
        <w:t>, pričom doba platnosti podpory licencií je uvedená v prílohe.</w:t>
      </w:r>
    </w:p>
    <w:p w14:paraId="1F246F85" w14:textId="77777777" w:rsidR="005976C5" w:rsidRPr="0039112F" w:rsidRDefault="00483753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 w:rsidRPr="0039112F">
        <w:rPr>
          <w:rFonts w:ascii="Times New Roman" w:hAnsi="Times New Roman"/>
          <w:sz w:val="24"/>
          <w:szCs w:val="24"/>
        </w:rPr>
        <w:t xml:space="preserve"> je</w:t>
      </w:r>
      <w:r w:rsidR="005976C5" w:rsidRPr="0039112F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39112F">
        <w:rPr>
          <w:rFonts w:ascii="Times New Roman" w:hAnsi="Times New Roman"/>
          <w:sz w:val="24"/>
          <w:szCs w:val="24"/>
        </w:rPr>
        <w:t xml:space="preserve"> právo </w:t>
      </w:r>
      <w:r w:rsidR="00F32BA8" w:rsidRPr="0039112F">
        <w:rPr>
          <w:rFonts w:ascii="Times New Roman" w:hAnsi="Times New Roman"/>
          <w:sz w:val="24"/>
          <w:szCs w:val="24"/>
        </w:rPr>
        <w:t>vyu</w:t>
      </w:r>
      <w:r w:rsidR="005976C5" w:rsidRPr="0039112F">
        <w:rPr>
          <w:rFonts w:ascii="Times New Roman" w:hAnsi="Times New Roman"/>
          <w:sz w:val="24"/>
          <w:szCs w:val="24"/>
        </w:rPr>
        <w:t xml:space="preserve">žívať </w:t>
      </w:r>
      <w:r w:rsidR="00570F57" w:rsidRPr="0039112F">
        <w:rPr>
          <w:rFonts w:ascii="Times New Roman" w:hAnsi="Times New Roman"/>
          <w:sz w:val="24"/>
          <w:szCs w:val="24"/>
        </w:rPr>
        <w:t>Licenciu</w:t>
      </w:r>
      <w:r w:rsidR="00ED32EE" w:rsidRPr="0039112F">
        <w:rPr>
          <w:rFonts w:ascii="Times New Roman" w:hAnsi="Times New Roman"/>
          <w:sz w:val="24"/>
          <w:szCs w:val="24"/>
        </w:rPr>
        <w:t xml:space="preserve"> </w:t>
      </w:r>
      <w:r w:rsidR="00E7671D" w:rsidRPr="0039112F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</w:t>
      </w:r>
      <w:r w:rsidR="00FA48B2">
        <w:rPr>
          <w:rFonts w:ascii="Times New Roman" w:hAnsi="Times New Roman"/>
          <w:sz w:val="24"/>
          <w:szCs w:val="24"/>
        </w:rPr>
        <w:t>po</w:t>
      </w:r>
      <w:r w:rsidR="00E7671D" w:rsidRPr="0039112F">
        <w:rPr>
          <w:rFonts w:ascii="Times New Roman" w:hAnsi="Times New Roman"/>
          <w:sz w:val="24"/>
          <w:szCs w:val="24"/>
        </w:rPr>
        <w:t xml:space="preserve">užívateľa, s ktorými je </w:t>
      </w:r>
      <w:r w:rsidR="00570F57" w:rsidRPr="0039112F">
        <w:rPr>
          <w:rFonts w:ascii="Times New Roman" w:hAnsi="Times New Roman"/>
          <w:sz w:val="24"/>
          <w:szCs w:val="24"/>
        </w:rPr>
        <w:t>Licencia</w:t>
      </w:r>
      <w:r w:rsidR="00E7671D" w:rsidRPr="0039112F">
        <w:rPr>
          <w:rFonts w:ascii="Times New Roman" w:hAnsi="Times New Roman"/>
          <w:sz w:val="24"/>
          <w:szCs w:val="24"/>
        </w:rPr>
        <w:t xml:space="preserve"> bežne predávan</w:t>
      </w:r>
      <w:r w:rsidR="00F32BA8" w:rsidRPr="0039112F">
        <w:rPr>
          <w:rFonts w:ascii="Times New Roman" w:hAnsi="Times New Roman"/>
          <w:sz w:val="24"/>
          <w:szCs w:val="24"/>
        </w:rPr>
        <w:t xml:space="preserve">á </w:t>
      </w:r>
      <w:r w:rsidR="00E7671D" w:rsidRPr="0039112F">
        <w:rPr>
          <w:rFonts w:ascii="Times New Roman" w:hAnsi="Times New Roman"/>
          <w:sz w:val="24"/>
          <w:szCs w:val="24"/>
        </w:rPr>
        <w:t>a</w:t>
      </w:r>
      <w:r w:rsidR="008426F4" w:rsidRPr="0039112F">
        <w:rPr>
          <w:rFonts w:ascii="Times New Roman" w:hAnsi="Times New Roman"/>
          <w:sz w:val="24"/>
          <w:szCs w:val="24"/>
        </w:rPr>
        <w:t>/alebo</w:t>
      </w:r>
      <w:r w:rsidR="009D7CCA" w:rsidRPr="0039112F">
        <w:rPr>
          <w:rFonts w:ascii="Times New Roman" w:hAnsi="Times New Roman"/>
          <w:sz w:val="24"/>
          <w:szCs w:val="24"/>
        </w:rPr>
        <w:t> </w:t>
      </w:r>
      <w:r w:rsidR="00E7671D" w:rsidRPr="0039112F">
        <w:rPr>
          <w:rFonts w:ascii="Times New Roman" w:hAnsi="Times New Roman"/>
          <w:sz w:val="24"/>
          <w:szCs w:val="24"/>
        </w:rPr>
        <w:t>distribuovan</w:t>
      </w:r>
      <w:r w:rsidR="00F32BA8" w:rsidRPr="0039112F">
        <w:rPr>
          <w:rFonts w:ascii="Times New Roman" w:hAnsi="Times New Roman"/>
          <w:sz w:val="24"/>
          <w:szCs w:val="24"/>
        </w:rPr>
        <w:t>á</w:t>
      </w:r>
      <w:r w:rsidR="009D7CCA" w:rsidRPr="0039112F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39112F">
        <w:rPr>
          <w:rFonts w:ascii="Times New Roman" w:hAnsi="Times New Roman"/>
          <w:sz w:val="24"/>
          <w:szCs w:val="24"/>
        </w:rPr>
        <w:t xml:space="preserve"> k</w:t>
      </w:r>
      <w:r w:rsidR="00B42DAC" w:rsidRPr="0039112F">
        <w:rPr>
          <w:rFonts w:ascii="Times New Roman" w:hAnsi="Times New Roman"/>
          <w:sz w:val="24"/>
          <w:szCs w:val="24"/>
        </w:rPr>
        <w:t> </w:t>
      </w:r>
      <w:r w:rsidR="009D7CCA" w:rsidRPr="0039112F">
        <w:rPr>
          <w:rFonts w:ascii="Times New Roman" w:hAnsi="Times New Roman"/>
          <w:sz w:val="24"/>
          <w:szCs w:val="24"/>
        </w:rPr>
        <w:t>dodan</w:t>
      </w:r>
      <w:r w:rsidR="00B42DAC" w:rsidRPr="0039112F">
        <w:rPr>
          <w:rFonts w:ascii="Times New Roman" w:hAnsi="Times New Roman"/>
          <w:sz w:val="24"/>
          <w:szCs w:val="24"/>
        </w:rPr>
        <w:t xml:space="preserve">ej </w:t>
      </w:r>
      <w:r w:rsidR="00570F57" w:rsidRPr="0039112F">
        <w:rPr>
          <w:rFonts w:ascii="Times New Roman" w:hAnsi="Times New Roman"/>
          <w:sz w:val="24"/>
          <w:szCs w:val="24"/>
        </w:rPr>
        <w:t>Licencii</w:t>
      </w:r>
      <w:r w:rsidR="00B42DAC" w:rsidRPr="0039112F">
        <w:rPr>
          <w:rFonts w:ascii="Times New Roman" w:hAnsi="Times New Roman"/>
          <w:sz w:val="24"/>
          <w:szCs w:val="24"/>
        </w:rPr>
        <w:t xml:space="preserve"> </w:t>
      </w:r>
      <w:r w:rsidR="009D7CCA" w:rsidRPr="0039112F">
        <w:rPr>
          <w:rFonts w:ascii="Times New Roman" w:hAnsi="Times New Roman"/>
          <w:sz w:val="24"/>
          <w:szCs w:val="24"/>
        </w:rPr>
        <w:t xml:space="preserve">nebolo </w:t>
      </w:r>
      <w:r w:rsidR="002A1DD9" w:rsidRPr="0039112F">
        <w:rPr>
          <w:rFonts w:ascii="Times New Roman" w:hAnsi="Times New Roman"/>
          <w:sz w:val="24"/>
          <w:szCs w:val="24"/>
        </w:rPr>
        <w:t xml:space="preserve">akokoľvek </w:t>
      </w:r>
      <w:r w:rsidR="009D7CCA" w:rsidRPr="0039112F">
        <w:rPr>
          <w:rFonts w:ascii="Times New Roman" w:hAnsi="Times New Roman"/>
          <w:sz w:val="24"/>
          <w:szCs w:val="24"/>
        </w:rPr>
        <w:t>obmedzené</w:t>
      </w:r>
      <w:r w:rsidR="00E7671D" w:rsidRPr="0039112F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39112F">
        <w:rPr>
          <w:rFonts w:ascii="Times New Roman" w:hAnsi="Times New Roman"/>
          <w:sz w:val="24"/>
          <w:szCs w:val="24"/>
        </w:rPr>
        <w:t xml:space="preserve"> je povinný </w:t>
      </w:r>
      <w:r w:rsidR="00F61CD3" w:rsidRPr="0039112F">
        <w:rPr>
          <w:rFonts w:ascii="Times New Roman" w:hAnsi="Times New Roman"/>
          <w:sz w:val="24"/>
          <w:szCs w:val="24"/>
        </w:rPr>
        <w:t>bezodkladne po uzatvorení zml</w:t>
      </w:r>
      <w:bookmarkStart w:id="0" w:name="_GoBack"/>
      <w:bookmarkEnd w:id="0"/>
      <w:r w:rsidR="00F61CD3" w:rsidRPr="0039112F">
        <w:rPr>
          <w:rFonts w:ascii="Times New Roman" w:hAnsi="Times New Roman"/>
          <w:sz w:val="24"/>
          <w:szCs w:val="24"/>
        </w:rPr>
        <w:t xml:space="preserve">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39112F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570F57" w:rsidRPr="0039112F">
        <w:rPr>
          <w:rFonts w:ascii="Times New Roman" w:hAnsi="Times New Roman"/>
          <w:sz w:val="24"/>
          <w:szCs w:val="24"/>
        </w:rPr>
        <w:t>Licencie</w:t>
      </w:r>
      <w:r w:rsidR="00E7671D" w:rsidRPr="0039112F">
        <w:rPr>
          <w:rFonts w:ascii="Times New Roman" w:hAnsi="Times New Roman"/>
          <w:sz w:val="24"/>
          <w:szCs w:val="24"/>
        </w:rPr>
        <w:t xml:space="preserve"> podľa predchádzajúcej vety</w:t>
      </w:r>
      <w:r w:rsidR="00284010">
        <w:rPr>
          <w:rFonts w:ascii="Times New Roman" w:hAnsi="Times New Roman"/>
          <w:sz w:val="24"/>
          <w:szCs w:val="24"/>
        </w:rPr>
        <w:t xml:space="preserve"> a dokumenty a návody potrebné na inštaláciu a spustenie softvérových produktov a systémov</w:t>
      </w:r>
      <w:r w:rsidR="00BB6B72" w:rsidRPr="0039112F">
        <w:rPr>
          <w:rFonts w:ascii="Times New Roman" w:hAnsi="Times New Roman"/>
          <w:sz w:val="24"/>
          <w:szCs w:val="24"/>
        </w:rPr>
        <w:t>, ak takéto podmienky</w:t>
      </w:r>
      <w:r w:rsidR="00284010">
        <w:rPr>
          <w:rFonts w:ascii="Times New Roman" w:hAnsi="Times New Roman"/>
          <w:sz w:val="24"/>
          <w:szCs w:val="24"/>
        </w:rPr>
        <w:t>, dokumenty a návody</w:t>
      </w:r>
      <w:r w:rsidR="00BB6B72" w:rsidRPr="0039112F">
        <w:rPr>
          <w:rFonts w:ascii="Times New Roman" w:hAnsi="Times New Roman"/>
          <w:sz w:val="24"/>
          <w:szCs w:val="24"/>
        </w:rPr>
        <w:t xml:space="preserve"> existujú</w:t>
      </w:r>
      <w:r w:rsidR="00284010">
        <w:rPr>
          <w:rFonts w:ascii="Times New Roman" w:hAnsi="Times New Roman"/>
          <w:sz w:val="24"/>
          <w:szCs w:val="24"/>
        </w:rPr>
        <w:t>.</w:t>
      </w:r>
    </w:p>
    <w:p w14:paraId="53D7129D" w14:textId="004E47E4" w:rsidR="00195BF4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483753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t.</w:t>
      </w:r>
      <w:r w:rsidR="00483753">
        <w:rPr>
          <w:rFonts w:ascii="Times New Roman" w:hAnsi="Times New Roman"/>
          <w:sz w:val="24"/>
          <w:szCs w:val="24"/>
        </w:rPr>
        <w:t xml:space="preserve"> </w:t>
      </w:r>
      <w:r w:rsidR="00696DB3" w:rsidRPr="00096247">
        <w:rPr>
          <w:rFonts w:ascii="Times New Roman" w:hAnsi="Times New Roman"/>
          <w:sz w:val="24"/>
          <w:szCs w:val="24"/>
        </w:rPr>
        <w:t xml:space="preserve">j.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628B584" w14:textId="2AA48E30" w:rsidR="00126C4A" w:rsidRDefault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4418A28" w14:textId="77777777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415E1798" w14:textId="77777777" w:rsidR="00410E6E" w:rsidRPr="00096247" w:rsidRDefault="00A6307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na </w:t>
      </w:r>
    </w:p>
    <w:p w14:paraId="51BBEDBF" w14:textId="77777777" w:rsidR="00410E6E" w:rsidRPr="00096247" w:rsidRDefault="00A6307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319C95D3" w14:textId="77777777" w:rsidR="000E5DC4" w:rsidRDefault="00A6307E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5F2C8688" w14:textId="77777777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4A32092A" w14:textId="77777777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A2699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7C967076" w14:textId="7777777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483753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326567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774A7848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7EF55731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251EE884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483753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2DCAD138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483753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483753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58C90CD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faktúry prestáva plynúť jej lehota splatnosti; nová lehota splatnosti začne plynúť odo dňa doručenia riadne prepracovanej faktúry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3FE5020" w14:textId="7777777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410E6E">
        <w:rPr>
          <w:rFonts w:ascii="Times New Roman" w:hAnsi="Times New Roman"/>
          <w:sz w:val="24"/>
          <w:szCs w:val="24"/>
        </w:rPr>
        <w:t>doručiť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faktúr</w:t>
      </w:r>
      <w:r w:rsidR="00410E6E">
        <w:rPr>
          <w:rFonts w:ascii="Times New Roman" w:hAnsi="Times New Roman"/>
          <w:sz w:val="24"/>
          <w:szCs w:val="24"/>
        </w:rPr>
        <w:t>u</w:t>
      </w:r>
      <w:r w:rsidR="00410E6E"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="00410E6E"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="00410E6E" w:rsidRPr="0054364E">
        <w:rPr>
          <w:rFonts w:ascii="Times New Roman" w:hAnsi="Times New Roman"/>
          <w:sz w:val="24"/>
          <w:szCs w:val="24"/>
        </w:rPr>
        <w:t>je preberací protokol</w:t>
      </w:r>
      <w:r w:rsidR="00410E6E">
        <w:rPr>
          <w:rFonts w:ascii="Times New Roman" w:hAnsi="Times New Roman"/>
          <w:sz w:val="24"/>
          <w:szCs w:val="24"/>
        </w:rPr>
        <w:t>.</w:t>
      </w:r>
    </w:p>
    <w:p w14:paraId="3E54A20F" w14:textId="0B3341D7" w:rsidR="00410E6E" w:rsidRPr="00096247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>. Faktúra musí obsahovať všetky náležitosti faktúry podľa zákona č.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222/2004 Z. z. o dani z pridanej hodnoty v znení neskorších predpisov a účtovného dokladu podľa zákona</w:t>
      </w:r>
      <w:r w:rsidR="00953477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>č. 431/2002 Z. z. o účtovníctve v znení neskorších predpisov, ako</w:t>
      </w:r>
      <w:r w:rsidR="00AE5ABF">
        <w:rPr>
          <w:rFonts w:ascii="Times New Roman" w:hAnsi="Times New Roman"/>
          <w:sz w:val="24"/>
          <w:szCs w:val="24"/>
        </w:rPr>
        <w:t> </w:t>
      </w:r>
      <w:r w:rsidR="00410E6E" w:rsidRPr="00096247">
        <w:rPr>
          <w:rFonts w:ascii="Times New Roman" w:hAnsi="Times New Roman"/>
          <w:sz w:val="24"/>
          <w:szCs w:val="24"/>
        </w:rPr>
        <w:t>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4FD9E966" w14:textId="77777777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75DBC09F" w14:textId="77777777" w:rsidR="00410E6E" w:rsidRPr="00114350" w:rsidRDefault="00483753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0A799A69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7625715A" w14:textId="77777777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157A8747" w14:textId="77777777" w:rsidR="00410E6E" w:rsidRPr="00096247" w:rsidRDefault="00483753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18A472C1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77D32649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7A70A5F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4E9CFBA1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 nespĺňa požiadavky tejto Zmluvy a Prílohy,</w:t>
      </w:r>
    </w:p>
    <w:p w14:paraId="776E4127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5BC6640F" w14:textId="77777777" w:rsidR="00574509" w:rsidRPr="00502A3D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02A3D">
        <w:rPr>
          <w:rFonts w:ascii="Times New Roman" w:hAnsi="Times New Roman"/>
          <w:sz w:val="24"/>
          <w:szCs w:val="24"/>
        </w:rPr>
        <w:t>vykazuje zjavné vady</w:t>
      </w:r>
      <w:r w:rsidR="00CA25FA" w:rsidRPr="00502A3D">
        <w:rPr>
          <w:rFonts w:ascii="Times New Roman" w:hAnsi="Times New Roman"/>
          <w:sz w:val="24"/>
          <w:szCs w:val="24"/>
        </w:rPr>
        <w:t>, t. j. nespĺňa výrobcom deklarované vlastnosti a parametre</w:t>
      </w:r>
      <w:r w:rsidRPr="00502A3D">
        <w:rPr>
          <w:rFonts w:ascii="Times New Roman" w:hAnsi="Times New Roman"/>
          <w:sz w:val="24"/>
          <w:szCs w:val="24"/>
        </w:rPr>
        <w:t>,</w:t>
      </w:r>
    </w:p>
    <w:p w14:paraId="64F98D0E" w14:textId="5A992D99" w:rsidR="00574509" w:rsidRPr="007C204F" w:rsidRDefault="00483753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502A3D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502A3D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 w:rsidRPr="00502A3D">
        <w:rPr>
          <w:rFonts w:ascii="Times New Roman" w:hAnsi="Times New Roman"/>
          <w:sz w:val="24"/>
          <w:szCs w:val="24"/>
        </w:rPr>
        <w:t>Z</w:t>
      </w:r>
      <w:r w:rsidR="00574509" w:rsidRPr="00502A3D">
        <w:rPr>
          <w:rFonts w:ascii="Times New Roman" w:hAnsi="Times New Roman"/>
          <w:sz w:val="24"/>
          <w:szCs w:val="24"/>
        </w:rPr>
        <w:t>mluvy užívacie právo</w:t>
      </w:r>
      <w:r w:rsidR="004851FD" w:rsidRPr="00502A3D">
        <w:rPr>
          <w:rFonts w:ascii="Times New Roman" w:hAnsi="Times New Roman"/>
          <w:sz w:val="24"/>
          <w:szCs w:val="24"/>
        </w:rPr>
        <w:t xml:space="preserve"> k softvérovému produktu alebo </w:t>
      </w:r>
      <w:r w:rsidR="00C34D7E">
        <w:rPr>
          <w:rFonts w:ascii="Times New Roman" w:hAnsi="Times New Roman"/>
          <w:sz w:val="24"/>
          <w:szCs w:val="24"/>
        </w:rPr>
        <w:t xml:space="preserve">službe </w:t>
      </w:r>
      <w:r w:rsidR="004851FD" w:rsidRPr="007C204F">
        <w:rPr>
          <w:rFonts w:ascii="Times New Roman" w:hAnsi="Times New Roman"/>
          <w:sz w:val="24"/>
          <w:szCs w:val="24"/>
        </w:rPr>
        <w:t>na základe Licencie</w:t>
      </w:r>
      <w:r w:rsidR="00C76CEE" w:rsidRPr="007C204F">
        <w:rPr>
          <w:rFonts w:ascii="Times New Roman" w:hAnsi="Times New Roman"/>
          <w:sz w:val="24"/>
          <w:szCs w:val="24"/>
        </w:rPr>
        <w:t>.</w:t>
      </w:r>
    </w:p>
    <w:p w14:paraId="54A54AB8" w14:textId="77777777" w:rsidR="00410E6E" w:rsidRPr="00C6142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380DA3">
        <w:rPr>
          <w:rFonts w:ascii="Times New Roman" w:hAnsi="Times New Roman"/>
          <w:sz w:val="24"/>
          <w:szCs w:val="24"/>
        </w:rPr>
        <w:t>po dobu trvania Licencie</w:t>
      </w:r>
      <w:r w:rsidR="00410E6E" w:rsidRPr="00502A3D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 w:rsidRPr="00502A3D">
        <w:rPr>
          <w:rFonts w:ascii="Times New Roman" w:hAnsi="Times New Roman"/>
          <w:sz w:val="24"/>
          <w:szCs w:val="24"/>
        </w:rPr>
        <w:t>Tovarom</w:t>
      </w:r>
      <w:r w:rsidR="00410E6E" w:rsidRPr="00502A3D">
        <w:rPr>
          <w:rFonts w:ascii="Times New Roman" w:hAnsi="Times New Roman"/>
          <w:sz w:val="24"/>
          <w:szCs w:val="24"/>
        </w:rPr>
        <w:t xml:space="preserve"> nie je dlhšia.</w:t>
      </w:r>
    </w:p>
    <w:p w14:paraId="64305F9D" w14:textId="77777777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Zár</w:t>
      </w:r>
      <w:r w:rsidR="00311D3C">
        <w:rPr>
          <w:rFonts w:ascii="Times New Roman" w:hAnsi="Times New Roman"/>
          <w:sz w:val="24"/>
          <w:szCs w:val="24"/>
        </w:rPr>
        <w:t>učná doba začína plynúť od začiatku doby trvania Licencie podľa Zmluvy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2ED10405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3940291" w14:textId="2A22FCA4" w:rsidR="00410E6E" w:rsidRPr="00943707" w:rsidRDefault="00483753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>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00334AD9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4ACB15F6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6C1661DF" w14:textId="77777777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116D4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ak predloží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31B598A1" w14:textId="60BA2EDB" w:rsidR="00126C4A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116D4E">
        <w:rPr>
          <w:rFonts w:ascii="Times New Roman" w:hAnsi="Times New Roman"/>
          <w:sz w:val="24"/>
          <w:szCs w:val="24"/>
        </w:rPr>
        <w:t xml:space="preserve">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 xml:space="preserve"> po dobu stanovenú v Zmluve z dôvodu na strane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</w:t>
      </w:r>
      <w:r w:rsidR="00116D4E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výrobcu, je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483753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</w:t>
      </w:r>
      <w:r w:rsidR="00116D4E" w:rsidRPr="00116D4E">
        <w:rPr>
          <w:rFonts w:ascii="Times New Roman" w:hAnsi="Times New Roman"/>
          <w:sz w:val="24"/>
          <w:szCs w:val="24"/>
        </w:rPr>
        <w:t xml:space="preserve"> softvérový produkt alebo systém na základe </w:t>
      </w:r>
      <w:r w:rsidR="00A6307E">
        <w:rPr>
          <w:rFonts w:ascii="Times New Roman" w:hAnsi="Times New Roman"/>
          <w:sz w:val="24"/>
          <w:szCs w:val="24"/>
        </w:rPr>
        <w:t>dodanej</w:t>
      </w:r>
      <w:r w:rsidR="00116D4E" w:rsidRPr="00116D4E">
        <w:rPr>
          <w:rFonts w:ascii="Times New Roman" w:hAnsi="Times New Roman"/>
          <w:sz w:val="24"/>
          <w:szCs w:val="24"/>
        </w:rPr>
        <w:t xml:space="preserve"> Licencie</w:t>
      </w:r>
      <w:r w:rsidRPr="0057786B">
        <w:rPr>
          <w:rFonts w:ascii="Times New Roman" w:hAnsi="Times New Roman"/>
          <w:sz w:val="24"/>
          <w:szCs w:val="24"/>
        </w:rPr>
        <w:t>.</w:t>
      </w:r>
    </w:p>
    <w:p w14:paraId="700090A6" w14:textId="2C724383" w:rsidR="00990CC0" w:rsidRPr="0057786B" w:rsidRDefault="00126C4A" w:rsidP="00126C4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74E182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4A006E9F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DA0B24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68E48344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</w:t>
      </w:r>
      <w:r w:rsidR="00475DC4" w:rsidRPr="00502A3D">
        <w:rPr>
          <w:rFonts w:ascii="Times New Roman" w:hAnsi="Times New Roman"/>
          <w:sz w:val="24"/>
          <w:szCs w:val="24"/>
        </w:rPr>
        <w:t>11</w:t>
      </w:r>
      <w:r w:rsidR="008C1BEF" w:rsidRPr="00502A3D">
        <w:rPr>
          <w:rFonts w:ascii="Times New Roman" w:hAnsi="Times New Roman"/>
          <w:sz w:val="24"/>
          <w:szCs w:val="24"/>
        </w:rPr>
        <w:t xml:space="preserve"> alebo bode 7.6</w:t>
      </w:r>
      <w:r w:rsidR="005258D2" w:rsidRPr="00502A3D">
        <w:rPr>
          <w:rFonts w:ascii="Times New Roman" w:hAnsi="Times New Roman"/>
          <w:sz w:val="24"/>
          <w:szCs w:val="24"/>
        </w:rPr>
        <w:t>,</w:t>
      </w:r>
      <w:r w:rsidR="00475DC4" w:rsidRPr="00502A3D">
        <w:rPr>
          <w:rFonts w:ascii="Times New Roman" w:hAnsi="Times New Roman"/>
          <w:sz w:val="24"/>
          <w:szCs w:val="24"/>
        </w:rPr>
        <w:t xml:space="preserve"> </w:t>
      </w:r>
      <w:r w:rsidRPr="00502A3D">
        <w:rPr>
          <w:rFonts w:ascii="Times New Roman" w:hAnsi="Times New Roman"/>
          <w:sz w:val="24"/>
          <w:szCs w:val="24"/>
        </w:rPr>
        <w:t xml:space="preserve">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502A3D">
        <w:rPr>
          <w:rFonts w:ascii="Times New Roman" w:hAnsi="Times New Roman"/>
          <w:sz w:val="24"/>
          <w:szCs w:val="24"/>
        </w:rPr>
        <w:t xml:space="preserve"> právo na zmluvnú pokutu vo výške 200 EUR za každý</w:t>
      </w:r>
      <w:r w:rsidRPr="00096247">
        <w:rPr>
          <w:rFonts w:ascii="Times New Roman" w:hAnsi="Times New Roman"/>
          <w:sz w:val="24"/>
          <w:szCs w:val="24"/>
        </w:rPr>
        <w:t xml:space="preserve"> aj začatý deň omeškania.</w:t>
      </w:r>
    </w:p>
    <w:p w14:paraId="218CC55C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307C255A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="007B0AE7" w:rsidRPr="007B0AE7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806B1">
        <w:rPr>
          <w:rFonts w:ascii="Times New Roman" w:hAnsi="Times New Roman"/>
          <w:sz w:val="24"/>
          <w:szCs w:val="24"/>
        </w:rPr>
        <w:t>5 % z 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25B1B9C0" w14:textId="77777777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483753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2E2FBC3D" w14:textId="77777777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483753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483753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855408E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799A83F7" w14:textId="77777777" w:rsidR="00410E6E" w:rsidRPr="00096247" w:rsidRDefault="001925C3" w:rsidP="0089602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37C588A7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0183421" w14:textId="77777777" w:rsidR="00410E6E" w:rsidRPr="00B6385F" w:rsidRDefault="00483753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2B949814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7E9AF2A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195CFE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1FAEFA77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 xml:space="preserve">ak bol na osobu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§ 68 ods. 6 Obchodného zákonníka v znení neskorších predpisov, </w:t>
      </w:r>
    </w:p>
    <w:p w14:paraId="16CB76CF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169992EE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1CA682FD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3AFBE52C" w14:textId="7777777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6C93AAD7" w14:textId="77777777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483753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0DDC7C" w14:textId="77777777" w:rsidR="00393DF1" w:rsidRPr="00D32E81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483753">
        <w:rPr>
          <w:rFonts w:ascii="Times New Roman" w:hAnsi="Times New Roman"/>
          <w:sz w:val="24"/>
          <w:szCs w:val="24"/>
          <w:lang w:eastAsia="sk-SK"/>
        </w:rPr>
        <w:t>Objednávateľo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m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D32E81">
        <w:rPr>
          <w:rFonts w:ascii="Times New Roman" w:hAnsi="Times New Roman"/>
          <w:kern w:val="16"/>
          <w:sz w:val="24"/>
          <w:szCs w:val="24"/>
        </w:rPr>
        <w:t>,</w:t>
      </w:r>
    </w:p>
    <w:p w14:paraId="46D06DEB" w14:textId="77777777" w:rsidR="00D32E81" w:rsidRPr="00096247" w:rsidRDefault="00D32E8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ak Objednávateľ pred tým než akceptoval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, nie však neskôr než v lehote 15 dní odo dňa, kedy sa s nimi Objednávateľ mohol preukázateľne najskôr oboznámiť, písomne oznámi Dodávateľovi, že štandardné licenčné podmienky užívania predmetného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Tovaru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nie sú pre Objednávateľa rozumne prijateľné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;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n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eakceptovanie štand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ardných licenčných podmienok Tovaru </w:t>
      </w:r>
      <w:r w:rsidRPr="00D32E81">
        <w:rPr>
          <w:rFonts w:ascii="Times New Roman" w:eastAsia="Times New Roman" w:hAnsi="Times New Roman"/>
          <w:iCs/>
          <w:sz w:val="24"/>
          <w:szCs w:val="24"/>
          <w:lang w:eastAsia="sk-SK"/>
        </w:rPr>
        <w:t>a využitie oprávnenia Objednávateľa od Zmluvy odstúpiť podľa tohto bodu nepredstavuje porušenie uzavretej Zmluvy Dodávateľom</w:t>
      </w:r>
      <w:r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</w:p>
    <w:p w14:paraId="4515A75D" w14:textId="77777777" w:rsidR="00410E6E" w:rsidRPr="00096247" w:rsidRDefault="0048375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6AC27033" w14:textId="77777777" w:rsidR="00410E6E" w:rsidRPr="00096247" w:rsidRDefault="00483753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4057576D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1C1D6F2" w14:textId="77777777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346006C3" w14:textId="77777777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483753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 xml:space="preserve">) tohto bodu, a k náprave nedôjde do 7 dní po uplynutí </w:t>
      </w:r>
      <w:r w:rsidR="005C6D27">
        <w:rPr>
          <w:rFonts w:ascii="Times New Roman" w:hAnsi="Times New Roman"/>
          <w:sz w:val="24"/>
          <w:szCs w:val="24"/>
        </w:rPr>
        <w:t xml:space="preserve">zmluvnej </w:t>
      </w:r>
      <w:r w:rsidRPr="00096247">
        <w:rPr>
          <w:rFonts w:ascii="Times New Roman" w:hAnsi="Times New Roman"/>
          <w:sz w:val="24"/>
          <w:szCs w:val="24"/>
        </w:rPr>
        <w:t>lehoty na splnenie jeho povinnosti.</w:t>
      </w:r>
    </w:p>
    <w:p w14:paraId="62F042A0" w14:textId="77777777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6356BB">
        <w:rPr>
          <w:rFonts w:ascii="Times New Roman" w:hAnsi="Times New Roman"/>
          <w:sz w:val="24"/>
          <w:szCs w:val="24"/>
        </w:rPr>
        <w:t xml:space="preserve">, je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6356BB">
        <w:rPr>
          <w:rFonts w:ascii="Times New Roman" w:hAnsi="Times New Roman"/>
          <w:sz w:val="24"/>
          <w:szCs w:val="24"/>
        </w:rPr>
        <w:t xml:space="preserve"> povinný zaplatiť </w:t>
      </w:r>
      <w:r w:rsidR="00483753">
        <w:rPr>
          <w:rFonts w:ascii="Times New Roman" w:hAnsi="Times New Roman"/>
          <w:sz w:val="24"/>
          <w:szCs w:val="24"/>
        </w:rPr>
        <w:t>Dodávateľovi</w:t>
      </w:r>
      <w:r w:rsidRPr="006356BB">
        <w:rPr>
          <w:rFonts w:ascii="Times New Roman" w:hAnsi="Times New Roman"/>
          <w:sz w:val="24"/>
          <w:szCs w:val="24"/>
        </w:rPr>
        <w:t xml:space="preserve"> cenu za už </w:t>
      </w:r>
      <w:r w:rsidR="00483753">
        <w:rPr>
          <w:rFonts w:ascii="Times New Roman" w:hAnsi="Times New Roman"/>
          <w:sz w:val="24"/>
          <w:szCs w:val="24"/>
        </w:rPr>
        <w:t>Objednávateľo</w:t>
      </w:r>
      <w:r w:rsidRPr="006356BB">
        <w:rPr>
          <w:rFonts w:ascii="Times New Roman" w:hAnsi="Times New Roman"/>
          <w:sz w:val="24"/>
          <w:szCs w:val="24"/>
        </w:rPr>
        <w:t xml:space="preserve">m prevzatý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 w:rsidRPr="006356BB">
        <w:rPr>
          <w:rFonts w:ascii="Times New Roman" w:hAnsi="Times New Roman"/>
          <w:sz w:val="24"/>
          <w:szCs w:val="24"/>
        </w:rPr>
        <w:t>Tovar</w:t>
      </w:r>
      <w:r w:rsidRPr="006356BB">
        <w:rPr>
          <w:rFonts w:ascii="Times New Roman" w:hAnsi="Times New Roman"/>
          <w:sz w:val="24"/>
          <w:szCs w:val="24"/>
        </w:rPr>
        <w:t>u platia podmienky dohodnuté v Zmluve.</w:t>
      </w:r>
    </w:p>
    <w:p w14:paraId="3638E185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3F308CA6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490944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7994FE58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63EE69A8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4C583D41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483753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483753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písomne oznámenú adresu na doručovanie, alebo aktuálnu adresu sídla/miesta podnikania </w:t>
      </w:r>
      <w:r w:rsidR="00483753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032BDAD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65A39898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5021FE12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431CE63C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46B962A4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F5702">
        <w:rPr>
          <w:rFonts w:ascii="Times New Roman" w:hAnsi="Times New Roman"/>
          <w:sz w:val="24"/>
          <w:szCs w:val="24"/>
        </w:rPr>
        <w:t>Š</w:t>
      </w:r>
      <w:r w:rsidR="007D2AA3" w:rsidRPr="001623B9">
        <w:rPr>
          <w:rFonts w:ascii="Times New Roman" w:hAnsi="Times New Roman"/>
          <w:sz w:val="24"/>
          <w:szCs w:val="24"/>
        </w:rPr>
        <w:t xml:space="preserve">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5109F50F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14:paraId="060B253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4A007AC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3A533703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483753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14:paraId="25724CB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2CF63EDB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7DD635BD" w14:textId="77777777" w:rsidR="00410E6E" w:rsidRPr="00096247" w:rsidRDefault="00410E6E" w:rsidP="00410E6E"/>
    <w:p w14:paraId="1DD8A03A" w14:textId="77777777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1A87A19F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0500E5A" w14:textId="77777777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483753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7A43785F" w14:textId="0507237A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7DE8A1BF" w14:textId="77777777" w:rsidR="00BC28F8" w:rsidRDefault="00BC28F8" w:rsidP="00410E6E">
      <w:pPr>
        <w:jc w:val="both"/>
        <w:rPr>
          <w:rFonts w:ascii="Times New Roman" w:hAnsi="Times New Roman"/>
          <w:sz w:val="24"/>
          <w:szCs w:val="24"/>
        </w:rPr>
      </w:pPr>
    </w:p>
    <w:p w14:paraId="096DC103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5292442A" w14:textId="7EBFF2F1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D7FD44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F3D03" w14:textId="77777777" w:rsidR="00BC28F8" w:rsidRDefault="00BC28F8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04DE250" w14:textId="0A3DEE0D" w:rsidR="00F93997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p w14:paraId="04E229FD" w14:textId="04D604E6" w:rsidR="00F93997" w:rsidRDefault="00F93997" w:rsidP="00F93997">
      <w:pPr>
        <w:rPr>
          <w:rFonts w:ascii="Times New Roman" w:hAnsi="Times New Roman"/>
          <w:sz w:val="24"/>
          <w:szCs w:val="24"/>
        </w:rPr>
      </w:pPr>
    </w:p>
    <w:p w14:paraId="149B4BC2" w14:textId="77777777" w:rsidR="00F93997" w:rsidRDefault="00F93997" w:rsidP="00F93997">
      <w:pPr>
        <w:rPr>
          <w:rFonts w:ascii="Times New Roman" w:hAnsi="Times New Roman"/>
          <w:sz w:val="24"/>
          <w:szCs w:val="24"/>
        </w:rPr>
        <w:sectPr w:rsidR="00F93997" w:rsidSect="00B6385F">
          <w:footerReference w:type="default" r:id="rId9"/>
          <w:headerReference w:type="first" r:id="rId10"/>
          <w:pgSz w:w="11906" w:h="16838"/>
          <w:pgMar w:top="1304" w:right="1418" w:bottom="1304" w:left="1418" w:header="709" w:footer="709" w:gutter="0"/>
          <w:cols w:space="708"/>
          <w:titlePg/>
          <w:docGrid w:linePitch="360"/>
        </w:sectPr>
      </w:pPr>
    </w:p>
    <w:tbl>
      <w:tblPr>
        <w:tblpPr w:leftFromText="141" w:rightFromText="141" w:vertAnchor="text" w:tblpY="1"/>
        <w:tblOverlap w:val="never"/>
        <w:tblW w:w="14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2104"/>
        <w:gridCol w:w="4105"/>
        <w:gridCol w:w="1554"/>
        <w:gridCol w:w="2415"/>
        <w:gridCol w:w="1695"/>
        <w:gridCol w:w="2127"/>
      </w:tblGrid>
      <w:tr w:rsidR="000470C7" w:rsidRPr="00F93997" w14:paraId="0D895B96" w14:textId="77777777" w:rsidTr="00002F5E">
        <w:trPr>
          <w:trHeight w:val="185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F76179" w14:textId="77777777" w:rsidR="000470C7" w:rsidRPr="00F93997" w:rsidRDefault="000470C7" w:rsidP="0096326E">
            <w:pPr>
              <w:spacing w:after="0" w:line="240" w:lineRule="auto"/>
              <w:ind w:left="-7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Číslo položky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33C65" w14:textId="77777777" w:rsidR="000470C7" w:rsidRPr="00F93997" w:rsidRDefault="000470C7" w:rsidP="0096326E">
            <w:pPr>
              <w:spacing w:after="0" w:line="240" w:lineRule="auto"/>
              <w:ind w:left="-8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10B592" w14:textId="0A403397" w:rsidR="000470C7" w:rsidRPr="00F93997" w:rsidRDefault="000470C7" w:rsidP="00A45394">
            <w:pPr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Doba platnosti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licencií /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podpory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29BCC" w14:textId="17E7C862" w:rsidR="000470C7" w:rsidRPr="00F93997" w:rsidRDefault="000470C7" w:rsidP="00002F5E">
            <w:pPr>
              <w:spacing w:after="0" w:line="240" w:lineRule="auto"/>
              <w:ind w:left="-12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Počet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typu per user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 licencií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, pre ktoré je potrebné zabezpečiť podporu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EFC151" w14:textId="77777777" w:rsidR="000470C7" w:rsidRPr="00F93997" w:rsidRDefault="000470C7" w:rsidP="0096326E">
            <w:pPr>
              <w:spacing w:before="120" w:after="0" w:line="240" w:lineRule="auto"/>
              <w:ind w:left="-6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Jednotková cena za položku v EUR bez DPH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C1E560" w14:textId="5CBEDA48" w:rsidR="000470C7" w:rsidRPr="00F93997" w:rsidRDefault="000470C7" w:rsidP="00002F5E">
            <w:pPr>
              <w:spacing w:before="120" w:after="0" w:line="240" w:lineRule="auto"/>
              <w:ind w:left="-12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Celková cena za položku (súčin jedn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.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ceny za položku a počtu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licencií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 w:rsidR="00002F5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typu per user </w:t>
            </w:r>
            <w:r w:rsidR="00A45394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/ licencií,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pre ktoré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je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potrebné zabezpečiť podporu</w:t>
            </w: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) v EUR bez DPH</w:t>
            </w:r>
          </w:p>
        </w:tc>
      </w:tr>
      <w:tr w:rsidR="000470C7" w:rsidRPr="00F93997" w14:paraId="2BDBD150" w14:textId="77777777" w:rsidTr="00002F5E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3672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 w:rsidRPr="00F93997">
              <w:rPr>
                <w:rFonts w:ascii="Times New Roman" w:eastAsiaTheme="minorHAnsi" w:hAnsi="Times New Roman"/>
                <w:color w:val="000000"/>
              </w:rPr>
              <w:t>1</w:t>
            </w:r>
          </w:p>
        </w:tc>
        <w:tc>
          <w:tcPr>
            <w:tcW w:w="620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5B43" w14:textId="77777777" w:rsidR="00CF19DA" w:rsidRPr="00CF19DA" w:rsidRDefault="00CF19DA" w:rsidP="00CF19DA">
            <w:pPr>
              <w:spacing w:after="120" w:line="240" w:lineRule="auto"/>
              <w:ind w:left="19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F19DA">
              <w:rPr>
                <w:rFonts w:ascii="Times New Roman" w:eastAsiaTheme="minorHAnsi" w:hAnsi="Times New Roman"/>
                <w:color w:val="000000"/>
              </w:rPr>
              <w:t xml:space="preserve">Nákup nových licencií. Služba má poskytovať analyticko-vývojársky monitorovací nástroj pre systém ESSR (informačný systém pre správu registratúry). </w:t>
            </w:r>
          </w:p>
          <w:p w14:paraId="426AF547" w14:textId="77777777" w:rsidR="00CF19DA" w:rsidRPr="00CF19DA" w:rsidRDefault="00CF19DA" w:rsidP="00CF19DA">
            <w:pPr>
              <w:spacing w:after="120" w:line="240" w:lineRule="auto"/>
              <w:ind w:left="19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F19DA">
              <w:rPr>
                <w:rFonts w:ascii="Times New Roman" w:eastAsiaTheme="minorHAnsi" w:hAnsi="Times New Roman"/>
                <w:color w:val="000000"/>
              </w:rPr>
              <w:t xml:space="preserve">Umožniť monitorovať alokované HW prostriedky (zaplnenie diskov, vyťaženie pamäte RAM, alokácia CPU a pod.), odozvy systému (priemerné odozvy systému pre koncových používateľov alebo integračné volania, odozvy nad alebo pod určitú hodnotu, odozvy End-to-End a pod.), dostupnosť vlastných ale aj externých rozhraní. </w:t>
            </w:r>
          </w:p>
          <w:p w14:paraId="1C5079C4" w14:textId="77777777" w:rsidR="00CF19DA" w:rsidRPr="00CF19DA" w:rsidRDefault="00CF19DA" w:rsidP="00CF19DA">
            <w:pPr>
              <w:spacing w:after="120" w:line="240" w:lineRule="auto"/>
              <w:ind w:left="19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F19DA">
              <w:rPr>
                <w:rFonts w:ascii="Times New Roman" w:eastAsiaTheme="minorHAnsi" w:hAnsi="Times New Roman"/>
                <w:color w:val="000000"/>
              </w:rPr>
              <w:t xml:space="preserve">Monitorovať prácu jednotlivých používateľov v systéme až na úroveň RPC volaní jednotlivých serverov medzi sebou pri spracovaní požiadavky, alebo až na úroveň databázového dopytu. </w:t>
            </w:r>
          </w:p>
          <w:p w14:paraId="565C06EE" w14:textId="77777777" w:rsidR="00CF19DA" w:rsidRPr="00CF19DA" w:rsidRDefault="00CF19DA" w:rsidP="00CF19DA">
            <w:pPr>
              <w:spacing w:after="120" w:line="240" w:lineRule="auto"/>
              <w:ind w:left="19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F19DA">
              <w:rPr>
                <w:rFonts w:ascii="Times New Roman" w:eastAsiaTheme="minorHAnsi" w:hAnsi="Times New Roman"/>
                <w:color w:val="000000"/>
              </w:rPr>
              <w:t xml:space="preserve">Vďaka týmto vlastnostiam včas odchytiť stavy jednotlivých komponentov systému ESSR, ktorých následkom by mohol byť až celkový výpadok. </w:t>
            </w:r>
          </w:p>
          <w:p w14:paraId="2382B12E" w14:textId="448F2321" w:rsidR="00CF19DA" w:rsidRPr="00CF19DA" w:rsidRDefault="00CF19DA" w:rsidP="00CF19DA">
            <w:pPr>
              <w:spacing w:after="120" w:line="240" w:lineRule="auto"/>
              <w:ind w:left="19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F19DA">
              <w:rPr>
                <w:rFonts w:ascii="Times New Roman" w:eastAsiaTheme="minorHAnsi" w:hAnsi="Times New Roman"/>
                <w:color w:val="000000"/>
              </w:rPr>
              <w:t>Monitorovanie celého systém</w:t>
            </w:r>
            <w:r w:rsidR="00F0067A">
              <w:rPr>
                <w:rFonts w:ascii="Times New Roman" w:eastAsiaTheme="minorHAnsi" w:hAnsi="Times New Roman"/>
                <w:color w:val="000000"/>
              </w:rPr>
              <w:t>u</w:t>
            </w:r>
            <w:r w:rsidRPr="00CF19DA">
              <w:rPr>
                <w:rFonts w:ascii="Times New Roman" w:eastAsiaTheme="minorHAnsi" w:hAnsi="Times New Roman"/>
                <w:color w:val="000000"/>
              </w:rPr>
              <w:t xml:space="preserve"> ako po systémovej, tak aj po aplikačnej stránke, čoho výsledok je vyššia miera dostupnosti systému ESSR. </w:t>
            </w:r>
          </w:p>
          <w:p w14:paraId="00A81BDC" w14:textId="77777777" w:rsidR="00A45394" w:rsidRDefault="00CF19DA" w:rsidP="00CF19DA">
            <w:pPr>
              <w:spacing w:after="120" w:line="240" w:lineRule="auto"/>
              <w:ind w:left="193"/>
              <w:jc w:val="both"/>
              <w:rPr>
                <w:rFonts w:ascii="Times New Roman" w:eastAsiaTheme="minorHAnsi" w:hAnsi="Times New Roman"/>
                <w:color w:val="000000"/>
              </w:rPr>
            </w:pPr>
            <w:r w:rsidRPr="00CF19DA">
              <w:rPr>
                <w:rFonts w:ascii="Times New Roman" w:eastAsiaTheme="minorHAnsi" w:hAnsi="Times New Roman"/>
                <w:color w:val="000000"/>
              </w:rPr>
              <w:t>V prípade nahlásených incidentov od koncových používateľov, ale aj integrujúcich sa systémov, vedieť z telemetrie vyčítať akým spôsobom daný používateľ pracoval, s ktorými objektami narábal a tak vyhodnotiť, či zvolený spôsob práce je správny, prípadne či je možné daný stav opraviť, zlepšiť, zmeniť.</w:t>
            </w:r>
          </w:p>
          <w:p w14:paraId="5B44871B" w14:textId="20D3A943" w:rsidR="00CF19DA" w:rsidRPr="001E6E64" w:rsidRDefault="00CF19DA" w:rsidP="00CF19DA">
            <w:pPr>
              <w:spacing w:after="120" w:line="240" w:lineRule="auto"/>
              <w:ind w:left="193"/>
              <w:rPr>
                <w:rFonts w:ascii="Times New Roman" w:eastAsiaTheme="minorHAnsi" w:hAnsi="Times New Roman"/>
                <w:color w:val="000000"/>
              </w:rPr>
            </w:pPr>
            <w:r w:rsidRPr="00A45394">
              <w:rPr>
                <w:rFonts w:ascii="Times New Roman" w:eastAsiaTheme="minorHAnsi" w:hAnsi="Times New Roman"/>
                <w:i/>
                <w:color w:val="FF0000"/>
              </w:rPr>
              <w:t>Pozn.: Konkrétny názov licencie bude doplnený podľa ponuky úspešného uchádzača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FEACD" w14:textId="6445A079" w:rsidR="000470C7" w:rsidRPr="00A45394" w:rsidRDefault="00A45394" w:rsidP="00A45394">
            <w:pPr>
              <w:pStyle w:val="Odsekzoznamu"/>
              <w:spacing w:before="120" w:after="120" w:line="240" w:lineRule="auto"/>
              <w:ind w:left="62" w:firstLine="567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---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AC10" w14:textId="12F3D0D7" w:rsidR="000470C7" w:rsidRPr="00F93997" w:rsidRDefault="00A45394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CF19DA">
              <w:rPr>
                <w:rFonts w:ascii="Times New Roman" w:eastAsiaTheme="minorHAnsi" w:hAnsi="Times New Roman"/>
                <w:color w:val="000000"/>
              </w:rPr>
              <w:t>320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C9BD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02F1B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2DC5106D" w14:textId="77777777" w:rsidTr="00002F5E">
        <w:trPr>
          <w:trHeight w:val="1304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08C28" w14:textId="5C5DF074" w:rsidR="000470C7" w:rsidRDefault="00CF19DA" w:rsidP="0096326E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lastRenderedPageBreak/>
              <w:t>2</w:t>
            </w:r>
          </w:p>
        </w:tc>
        <w:tc>
          <w:tcPr>
            <w:tcW w:w="62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4416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Podpora pre licencie položky č. 1 na obdobie od 01.01.2023 do 31.12.2023 zahŕňa:</w:t>
            </w:r>
          </w:p>
          <w:p w14:paraId="15CAEE70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 xml:space="preserve">- nárok na aktuálne verzie a </w:t>
            </w:r>
            <w:proofErr w:type="spellStart"/>
            <w:r w:rsidRPr="00CF19DA">
              <w:rPr>
                <w:rFonts w:ascii="Times New Roman" w:eastAsiaTheme="minorHAnsi" w:hAnsi="Times New Roman"/>
              </w:rPr>
              <w:t>release</w:t>
            </w:r>
            <w:proofErr w:type="spellEnd"/>
            <w:r w:rsidRPr="00CF19DA">
              <w:rPr>
                <w:rFonts w:ascii="Times New Roman" w:eastAsiaTheme="minorHAnsi" w:hAnsi="Times New Roman"/>
              </w:rPr>
              <w:t xml:space="preserve"> základného softvérového produktu,</w:t>
            </w:r>
          </w:p>
          <w:p w14:paraId="252A0E7D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- sprístupnenie programov  na nosiči dát s návodom na inštaláciu a popisom vecných a technických zmien vo vzťahu k hlavným funkciám systému,</w:t>
            </w:r>
          </w:p>
          <w:p w14:paraId="597A960B" w14:textId="77777777" w:rsidR="00CF19DA" w:rsidRPr="00CF19DA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- nové vydania a dodatky základného softvérového produktu budú  ponúknuté v primeranom časovom rozpätí podľa ich dispozície,</w:t>
            </w:r>
          </w:p>
          <w:p w14:paraId="5D27B7C8" w14:textId="4EDB0C85" w:rsidR="00A45394" w:rsidRDefault="00CF19DA" w:rsidP="00CF19DA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CF19DA">
              <w:rPr>
                <w:rFonts w:ascii="Times New Roman" w:eastAsiaTheme="minorHAnsi" w:hAnsi="Times New Roman"/>
              </w:rPr>
              <w:t>- najnovšie softvérové informácie, ktoré umožnia korektné využitie základného softvérového produktu</w:t>
            </w:r>
          </w:p>
          <w:p w14:paraId="30D881D1" w14:textId="4AFD0669" w:rsidR="00A45394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  <w:r w:rsidRPr="00A45394">
              <w:rPr>
                <w:rFonts w:ascii="Times New Roman" w:eastAsiaTheme="minorHAnsi" w:hAnsi="Times New Roman"/>
                <w:i/>
                <w:color w:val="FF0000"/>
              </w:rPr>
              <w:t xml:space="preserve">Pozn.: Konkrétny názov </w:t>
            </w:r>
            <w:r>
              <w:rPr>
                <w:rFonts w:ascii="Times New Roman" w:eastAsiaTheme="minorHAnsi" w:hAnsi="Times New Roman"/>
                <w:i/>
                <w:color w:val="FF0000"/>
              </w:rPr>
              <w:t>podpory</w:t>
            </w:r>
            <w:r w:rsidRPr="00A45394">
              <w:rPr>
                <w:rFonts w:ascii="Times New Roman" w:eastAsiaTheme="minorHAnsi" w:hAnsi="Times New Roman"/>
                <w:i/>
                <w:color w:val="FF0000"/>
              </w:rPr>
              <w:t xml:space="preserve"> bude doplnený podľa ponuky úspešného uchádzača</w:t>
            </w:r>
            <w:r>
              <w:rPr>
                <w:rFonts w:ascii="Times New Roman" w:eastAsiaTheme="minorHAnsi" w:hAnsi="Times New Roman"/>
                <w:color w:val="000000"/>
              </w:rPr>
              <w:t>.</w:t>
            </w:r>
          </w:p>
          <w:p w14:paraId="316DB1E6" w14:textId="60FBA43C" w:rsidR="00A45394" w:rsidRPr="00354F28" w:rsidRDefault="00A45394" w:rsidP="00A45394">
            <w:pPr>
              <w:spacing w:after="0" w:line="240" w:lineRule="auto"/>
              <w:ind w:left="190"/>
              <w:jc w:val="both"/>
              <w:rPr>
                <w:rFonts w:ascii="Times New Roman" w:eastAsiaTheme="minorHAnsi" w:hAnsi="Times New Roman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E9673" w14:textId="263F8E67" w:rsidR="000470C7" w:rsidRDefault="00CF19DA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 xml:space="preserve">12 </w:t>
            </w:r>
            <w:r w:rsidR="00A45394">
              <w:rPr>
                <w:rFonts w:ascii="Times New Roman" w:eastAsiaTheme="minorHAnsi" w:hAnsi="Times New Roman"/>
                <w:color w:val="000000"/>
              </w:rPr>
              <w:t>mesiacov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2C4" w14:textId="4A111535" w:rsidR="000470C7" w:rsidRDefault="00CF19DA" w:rsidP="00E96A11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  <w:r>
              <w:rPr>
                <w:rFonts w:ascii="Times New Roman" w:eastAsiaTheme="minorHAnsi" w:hAnsi="Times New Roman"/>
                <w:color w:val="000000"/>
              </w:rPr>
              <w:t>1</w:t>
            </w:r>
            <w:r w:rsidR="00A45394">
              <w:rPr>
                <w:rFonts w:ascii="Times New Roman" w:eastAsiaTheme="minorHAnsi" w:hAnsi="Times New Roman"/>
                <w:color w:val="000000"/>
              </w:rPr>
              <w:t>3</w:t>
            </w:r>
            <w:r>
              <w:rPr>
                <w:rFonts w:ascii="Times New Roman" w:eastAsiaTheme="minorHAnsi" w:hAnsi="Times New Roman"/>
                <w:color w:val="000000"/>
              </w:rPr>
              <w:t>20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0614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5150B" w14:textId="77777777" w:rsidR="000470C7" w:rsidRPr="00F93997" w:rsidRDefault="000470C7" w:rsidP="0096326E">
            <w:pPr>
              <w:spacing w:before="120" w:after="120" w:line="240" w:lineRule="auto"/>
              <w:ind w:left="340" w:hanging="340"/>
              <w:jc w:val="center"/>
              <w:rPr>
                <w:rFonts w:ascii="Times New Roman" w:eastAsiaTheme="minorHAnsi" w:hAnsi="Times New Roman"/>
                <w:color w:val="000000"/>
              </w:rPr>
            </w:pPr>
          </w:p>
        </w:tc>
      </w:tr>
      <w:tr w:rsidR="000470C7" w:rsidRPr="00F93997" w14:paraId="010C4C65" w14:textId="04860916" w:rsidTr="00CF19DA">
        <w:trPr>
          <w:gridAfter w:val="3"/>
          <w:wAfter w:w="6237" w:type="dxa"/>
          <w:trHeight w:val="504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2AF9ADE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bez DPH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47902C9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25173D6D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0470C7" w:rsidRPr="00F93997" w14:paraId="3B052AD5" w14:textId="079C4D6D" w:rsidTr="00CF19DA">
        <w:trPr>
          <w:gridAfter w:val="3"/>
          <w:wAfter w:w="6237" w:type="dxa"/>
          <w:trHeight w:val="552"/>
        </w:trPr>
        <w:tc>
          <w:tcPr>
            <w:tcW w:w="2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4FDB6B7F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F93997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Cena za celý predmet zákazky s DPH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noWrap/>
          </w:tcPr>
          <w:p w14:paraId="2FB7D8CE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</w:tcPr>
          <w:p w14:paraId="12530560" w14:textId="77777777" w:rsidR="000470C7" w:rsidRPr="00F93997" w:rsidRDefault="000470C7" w:rsidP="00963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</w:p>
        </w:tc>
      </w:tr>
    </w:tbl>
    <w:p w14:paraId="68135D88" w14:textId="479423E4" w:rsidR="00ED03D1" w:rsidRPr="00F93997" w:rsidRDefault="00ED03D1" w:rsidP="00F93997">
      <w:pPr>
        <w:tabs>
          <w:tab w:val="left" w:pos="8340"/>
        </w:tabs>
        <w:rPr>
          <w:rFonts w:ascii="Times New Roman" w:hAnsi="Times New Roman"/>
          <w:sz w:val="24"/>
          <w:szCs w:val="24"/>
        </w:rPr>
      </w:pPr>
    </w:p>
    <w:sectPr w:rsidR="00ED03D1" w:rsidRPr="00F93997" w:rsidSect="00AE5A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DE3745" w14:textId="77777777" w:rsidR="00021288" w:rsidRDefault="00021288">
      <w:pPr>
        <w:spacing w:after="0" w:line="240" w:lineRule="auto"/>
      </w:pPr>
      <w:r>
        <w:separator/>
      </w:r>
    </w:p>
  </w:endnote>
  <w:endnote w:type="continuationSeparator" w:id="0">
    <w:p w14:paraId="1E652BB3" w14:textId="77777777" w:rsidR="00021288" w:rsidRDefault="00021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7D4D8" w14:textId="16B5CF3E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66AFB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266AFB">
      <w:rPr>
        <w:rFonts w:ascii="Times New Roman" w:hAnsi="Times New Roman"/>
        <w:bCs/>
        <w:noProof/>
      </w:rPr>
      <w:t>13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6FCD18" w14:textId="77777777" w:rsidR="00D440CB" w:rsidRDefault="00266AF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4FE" w14:textId="77777777" w:rsidR="00D440CB" w:rsidRDefault="00266AFB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9525C8" w14:textId="77777777" w:rsidR="00D440CB" w:rsidRDefault="00266AF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0F9DF" w14:textId="77777777" w:rsidR="00021288" w:rsidRDefault="00021288">
      <w:pPr>
        <w:spacing w:after="0" w:line="240" w:lineRule="auto"/>
      </w:pPr>
      <w:r>
        <w:separator/>
      </w:r>
    </w:p>
  </w:footnote>
  <w:footnote w:type="continuationSeparator" w:id="0">
    <w:p w14:paraId="5B3C92A8" w14:textId="77777777" w:rsidR="00021288" w:rsidRDefault="00021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8D0AD" w14:textId="3565E396" w:rsidR="007C204F" w:rsidRPr="003E376D" w:rsidRDefault="003E376D" w:rsidP="003E376D">
    <w:pPr>
      <w:pStyle w:val="Hlavika"/>
      <w:jc w:val="right"/>
      <w:rPr>
        <w:rFonts w:ascii="Times New Roman" w:hAnsi="Times New Roman"/>
        <w:b/>
        <w:bCs/>
        <w:sz w:val="20"/>
        <w:szCs w:val="20"/>
        <w:lang w:val="sk-SK"/>
      </w:rPr>
    </w:pPr>
    <w:r w:rsidRPr="003E376D">
      <w:rPr>
        <w:rFonts w:ascii="Times New Roman" w:hAnsi="Times New Roman"/>
        <w:b/>
        <w:bCs/>
        <w:sz w:val="20"/>
        <w:szCs w:val="20"/>
        <w:lang w:val="sk-SK"/>
      </w:rPr>
      <w:t>Číslo zmluvy:</w:t>
    </w:r>
    <w:r w:rsidR="00AA468A">
      <w:rPr>
        <w:rFonts w:ascii="Times New Roman" w:hAnsi="Times New Roman"/>
        <w:b/>
        <w:bCs/>
        <w:sz w:val="20"/>
        <w:szCs w:val="20"/>
        <w:lang w:val="sk-SK"/>
      </w:rPr>
      <w:t xml:space="preserve"> .........................................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763A3D" w14:textId="77777777" w:rsidR="00D440CB" w:rsidRDefault="00266AFB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50829" w14:textId="59801B34" w:rsidR="00B74E30" w:rsidRPr="00B74E30" w:rsidRDefault="00AA468A" w:rsidP="00B74E30">
    <w:pPr>
      <w:pStyle w:val="Hlavika"/>
      <w:jc w:val="righ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Príloha k </w:t>
    </w:r>
    <w:r w:rsidRPr="00045C17">
      <w:rPr>
        <w:rFonts w:ascii="Times New Roman" w:hAnsi="Times New Roman"/>
        <w:b/>
      </w:rPr>
      <w:t>Zmluv</w:t>
    </w:r>
    <w:r>
      <w:rPr>
        <w:rFonts w:ascii="Times New Roman" w:hAnsi="Times New Roman"/>
        <w:b/>
      </w:rPr>
      <w:t>e</w:t>
    </w:r>
    <w:r w:rsidRPr="00045C17">
      <w:rPr>
        <w:rFonts w:ascii="Times New Roman" w:hAnsi="Times New Roman"/>
        <w:b/>
      </w:rPr>
      <w:t xml:space="preserve"> o zabezpečení </w:t>
    </w:r>
    <w:r w:rsidR="000470C7">
      <w:rPr>
        <w:rFonts w:ascii="Times New Roman" w:hAnsi="Times New Roman"/>
        <w:b/>
        <w:lang w:val="sk-SK"/>
      </w:rPr>
      <w:t xml:space="preserve">licencií a </w:t>
    </w:r>
    <w:r>
      <w:rPr>
        <w:rFonts w:ascii="Times New Roman" w:hAnsi="Times New Roman"/>
        <w:b/>
      </w:rPr>
      <w:t xml:space="preserve">podpory </w:t>
    </w:r>
    <w:r w:rsidRPr="00045C17">
      <w:rPr>
        <w:rFonts w:ascii="Times New Roman" w:hAnsi="Times New Roman"/>
        <w:b/>
      </w:rPr>
      <w:t xml:space="preserve">číslo </w:t>
    </w:r>
    <w:r>
      <w:rPr>
        <w:rFonts w:ascii="Times New Roman" w:hAnsi="Times New Roman"/>
        <w:b/>
      </w:rPr>
      <w:t>..................................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E3A30" w14:textId="77777777" w:rsidR="00D440CB" w:rsidRDefault="00266AF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E07AB"/>
    <w:multiLevelType w:val="hybridMultilevel"/>
    <w:tmpl w:val="1876B7D8"/>
    <w:lvl w:ilvl="0" w:tplc="15329D7C">
      <w:start w:val="3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B4297"/>
    <w:multiLevelType w:val="hybridMultilevel"/>
    <w:tmpl w:val="01B000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6E45"/>
    <w:multiLevelType w:val="hybridMultilevel"/>
    <w:tmpl w:val="7E7E0A7A"/>
    <w:lvl w:ilvl="0" w:tplc="7692353A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8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13D58"/>
    <w:multiLevelType w:val="hybridMultilevel"/>
    <w:tmpl w:val="C860C20E"/>
    <w:lvl w:ilvl="0" w:tplc="70588294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E02917"/>
    <w:multiLevelType w:val="hybridMultilevel"/>
    <w:tmpl w:val="4120EE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27A32"/>
    <w:multiLevelType w:val="hybridMultilevel"/>
    <w:tmpl w:val="3B3832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5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0"/>
  </w:num>
  <w:num w:numId="2">
    <w:abstractNumId w:val="48"/>
  </w:num>
  <w:num w:numId="3">
    <w:abstractNumId w:val="5"/>
  </w:num>
  <w:num w:numId="4">
    <w:abstractNumId w:val="39"/>
  </w:num>
  <w:num w:numId="5">
    <w:abstractNumId w:val="23"/>
  </w:num>
  <w:num w:numId="6">
    <w:abstractNumId w:val="41"/>
  </w:num>
  <w:num w:numId="7">
    <w:abstractNumId w:val="9"/>
  </w:num>
  <w:num w:numId="8">
    <w:abstractNumId w:val="45"/>
  </w:num>
  <w:num w:numId="9">
    <w:abstractNumId w:val="17"/>
  </w:num>
  <w:num w:numId="10">
    <w:abstractNumId w:val="40"/>
  </w:num>
  <w:num w:numId="11">
    <w:abstractNumId w:val="11"/>
  </w:num>
  <w:num w:numId="12">
    <w:abstractNumId w:val="27"/>
  </w:num>
  <w:num w:numId="13">
    <w:abstractNumId w:val="38"/>
  </w:num>
  <w:num w:numId="14">
    <w:abstractNumId w:val="21"/>
  </w:num>
  <w:num w:numId="15">
    <w:abstractNumId w:val="47"/>
  </w:num>
  <w:num w:numId="16">
    <w:abstractNumId w:val="30"/>
  </w:num>
  <w:num w:numId="17">
    <w:abstractNumId w:val="26"/>
  </w:num>
  <w:num w:numId="18">
    <w:abstractNumId w:val="10"/>
  </w:num>
  <w:num w:numId="19">
    <w:abstractNumId w:val="18"/>
  </w:num>
  <w:num w:numId="20">
    <w:abstractNumId w:val="7"/>
  </w:num>
  <w:num w:numId="21">
    <w:abstractNumId w:val="33"/>
  </w:num>
  <w:num w:numId="22">
    <w:abstractNumId w:val="2"/>
  </w:num>
  <w:num w:numId="23">
    <w:abstractNumId w:val="4"/>
  </w:num>
  <w:num w:numId="24">
    <w:abstractNumId w:val="37"/>
  </w:num>
  <w:num w:numId="25">
    <w:abstractNumId w:val="12"/>
  </w:num>
  <w:num w:numId="26">
    <w:abstractNumId w:val="46"/>
  </w:num>
  <w:num w:numId="27">
    <w:abstractNumId w:val="34"/>
  </w:num>
  <w:num w:numId="28">
    <w:abstractNumId w:val="28"/>
  </w:num>
  <w:num w:numId="29">
    <w:abstractNumId w:val="36"/>
  </w:num>
  <w:num w:numId="30">
    <w:abstractNumId w:val="32"/>
  </w:num>
  <w:num w:numId="31">
    <w:abstractNumId w:val="29"/>
  </w:num>
  <w:num w:numId="32">
    <w:abstractNumId w:val="13"/>
  </w:num>
  <w:num w:numId="33">
    <w:abstractNumId w:val="0"/>
  </w:num>
  <w:num w:numId="34">
    <w:abstractNumId w:val="43"/>
  </w:num>
  <w:num w:numId="35">
    <w:abstractNumId w:val="22"/>
  </w:num>
  <w:num w:numId="36">
    <w:abstractNumId w:val="14"/>
  </w:num>
  <w:num w:numId="37">
    <w:abstractNumId w:val="25"/>
  </w:num>
  <w:num w:numId="38">
    <w:abstractNumId w:val="42"/>
  </w:num>
  <w:num w:numId="39">
    <w:abstractNumId w:val="16"/>
  </w:num>
  <w:num w:numId="40">
    <w:abstractNumId w:val="19"/>
  </w:num>
  <w:num w:numId="41">
    <w:abstractNumId w:val="1"/>
  </w:num>
  <w:num w:numId="42">
    <w:abstractNumId w:val="8"/>
  </w:num>
  <w:num w:numId="43">
    <w:abstractNumId w:val="15"/>
  </w:num>
  <w:num w:numId="44">
    <w:abstractNumId w:val="24"/>
  </w:num>
  <w:num w:numId="45">
    <w:abstractNumId w:val="44"/>
  </w:num>
  <w:num w:numId="46">
    <w:abstractNumId w:val="6"/>
  </w:num>
  <w:num w:numId="47">
    <w:abstractNumId w:val="35"/>
  </w:num>
  <w:num w:numId="48">
    <w:abstractNumId w:val="31"/>
  </w:num>
  <w:num w:numId="49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0EEB"/>
    <w:rsid w:val="00001679"/>
    <w:rsid w:val="00001BFA"/>
    <w:rsid w:val="000025C9"/>
    <w:rsid w:val="00002D74"/>
    <w:rsid w:val="00002F5E"/>
    <w:rsid w:val="000032FF"/>
    <w:rsid w:val="0000534F"/>
    <w:rsid w:val="00005E63"/>
    <w:rsid w:val="00010B95"/>
    <w:rsid w:val="000117F2"/>
    <w:rsid w:val="0001472C"/>
    <w:rsid w:val="00017D66"/>
    <w:rsid w:val="00021288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46322"/>
    <w:rsid w:val="000470C7"/>
    <w:rsid w:val="0005033C"/>
    <w:rsid w:val="000509F7"/>
    <w:rsid w:val="00050C2C"/>
    <w:rsid w:val="000538D5"/>
    <w:rsid w:val="00055C50"/>
    <w:rsid w:val="00061005"/>
    <w:rsid w:val="00061C4E"/>
    <w:rsid w:val="00062CBA"/>
    <w:rsid w:val="00070C85"/>
    <w:rsid w:val="000710B0"/>
    <w:rsid w:val="00071822"/>
    <w:rsid w:val="00075914"/>
    <w:rsid w:val="00076047"/>
    <w:rsid w:val="00076F95"/>
    <w:rsid w:val="0008074E"/>
    <w:rsid w:val="00083898"/>
    <w:rsid w:val="000853FB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B7EA8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6AD0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16D4E"/>
    <w:rsid w:val="00126C4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21DA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6E64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38B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550F6"/>
    <w:rsid w:val="00256D25"/>
    <w:rsid w:val="00262DB5"/>
    <w:rsid w:val="002639A0"/>
    <w:rsid w:val="00266AFB"/>
    <w:rsid w:val="00266FEB"/>
    <w:rsid w:val="002674B7"/>
    <w:rsid w:val="00267E76"/>
    <w:rsid w:val="0027121A"/>
    <w:rsid w:val="00275499"/>
    <w:rsid w:val="0028097C"/>
    <w:rsid w:val="00281B7D"/>
    <w:rsid w:val="00284010"/>
    <w:rsid w:val="0028500C"/>
    <w:rsid w:val="0028724E"/>
    <w:rsid w:val="0028725E"/>
    <w:rsid w:val="002944E4"/>
    <w:rsid w:val="0029466E"/>
    <w:rsid w:val="00295B44"/>
    <w:rsid w:val="00296A94"/>
    <w:rsid w:val="002A0CE1"/>
    <w:rsid w:val="002A1DD9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194A"/>
    <w:rsid w:val="003025AC"/>
    <w:rsid w:val="00305467"/>
    <w:rsid w:val="00307B10"/>
    <w:rsid w:val="00311D3C"/>
    <w:rsid w:val="003161C1"/>
    <w:rsid w:val="003219C3"/>
    <w:rsid w:val="00321D4B"/>
    <w:rsid w:val="00322CE5"/>
    <w:rsid w:val="00323A67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28"/>
    <w:rsid w:val="00354F9F"/>
    <w:rsid w:val="0035667E"/>
    <w:rsid w:val="003569F9"/>
    <w:rsid w:val="0035769E"/>
    <w:rsid w:val="00363470"/>
    <w:rsid w:val="00366C19"/>
    <w:rsid w:val="00371C59"/>
    <w:rsid w:val="00380DA3"/>
    <w:rsid w:val="00381182"/>
    <w:rsid w:val="00383F89"/>
    <w:rsid w:val="003876F0"/>
    <w:rsid w:val="0039112F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B7EAA"/>
    <w:rsid w:val="003C1E78"/>
    <w:rsid w:val="003C307E"/>
    <w:rsid w:val="003C51B4"/>
    <w:rsid w:val="003C75B6"/>
    <w:rsid w:val="003C7C78"/>
    <w:rsid w:val="003D071A"/>
    <w:rsid w:val="003D675E"/>
    <w:rsid w:val="003E12D4"/>
    <w:rsid w:val="003E376D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3EED"/>
    <w:rsid w:val="0042553B"/>
    <w:rsid w:val="004259F3"/>
    <w:rsid w:val="00425CC8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85A"/>
    <w:rsid w:val="00452F49"/>
    <w:rsid w:val="004575EF"/>
    <w:rsid w:val="00461A51"/>
    <w:rsid w:val="00461B95"/>
    <w:rsid w:val="00462926"/>
    <w:rsid w:val="00462B18"/>
    <w:rsid w:val="00465D61"/>
    <w:rsid w:val="004674FB"/>
    <w:rsid w:val="004675BB"/>
    <w:rsid w:val="00470065"/>
    <w:rsid w:val="00470BBB"/>
    <w:rsid w:val="00470D94"/>
    <w:rsid w:val="00472CB8"/>
    <w:rsid w:val="00475B84"/>
    <w:rsid w:val="00475DC4"/>
    <w:rsid w:val="0047668E"/>
    <w:rsid w:val="00477E2D"/>
    <w:rsid w:val="00483753"/>
    <w:rsid w:val="004851FD"/>
    <w:rsid w:val="00485E18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0054"/>
    <w:rsid w:val="004E447E"/>
    <w:rsid w:val="004E5217"/>
    <w:rsid w:val="004E69B9"/>
    <w:rsid w:val="004F0548"/>
    <w:rsid w:val="004F5AAD"/>
    <w:rsid w:val="004F6107"/>
    <w:rsid w:val="00500626"/>
    <w:rsid w:val="00502A3D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2BFA"/>
    <w:rsid w:val="00524A1B"/>
    <w:rsid w:val="005258D2"/>
    <w:rsid w:val="00527982"/>
    <w:rsid w:val="00530EF8"/>
    <w:rsid w:val="0053132F"/>
    <w:rsid w:val="00531E4E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0F57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1B3"/>
    <w:rsid w:val="005B7790"/>
    <w:rsid w:val="005B78CC"/>
    <w:rsid w:val="005C53A8"/>
    <w:rsid w:val="005C6D27"/>
    <w:rsid w:val="005D26B5"/>
    <w:rsid w:val="005D7F8B"/>
    <w:rsid w:val="005E2C33"/>
    <w:rsid w:val="005E5ADA"/>
    <w:rsid w:val="005E5F85"/>
    <w:rsid w:val="005E7197"/>
    <w:rsid w:val="005F2DE2"/>
    <w:rsid w:val="005F7872"/>
    <w:rsid w:val="00601C90"/>
    <w:rsid w:val="00604087"/>
    <w:rsid w:val="00606331"/>
    <w:rsid w:val="00611110"/>
    <w:rsid w:val="00612090"/>
    <w:rsid w:val="00616D96"/>
    <w:rsid w:val="0062158B"/>
    <w:rsid w:val="00623FF9"/>
    <w:rsid w:val="00625076"/>
    <w:rsid w:val="00631A9C"/>
    <w:rsid w:val="0063297D"/>
    <w:rsid w:val="00633E74"/>
    <w:rsid w:val="006341FA"/>
    <w:rsid w:val="006349C1"/>
    <w:rsid w:val="006356BB"/>
    <w:rsid w:val="006357F9"/>
    <w:rsid w:val="00636260"/>
    <w:rsid w:val="006407BF"/>
    <w:rsid w:val="00642906"/>
    <w:rsid w:val="0064361C"/>
    <w:rsid w:val="00644E0B"/>
    <w:rsid w:val="00644FAF"/>
    <w:rsid w:val="00645995"/>
    <w:rsid w:val="00653E4F"/>
    <w:rsid w:val="00656BAE"/>
    <w:rsid w:val="006608D8"/>
    <w:rsid w:val="00660D70"/>
    <w:rsid w:val="00660F4C"/>
    <w:rsid w:val="00666854"/>
    <w:rsid w:val="00667D9E"/>
    <w:rsid w:val="0067169B"/>
    <w:rsid w:val="0067246B"/>
    <w:rsid w:val="00672F1D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5FEC"/>
    <w:rsid w:val="006C7DEA"/>
    <w:rsid w:val="006D3B33"/>
    <w:rsid w:val="006D41B6"/>
    <w:rsid w:val="006D592F"/>
    <w:rsid w:val="006E021D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180C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37CEC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01D"/>
    <w:rsid w:val="007977DB"/>
    <w:rsid w:val="007A18E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4F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5FBD"/>
    <w:rsid w:val="007E751A"/>
    <w:rsid w:val="007F17B2"/>
    <w:rsid w:val="007F38D8"/>
    <w:rsid w:val="007F540C"/>
    <w:rsid w:val="007F5702"/>
    <w:rsid w:val="00800429"/>
    <w:rsid w:val="0080092E"/>
    <w:rsid w:val="00804339"/>
    <w:rsid w:val="00805506"/>
    <w:rsid w:val="00806EE4"/>
    <w:rsid w:val="00812098"/>
    <w:rsid w:val="00812D07"/>
    <w:rsid w:val="00814457"/>
    <w:rsid w:val="00814D39"/>
    <w:rsid w:val="00820220"/>
    <w:rsid w:val="00820565"/>
    <w:rsid w:val="0082333A"/>
    <w:rsid w:val="00823AED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2AF6"/>
    <w:rsid w:val="008437A3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36AE"/>
    <w:rsid w:val="008955AA"/>
    <w:rsid w:val="00896024"/>
    <w:rsid w:val="008A608D"/>
    <w:rsid w:val="008A764C"/>
    <w:rsid w:val="008B0399"/>
    <w:rsid w:val="008B6485"/>
    <w:rsid w:val="008C1BEF"/>
    <w:rsid w:val="008C34CF"/>
    <w:rsid w:val="008C4AD9"/>
    <w:rsid w:val="008D19B9"/>
    <w:rsid w:val="008D35F2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533A"/>
    <w:rsid w:val="009156BA"/>
    <w:rsid w:val="009176AE"/>
    <w:rsid w:val="00917A30"/>
    <w:rsid w:val="00921733"/>
    <w:rsid w:val="009230B7"/>
    <w:rsid w:val="009236A0"/>
    <w:rsid w:val="00923A64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2E30"/>
    <w:rsid w:val="0096326E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5C9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421"/>
    <w:rsid w:val="009D6B33"/>
    <w:rsid w:val="009D7CCA"/>
    <w:rsid w:val="009E0A01"/>
    <w:rsid w:val="009E2997"/>
    <w:rsid w:val="009E3047"/>
    <w:rsid w:val="009E3F8C"/>
    <w:rsid w:val="009F5AA9"/>
    <w:rsid w:val="009F6E6D"/>
    <w:rsid w:val="00A0000C"/>
    <w:rsid w:val="00A0040C"/>
    <w:rsid w:val="00A00616"/>
    <w:rsid w:val="00A01B73"/>
    <w:rsid w:val="00A02AD5"/>
    <w:rsid w:val="00A04081"/>
    <w:rsid w:val="00A042C9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394"/>
    <w:rsid w:val="00A45A27"/>
    <w:rsid w:val="00A474D7"/>
    <w:rsid w:val="00A514AA"/>
    <w:rsid w:val="00A52129"/>
    <w:rsid w:val="00A53A7E"/>
    <w:rsid w:val="00A55C8B"/>
    <w:rsid w:val="00A57519"/>
    <w:rsid w:val="00A6084F"/>
    <w:rsid w:val="00A61A93"/>
    <w:rsid w:val="00A6307E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5C7"/>
    <w:rsid w:val="00AA468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5ABF"/>
    <w:rsid w:val="00AE63E6"/>
    <w:rsid w:val="00AE71C6"/>
    <w:rsid w:val="00AF0BC1"/>
    <w:rsid w:val="00AF224D"/>
    <w:rsid w:val="00AF273B"/>
    <w:rsid w:val="00AF3096"/>
    <w:rsid w:val="00AF3E78"/>
    <w:rsid w:val="00AF59FC"/>
    <w:rsid w:val="00B00F40"/>
    <w:rsid w:val="00B0482D"/>
    <w:rsid w:val="00B060CA"/>
    <w:rsid w:val="00B11FCB"/>
    <w:rsid w:val="00B13C85"/>
    <w:rsid w:val="00B1700C"/>
    <w:rsid w:val="00B17B40"/>
    <w:rsid w:val="00B219F9"/>
    <w:rsid w:val="00B22264"/>
    <w:rsid w:val="00B2664B"/>
    <w:rsid w:val="00B26744"/>
    <w:rsid w:val="00B26892"/>
    <w:rsid w:val="00B2699E"/>
    <w:rsid w:val="00B340B7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57B9F"/>
    <w:rsid w:val="00B627CA"/>
    <w:rsid w:val="00B6385F"/>
    <w:rsid w:val="00B67C19"/>
    <w:rsid w:val="00B704CF"/>
    <w:rsid w:val="00B72E99"/>
    <w:rsid w:val="00B733C9"/>
    <w:rsid w:val="00B74284"/>
    <w:rsid w:val="00B7600F"/>
    <w:rsid w:val="00B76887"/>
    <w:rsid w:val="00B8119E"/>
    <w:rsid w:val="00B85AB9"/>
    <w:rsid w:val="00B90763"/>
    <w:rsid w:val="00B9094A"/>
    <w:rsid w:val="00B913AC"/>
    <w:rsid w:val="00B91D22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28F8"/>
    <w:rsid w:val="00BC5136"/>
    <w:rsid w:val="00BC600E"/>
    <w:rsid w:val="00BC69BC"/>
    <w:rsid w:val="00BC7526"/>
    <w:rsid w:val="00BC7EBE"/>
    <w:rsid w:val="00BD19B5"/>
    <w:rsid w:val="00BD1C92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5CD7"/>
    <w:rsid w:val="00C073A5"/>
    <w:rsid w:val="00C11BBA"/>
    <w:rsid w:val="00C1413D"/>
    <w:rsid w:val="00C22AB9"/>
    <w:rsid w:val="00C2468D"/>
    <w:rsid w:val="00C3427C"/>
    <w:rsid w:val="00C3443C"/>
    <w:rsid w:val="00C34D7E"/>
    <w:rsid w:val="00C3525A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439A"/>
    <w:rsid w:val="00C76CEE"/>
    <w:rsid w:val="00C8199D"/>
    <w:rsid w:val="00C83186"/>
    <w:rsid w:val="00C83555"/>
    <w:rsid w:val="00C873AA"/>
    <w:rsid w:val="00C87B80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19DA"/>
    <w:rsid w:val="00CF26FD"/>
    <w:rsid w:val="00CF3D7A"/>
    <w:rsid w:val="00CF4AEE"/>
    <w:rsid w:val="00CF4D40"/>
    <w:rsid w:val="00D005DD"/>
    <w:rsid w:val="00D01C2D"/>
    <w:rsid w:val="00D111C1"/>
    <w:rsid w:val="00D118E9"/>
    <w:rsid w:val="00D151D9"/>
    <w:rsid w:val="00D15775"/>
    <w:rsid w:val="00D16571"/>
    <w:rsid w:val="00D1721A"/>
    <w:rsid w:val="00D220F4"/>
    <w:rsid w:val="00D263B6"/>
    <w:rsid w:val="00D309AE"/>
    <w:rsid w:val="00D309B7"/>
    <w:rsid w:val="00D32E81"/>
    <w:rsid w:val="00D348DB"/>
    <w:rsid w:val="00D34CEB"/>
    <w:rsid w:val="00D37E6F"/>
    <w:rsid w:val="00D43396"/>
    <w:rsid w:val="00D43C6F"/>
    <w:rsid w:val="00D44196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A1E"/>
    <w:rsid w:val="00D86A5A"/>
    <w:rsid w:val="00D86AA6"/>
    <w:rsid w:val="00D873B2"/>
    <w:rsid w:val="00D905DB"/>
    <w:rsid w:val="00D96765"/>
    <w:rsid w:val="00DA04EC"/>
    <w:rsid w:val="00DA363F"/>
    <w:rsid w:val="00DA444E"/>
    <w:rsid w:val="00DA4A32"/>
    <w:rsid w:val="00DA694C"/>
    <w:rsid w:val="00DB2C3F"/>
    <w:rsid w:val="00DB2D5A"/>
    <w:rsid w:val="00DB3B57"/>
    <w:rsid w:val="00DB3E47"/>
    <w:rsid w:val="00DB6C6F"/>
    <w:rsid w:val="00DC2564"/>
    <w:rsid w:val="00DC29D9"/>
    <w:rsid w:val="00DC5DE2"/>
    <w:rsid w:val="00DC7B13"/>
    <w:rsid w:val="00DD1A85"/>
    <w:rsid w:val="00DD6E2D"/>
    <w:rsid w:val="00DE013D"/>
    <w:rsid w:val="00DE2D1B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6B47"/>
    <w:rsid w:val="00E479DA"/>
    <w:rsid w:val="00E52AEE"/>
    <w:rsid w:val="00E52DDA"/>
    <w:rsid w:val="00E579A6"/>
    <w:rsid w:val="00E57D0E"/>
    <w:rsid w:val="00E646C7"/>
    <w:rsid w:val="00E66B78"/>
    <w:rsid w:val="00E718EC"/>
    <w:rsid w:val="00E72824"/>
    <w:rsid w:val="00E72CF3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58D7"/>
    <w:rsid w:val="00E95A91"/>
    <w:rsid w:val="00E96A1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0C5F"/>
    <w:rsid w:val="00EC1CFC"/>
    <w:rsid w:val="00EC24D5"/>
    <w:rsid w:val="00EC4A12"/>
    <w:rsid w:val="00ED027D"/>
    <w:rsid w:val="00ED03D1"/>
    <w:rsid w:val="00ED17A7"/>
    <w:rsid w:val="00ED286D"/>
    <w:rsid w:val="00ED2C8D"/>
    <w:rsid w:val="00ED32EE"/>
    <w:rsid w:val="00ED337D"/>
    <w:rsid w:val="00ED6A17"/>
    <w:rsid w:val="00EE2C79"/>
    <w:rsid w:val="00EE47F7"/>
    <w:rsid w:val="00EE55B7"/>
    <w:rsid w:val="00EE6D54"/>
    <w:rsid w:val="00EE7C95"/>
    <w:rsid w:val="00EF1962"/>
    <w:rsid w:val="00EF2EB3"/>
    <w:rsid w:val="00EF618A"/>
    <w:rsid w:val="00F0067A"/>
    <w:rsid w:val="00F041C4"/>
    <w:rsid w:val="00F06401"/>
    <w:rsid w:val="00F07F8C"/>
    <w:rsid w:val="00F131E1"/>
    <w:rsid w:val="00F13EAE"/>
    <w:rsid w:val="00F14F5F"/>
    <w:rsid w:val="00F16944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40F53"/>
    <w:rsid w:val="00F546A2"/>
    <w:rsid w:val="00F54F01"/>
    <w:rsid w:val="00F550E9"/>
    <w:rsid w:val="00F56BEF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D01"/>
    <w:rsid w:val="00F76ED3"/>
    <w:rsid w:val="00F8458C"/>
    <w:rsid w:val="00F8685A"/>
    <w:rsid w:val="00F91148"/>
    <w:rsid w:val="00F935DF"/>
    <w:rsid w:val="00F93997"/>
    <w:rsid w:val="00F95D9C"/>
    <w:rsid w:val="00F964CE"/>
    <w:rsid w:val="00F979DF"/>
    <w:rsid w:val="00FA05C6"/>
    <w:rsid w:val="00FA264A"/>
    <w:rsid w:val="00FA384D"/>
    <w:rsid w:val="00FA42EA"/>
    <w:rsid w:val="00FA48B2"/>
    <w:rsid w:val="00FA5311"/>
    <w:rsid w:val="00FA5B56"/>
    <w:rsid w:val="00FA7106"/>
    <w:rsid w:val="00FB1597"/>
    <w:rsid w:val="00FB2D82"/>
    <w:rsid w:val="00FB3242"/>
    <w:rsid w:val="00FB3684"/>
    <w:rsid w:val="00FB3BB9"/>
    <w:rsid w:val="00FC4ABD"/>
    <w:rsid w:val="00FC5F76"/>
    <w:rsid w:val="00FC74ED"/>
    <w:rsid w:val="00FC7D6E"/>
    <w:rsid w:val="00FD0632"/>
    <w:rsid w:val="00FD0B29"/>
    <w:rsid w:val="00FD7A9B"/>
    <w:rsid w:val="00FD7DA3"/>
    <w:rsid w:val="00FE2AFB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EF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DE2D1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DNS licencie-VZOROVA" edit="true"/>
    <f:field ref="objsubject" par="" text="" edit="true"/>
    <f:field ref="objcreatedby" par="" text="GAJDOŠOVÁ, Adriana, Mgr. Ing."/>
    <f:field ref="objcreatedat" par="" date="2021-10-14T14:34:54" text="14.10.2021 14:34:54"/>
    <f:field ref="objchangedby" par="" text="GAJDOŠOVÁ, Adriana, Mgr. Ing."/>
    <f:field ref="objmodifiedat" par="" date="2021-10-14T14:34:56" text="14.10.2021 14:34:56"/>
    <f:field ref="doc_FSCFOLIO_1_1001_FieldDocumentNumber" par="" text=""/>
    <f:field ref="doc_FSCFOLIO_1_1001_FieldSubject" par="" text=""/>
    <f:field ref="FSCFOLIO_1_1001_FieldCurrentUser" par="" text="JUDr. Andrea MRÁZOVÁ"/>
    <f:field ref="CCAPRECONFIG_15_1001_Objektname" par="" text="Zmluva DNS licencie-VZOROV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8E3B733A-2324-4B15-AE4C-7D046374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3891</Words>
  <Characters>22180</Characters>
  <Application>Microsoft Office Word</Application>
  <DocSecurity>0</DocSecurity>
  <Lines>184</Lines>
  <Paragraphs>52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2022-11-21T10:34:00Z</dcterms:created>
  <dcterms:modified xsi:type="dcterms:W3CDTF">2022-11-22T08:26:00Z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LEG2(Oddelenie právnych služieb)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JUDr. Miroslava VOZÁRYOVÁ, PhD.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14. 10. 2021, 14:34</vt:lpwstr>
  </property>
  <property fmtid="{D5CDD505-2E9C-101B-9397-08002B2CF9AE}" pid="148" name="FSC#SKEDITIONREG@103.510:curruserrolegroup">
    <vt:lpwstr>Oddelenie právnych služieb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VOZÁRYOVÁ, Miroslava, JUDr., PhD.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LEGO(Odbor legislatívno-právny)</vt:lpwstr>
  </property>
  <property fmtid="{D5CDD505-2E9C-101B-9397-08002B2CF9AE}" pid="360" name="FSC#COOELAK@1.1001:CreatedAt">
    <vt:lpwstr>14.10.2021</vt:lpwstr>
  </property>
  <property fmtid="{D5CDD505-2E9C-101B-9397-08002B2CF9AE}" pid="361" name="FSC#COOELAK@1.1001:OU">
    <vt:lpwstr>LEGO(Odbor legislatívno-právny)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*COO.2145.2000.6.183951*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2</vt:lpwstr>
  </property>
  <property fmtid="{D5CDD505-2E9C-101B-9397-08002B2CF9AE}" pid="380" name="FSC#COOELAK@1.1001:CurrentUserEmail">
    <vt:lpwstr>andrea.mrazova@mzv.sk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COO.2145.2000.6.183951</vt:lpwstr>
  </property>
  <property fmtid="{D5CDD505-2E9C-101B-9397-08002B2CF9AE}" pid="412" name="FSC#FSCFOLIO@1.1001:docpropproject">
    <vt:lpwstr/>
  </property>
</Properties>
</file>