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5EC" w:rsidRDefault="00E175EC"/>
    <w:tbl>
      <w:tblPr>
        <w:tblW w:w="9468" w:type="dxa"/>
        <w:tblLayout w:type="fixed"/>
        <w:tblCellMar>
          <w:left w:w="0" w:type="dxa"/>
          <w:right w:w="0" w:type="dxa"/>
        </w:tblCellMar>
        <w:tblLook w:val="0000" w:firstRow="0" w:lastRow="0" w:firstColumn="0" w:lastColumn="0" w:noHBand="0" w:noVBand="0"/>
      </w:tblPr>
      <w:tblGrid>
        <w:gridCol w:w="2381"/>
        <w:gridCol w:w="7087"/>
      </w:tblGrid>
      <w:tr w:rsidR="00084731" w:rsidRPr="00084731" w:rsidTr="00E175EC">
        <w:trPr>
          <w:trHeight w:val="1440"/>
        </w:trPr>
        <w:tc>
          <w:tcPr>
            <w:tcW w:w="2381" w:type="dxa"/>
            <w:tcBorders>
              <w:top w:val="nil"/>
              <w:left w:val="nil"/>
              <w:bottom w:val="nil"/>
              <w:right w:val="nil"/>
            </w:tcBorders>
          </w:tcPr>
          <w:p w:rsidR="00084731" w:rsidRPr="00084731" w:rsidRDefault="007321C8" w:rsidP="00084731">
            <w:pPr>
              <w:widowControl w:val="0"/>
              <w:autoSpaceDE w:val="0"/>
              <w:autoSpaceDN w:val="0"/>
              <w:spacing w:after="0"/>
              <w:ind w:right="85"/>
              <w:rPr>
                <w:rFonts w:ascii="Arial" w:hAnsi="Arial" w:cs="Arial"/>
                <w:szCs w:val="24"/>
              </w:rPr>
            </w:pPr>
            <w:r>
              <w:rPr>
                <w:rFonts w:ascii="Arial" w:hAnsi="Arial" w:cs="Arial"/>
                <w:sz w:val="20"/>
              </w:rPr>
              <w:pict w14:anchorId="38A462DB">
                <v:shape id="_x0000_i1026" type="#_x0000_t75" style="width:107.3pt;height:53pt" fillcolor="window">
                  <v:imagedata r:id="rId9" o:title="logo_ec_17_colors_300dpi"/>
                </v:shape>
              </w:pict>
            </w:r>
          </w:p>
        </w:tc>
        <w:tc>
          <w:tcPr>
            <w:tcW w:w="7087" w:type="dxa"/>
            <w:tcBorders>
              <w:top w:val="nil"/>
              <w:left w:val="nil"/>
              <w:bottom w:val="nil"/>
              <w:right w:val="nil"/>
            </w:tcBorders>
          </w:tcPr>
          <w:p w:rsidR="00084731" w:rsidRPr="00084731" w:rsidRDefault="00084731" w:rsidP="00084731">
            <w:pPr>
              <w:widowControl w:val="0"/>
              <w:autoSpaceDE w:val="0"/>
              <w:autoSpaceDN w:val="0"/>
              <w:spacing w:before="90" w:after="0"/>
              <w:ind w:right="85"/>
              <w:rPr>
                <w:rFonts w:ascii="Arial" w:hAnsi="Arial" w:cs="Arial"/>
                <w:szCs w:val="24"/>
              </w:rPr>
            </w:pPr>
            <w:r>
              <w:rPr>
                <w:rFonts w:ascii="Arial" w:hAnsi="Arial"/>
              </w:rPr>
              <w:t>EURÓPSKA KOMISIA</w:t>
            </w:r>
          </w:p>
          <w:p w:rsidR="00084731" w:rsidRPr="00084731" w:rsidRDefault="00084731" w:rsidP="00084731">
            <w:pPr>
              <w:widowControl w:val="0"/>
              <w:autoSpaceDE w:val="0"/>
              <w:autoSpaceDN w:val="0"/>
              <w:spacing w:after="0"/>
              <w:ind w:right="85"/>
              <w:jc w:val="left"/>
              <w:rPr>
                <w:rFonts w:ascii="Arial" w:hAnsi="Arial" w:cs="Arial"/>
                <w:sz w:val="16"/>
                <w:szCs w:val="16"/>
              </w:rPr>
            </w:pPr>
            <w:r>
              <w:rPr>
                <w:rFonts w:ascii="Arial" w:hAnsi="Arial"/>
                <w:sz w:val="16"/>
              </w:rPr>
              <w:t>GENERÁLNE RIADITEĽSTVO PRE POĽNOHOSPODÁRSTVO A ROZVOJ VIDIEKA</w:t>
            </w:r>
          </w:p>
          <w:p w:rsidR="00084731" w:rsidRPr="00084731" w:rsidRDefault="00084731" w:rsidP="00084731">
            <w:pPr>
              <w:widowControl w:val="0"/>
              <w:autoSpaceDE w:val="0"/>
              <w:autoSpaceDN w:val="0"/>
              <w:spacing w:after="0"/>
              <w:ind w:right="85"/>
              <w:jc w:val="left"/>
              <w:rPr>
                <w:rFonts w:ascii="Arial" w:hAnsi="Arial" w:cs="Arial"/>
                <w:sz w:val="16"/>
                <w:szCs w:val="16"/>
              </w:rPr>
            </w:pPr>
          </w:p>
          <w:p w:rsidR="00F77100" w:rsidRPr="00EA695B" w:rsidRDefault="00F77100" w:rsidP="00F77100">
            <w:pPr>
              <w:widowControl w:val="0"/>
              <w:spacing w:after="0"/>
              <w:ind w:right="85"/>
              <w:rPr>
                <w:rFonts w:ascii="Arial" w:hAnsi="Arial"/>
                <w:snapToGrid w:val="0"/>
                <w:sz w:val="16"/>
              </w:rPr>
            </w:pPr>
            <w:r>
              <w:rPr>
                <w:rFonts w:ascii="Arial" w:hAnsi="Arial"/>
                <w:snapToGrid w:val="0"/>
                <w:sz w:val="16"/>
              </w:rPr>
              <w:t>Riaditeľstvo H. Vierohodnosť a audit</w:t>
            </w:r>
          </w:p>
          <w:p w:rsidR="00F77100" w:rsidRPr="00EA695B" w:rsidRDefault="00F77100" w:rsidP="00F77100">
            <w:pPr>
              <w:pStyle w:val="ZDGName"/>
              <w:rPr>
                <w:b/>
              </w:rPr>
            </w:pPr>
            <w:r>
              <w:rPr>
                <w:b/>
                <w:noProof/>
                <w:snapToGrid w:val="0"/>
              </w:rPr>
              <w:t>H.5 Vierohodnosť a finančný audit</w:t>
            </w:r>
          </w:p>
          <w:p w:rsidR="00084731" w:rsidRPr="00084731" w:rsidRDefault="00084731" w:rsidP="00084731">
            <w:pPr>
              <w:widowControl w:val="0"/>
              <w:autoSpaceDE w:val="0"/>
              <w:autoSpaceDN w:val="0"/>
              <w:spacing w:after="0"/>
              <w:ind w:right="85"/>
              <w:jc w:val="left"/>
              <w:rPr>
                <w:rFonts w:ascii="Arial" w:hAnsi="Arial" w:cs="Arial"/>
                <w:sz w:val="16"/>
                <w:szCs w:val="16"/>
              </w:rPr>
            </w:pPr>
          </w:p>
        </w:tc>
      </w:tr>
    </w:tbl>
    <w:p w:rsidR="00D42091" w:rsidRDefault="001354CA" w:rsidP="008B251A">
      <w:pPr>
        <w:pStyle w:val="Date"/>
        <w:tabs>
          <w:tab w:val="right" w:pos="9185"/>
        </w:tabs>
        <w:jc w:val="center"/>
        <w:rPr>
          <w:szCs w:val="24"/>
        </w:rPr>
      </w:pPr>
      <w:r>
        <w:t>V Bruseli 19. júla 2017</w:t>
      </w:r>
    </w:p>
    <w:p w:rsidR="001354CA" w:rsidRPr="00C42A73" w:rsidRDefault="001354CA" w:rsidP="008B251A">
      <w:pPr>
        <w:pStyle w:val="Date"/>
        <w:tabs>
          <w:tab w:val="right" w:pos="9185"/>
        </w:tabs>
        <w:jc w:val="center"/>
        <w:rPr>
          <w:szCs w:val="24"/>
        </w:rPr>
      </w:pPr>
      <w:r>
        <w:t xml:space="preserve"> </w:t>
      </w:r>
      <w:r>
        <w:br/>
      </w:r>
    </w:p>
    <w:p w:rsidR="001354CA" w:rsidRPr="00C42A73" w:rsidRDefault="001354CA" w:rsidP="001354CA">
      <w:pPr>
        <w:rPr>
          <w:b/>
          <w:szCs w:val="24"/>
          <w:u w:val="single"/>
        </w:rPr>
      </w:pPr>
    </w:p>
    <w:p w:rsidR="001354CA" w:rsidRPr="00AE40AC" w:rsidRDefault="001354CA" w:rsidP="001354CA">
      <w:pPr>
        <w:rPr>
          <w:b/>
          <w:szCs w:val="24"/>
          <w:u w:val="single"/>
        </w:rPr>
      </w:pPr>
    </w:p>
    <w:p w:rsidR="001354CA" w:rsidRPr="00AE40AC" w:rsidRDefault="001354CA" w:rsidP="001354CA">
      <w:pPr>
        <w:rPr>
          <w:b/>
          <w:szCs w:val="24"/>
          <w:u w:val="single"/>
        </w:rPr>
      </w:pPr>
    </w:p>
    <w:p w:rsidR="001354CA" w:rsidRPr="00AE40AC" w:rsidRDefault="001354CA" w:rsidP="001354CA">
      <w:pPr>
        <w:rPr>
          <w:b/>
          <w:szCs w:val="24"/>
          <w:u w:val="single"/>
        </w:rPr>
      </w:pPr>
    </w:p>
    <w:p w:rsidR="001354CA" w:rsidRPr="00AE40AC" w:rsidRDefault="001354CA" w:rsidP="001354CA">
      <w:pPr>
        <w:rPr>
          <w:b/>
          <w:szCs w:val="24"/>
          <w:u w:val="single"/>
        </w:rPr>
      </w:pPr>
    </w:p>
    <w:p w:rsidR="001354CA" w:rsidRDefault="001354CA" w:rsidP="001354CA">
      <w:pPr>
        <w:jc w:val="center"/>
        <w:rPr>
          <w:b/>
          <w:szCs w:val="24"/>
          <w:u w:val="single"/>
        </w:rPr>
      </w:pPr>
    </w:p>
    <w:p w:rsidR="001354CA" w:rsidRDefault="001354CA" w:rsidP="001354CA">
      <w:pPr>
        <w:jc w:val="center"/>
        <w:rPr>
          <w:b/>
          <w:szCs w:val="24"/>
          <w:u w:val="single"/>
        </w:rPr>
      </w:pPr>
      <w:r>
        <w:rPr>
          <w:b/>
          <w:u w:val="single"/>
        </w:rPr>
        <w:t>PRÍLOHA 5 K USMERNENIU 2</w:t>
      </w:r>
    </w:p>
    <w:p w:rsidR="001354CA" w:rsidRPr="001E2F2A" w:rsidRDefault="001354CA" w:rsidP="001354CA">
      <w:pPr>
        <w:jc w:val="center"/>
        <w:rPr>
          <w:b/>
          <w:szCs w:val="24"/>
          <w:u w:val="single"/>
        </w:rPr>
      </w:pPr>
      <w:r>
        <w:rPr>
          <w:b/>
          <w:u w:val="single"/>
        </w:rPr>
        <w:t>o HODNOTENÍ CHÝB</w:t>
      </w:r>
    </w:p>
    <w:p w:rsidR="00F3310F" w:rsidRDefault="00F3310F" w:rsidP="001354CA">
      <w:pPr>
        <w:rPr>
          <w:szCs w:val="24"/>
        </w:rPr>
      </w:pPr>
    </w:p>
    <w:p w:rsidR="001354CA" w:rsidRPr="00F3310F" w:rsidRDefault="00F3310F" w:rsidP="001354CA">
      <w:pPr>
        <w:rPr>
          <w:b/>
          <w:szCs w:val="24"/>
        </w:rPr>
      </w:pPr>
      <w:r>
        <w:rPr>
          <w:b/>
        </w:rPr>
        <w:t>Obsah:</w:t>
      </w:r>
    </w:p>
    <w:p w:rsidR="00AD7F4D" w:rsidRPr="002950D9" w:rsidRDefault="00AD7F4D" w:rsidP="00F3310F">
      <w:pPr>
        <w:numPr>
          <w:ilvl w:val="0"/>
          <w:numId w:val="45"/>
        </w:numPr>
        <w:rPr>
          <w:szCs w:val="24"/>
        </w:rPr>
      </w:pPr>
      <w:r>
        <w:t>Všeobecné poznámky</w:t>
      </w:r>
    </w:p>
    <w:p w:rsidR="00AD7F4D" w:rsidRPr="002950D9" w:rsidRDefault="00AD7F4D" w:rsidP="00F3310F">
      <w:pPr>
        <w:numPr>
          <w:ilvl w:val="0"/>
          <w:numId w:val="45"/>
        </w:numPr>
        <w:rPr>
          <w:szCs w:val="24"/>
        </w:rPr>
      </w:pPr>
      <w:r>
        <w:t>Preskúmanie systému vnútornej kontroly (ICS)</w:t>
      </w:r>
    </w:p>
    <w:p w:rsidR="008C2812" w:rsidRPr="002950D9" w:rsidRDefault="008C2812" w:rsidP="00F3310F">
      <w:pPr>
        <w:numPr>
          <w:ilvl w:val="0"/>
          <w:numId w:val="45"/>
        </w:numPr>
        <w:rPr>
          <w:szCs w:val="24"/>
        </w:rPr>
      </w:pPr>
      <w:r>
        <w:t xml:space="preserve">Testovanie vecnej správnosti </w:t>
      </w:r>
    </w:p>
    <w:p w:rsidR="00C36321" w:rsidRPr="002950D9" w:rsidRDefault="00F3310F" w:rsidP="00F3310F">
      <w:pPr>
        <w:ind w:left="720"/>
        <w:rPr>
          <w:szCs w:val="24"/>
        </w:rPr>
      </w:pPr>
      <w:r>
        <w:t xml:space="preserve">3.1. Testovanie vecnej správnosti – štatistická metóda </w:t>
      </w:r>
    </w:p>
    <w:p w:rsidR="00C36321" w:rsidRPr="00F3310F" w:rsidRDefault="00C36321" w:rsidP="00F3310F">
      <w:pPr>
        <w:ind w:left="720" w:firstLine="720"/>
        <w:rPr>
          <w:i/>
          <w:szCs w:val="24"/>
        </w:rPr>
      </w:pPr>
      <w:r>
        <w:t>3.1.1</w:t>
      </w:r>
      <w:r w:rsidR="008F322C">
        <w:t>.</w:t>
      </w:r>
      <w:r>
        <w:t xml:space="preserve"> </w:t>
      </w:r>
      <w:r>
        <w:rPr>
          <w:i/>
        </w:rPr>
        <w:t>Výpočet miery nesúladu (IRR)</w:t>
      </w:r>
    </w:p>
    <w:p w:rsidR="00C36321" w:rsidRPr="00F3310F" w:rsidRDefault="00C36321" w:rsidP="00F3310F">
      <w:pPr>
        <w:ind w:left="1985" w:hanging="545"/>
        <w:rPr>
          <w:i/>
          <w:szCs w:val="24"/>
        </w:rPr>
      </w:pPr>
      <w:r>
        <w:t>3.</w:t>
      </w:r>
      <w:r w:rsidR="00503C6C">
        <w:t>1</w:t>
      </w:r>
      <w:r>
        <w:t>.</w:t>
      </w:r>
      <w:r w:rsidR="00503C6C">
        <w:t>2</w:t>
      </w:r>
      <w:r w:rsidR="008F322C">
        <w:t>.</w:t>
      </w:r>
      <w:r>
        <w:t xml:space="preserve"> </w:t>
      </w:r>
      <w:r>
        <w:rPr>
          <w:i/>
        </w:rPr>
        <w:t>Výpočet miery chybovosti (ERR)</w:t>
      </w:r>
    </w:p>
    <w:p w:rsidR="00C36321" w:rsidRPr="00456EEB" w:rsidRDefault="00C36321" w:rsidP="00F3310F">
      <w:pPr>
        <w:ind w:firstLine="720"/>
        <w:rPr>
          <w:szCs w:val="24"/>
        </w:rPr>
      </w:pPr>
      <w:r>
        <w:t>3.2. Testovanie vecnej správnosti – neštatistická metóda</w:t>
      </w:r>
    </w:p>
    <w:p w:rsidR="00C36321" w:rsidRPr="001E2D3A" w:rsidRDefault="00C36321" w:rsidP="00F3310F">
      <w:pPr>
        <w:numPr>
          <w:ilvl w:val="0"/>
          <w:numId w:val="45"/>
        </w:numPr>
        <w:rPr>
          <w:szCs w:val="24"/>
        </w:rPr>
      </w:pPr>
      <w:r>
        <w:t>Finančné zosúhlasenie</w:t>
      </w:r>
    </w:p>
    <w:p w:rsidR="00C36321" w:rsidRPr="001E2F2A" w:rsidRDefault="00C36321" w:rsidP="00F3310F">
      <w:pPr>
        <w:numPr>
          <w:ilvl w:val="0"/>
          <w:numId w:val="45"/>
        </w:numPr>
        <w:rPr>
          <w:szCs w:val="24"/>
        </w:rPr>
      </w:pPr>
      <w:r>
        <w:t>Celkové hodnotenie chýb</w:t>
      </w:r>
    </w:p>
    <w:p w:rsidR="00680AC5" w:rsidRDefault="00680AC5" w:rsidP="001354CA">
      <w:pPr>
        <w:rPr>
          <w:szCs w:val="24"/>
        </w:rPr>
        <w:sectPr w:rsidR="00680AC5" w:rsidSect="001354CA">
          <w:footerReference w:type="default" r:id="rId10"/>
          <w:headerReference w:type="first" r:id="rId11"/>
          <w:footerReference w:type="first" r:id="rId12"/>
          <w:pgSz w:w="11906" w:h="16838"/>
          <w:pgMar w:top="1020" w:right="1701" w:bottom="1020" w:left="1587" w:header="601" w:footer="1077" w:gutter="0"/>
          <w:cols w:space="720"/>
          <w:titlePg/>
          <w:docGrid w:linePitch="326"/>
        </w:sectPr>
      </w:pPr>
    </w:p>
    <w:p w:rsidR="00084731" w:rsidRPr="001E2F2A" w:rsidRDefault="00084731" w:rsidP="001354CA">
      <w:pPr>
        <w:rPr>
          <w:szCs w:val="24"/>
        </w:rPr>
      </w:pPr>
    </w:p>
    <w:p w:rsidR="001354CA" w:rsidRPr="00E140EA" w:rsidRDefault="001354CA" w:rsidP="00E140EA">
      <w:pPr>
        <w:pStyle w:val="Heading1"/>
        <w:rPr>
          <w:b w:val="0"/>
        </w:rPr>
      </w:pPr>
      <w:r>
        <w:t>Všeobecné poznámky</w:t>
      </w:r>
    </w:p>
    <w:p w:rsidR="001354CA" w:rsidRDefault="001354CA" w:rsidP="001354CA">
      <w:r>
        <w:t>Odchýlky: V priebehu celého auditu zistené nedostatky v systéme vnútornej kontroly, chyby a nesprávnosti v transakciách treba zvážiť pri stanovení celkových výsledkov auditu takto:</w:t>
      </w:r>
    </w:p>
    <w:tbl>
      <w:tblPr>
        <w:tblW w:w="0" w:type="auto"/>
        <w:tblInd w:w="1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1985"/>
        <w:gridCol w:w="3543"/>
        <w:gridCol w:w="2772"/>
        <w:gridCol w:w="2772"/>
      </w:tblGrid>
      <w:tr w:rsidR="00680AC5" w:rsidRPr="00ED38B7" w:rsidTr="00C419C2">
        <w:tc>
          <w:tcPr>
            <w:tcW w:w="1384" w:type="dxa"/>
          </w:tcPr>
          <w:p w:rsidR="00680AC5" w:rsidRPr="00ED38B7" w:rsidRDefault="00680AC5" w:rsidP="0037269F">
            <w:pPr>
              <w:spacing w:after="0"/>
              <w:rPr>
                <w:b/>
                <w:sz w:val="20"/>
              </w:rPr>
            </w:pPr>
            <w:r>
              <w:rPr>
                <w:b/>
                <w:sz w:val="20"/>
              </w:rPr>
              <w:t>Kroky v rámci auditu</w:t>
            </w:r>
          </w:p>
        </w:tc>
        <w:tc>
          <w:tcPr>
            <w:tcW w:w="1985" w:type="dxa"/>
          </w:tcPr>
          <w:p w:rsidR="00680AC5" w:rsidRPr="00ED38B7" w:rsidRDefault="00680AC5" w:rsidP="0037269F">
            <w:pPr>
              <w:spacing w:after="0"/>
              <w:rPr>
                <w:b/>
                <w:sz w:val="20"/>
              </w:rPr>
            </w:pPr>
            <w:r>
              <w:rPr>
                <w:b/>
                <w:sz w:val="20"/>
              </w:rPr>
              <w:t>Metóda</w:t>
            </w:r>
          </w:p>
        </w:tc>
        <w:tc>
          <w:tcPr>
            <w:tcW w:w="3543" w:type="dxa"/>
          </w:tcPr>
          <w:p w:rsidR="00680AC5" w:rsidRPr="00ED38B7" w:rsidRDefault="00680AC5" w:rsidP="0037269F">
            <w:pPr>
              <w:spacing w:after="0"/>
              <w:rPr>
                <w:b/>
                <w:sz w:val="20"/>
              </w:rPr>
            </w:pPr>
            <w:r>
              <w:rPr>
                <w:b/>
                <w:sz w:val="20"/>
              </w:rPr>
              <w:t>Typ odchýlky/chyby</w:t>
            </w:r>
          </w:p>
        </w:tc>
        <w:tc>
          <w:tcPr>
            <w:tcW w:w="2772" w:type="dxa"/>
          </w:tcPr>
          <w:p w:rsidR="00680AC5" w:rsidRPr="00ED38B7" w:rsidRDefault="00680AC5" w:rsidP="0037269F">
            <w:pPr>
              <w:spacing w:after="0"/>
              <w:rPr>
                <w:b/>
                <w:sz w:val="20"/>
              </w:rPr>
            </w:pPr>
            <w:r>
              <w:rPr>
                <w:b/>
                <w:sz w:val="20"/>
              </w:rPr>
              <w:t>Zohľadnené v záveroch ako:</w:t>
            </w:r>
          </w:p>
        </w:tc>
        <w:tc>
          <w:tcPr>
            <w:tcW w:w="2772" w:type="dxa"/>
          </w:tcPr>
          <w:p w:rsidR="00680AC5" w:rsidRPr="00ED38B7" w:rsidRDefault="00680AC5" w:rsidP="0037269F">
            <w:pPr>
              <w:spacing w:after="0"/>
              <w:rPr>
                <w:b/>
                <w:sz w:val="20"/>
              </w:rPr>
            </w:pPr>
            <w:r>
              <w:rPr>
                <w:b/>
                <w:sz w:val="20"/>
              </w:rPr>
              <w:t>Časť audítorského výroku</w:t>
            </w:r>
          </w:p>
        </w:tc>
      </w:tr>
      <w:tr w:rsidR="00680AC5" w:rsidRPr="00ED38B7" w:rsidTr="00C419C2">
        <w:tc>
          <w:tcPr>
            <w:tcW w:w="1384" w:type="dxa"/>
            <w:vMerge w:val="restart"/>
          </w:tcPr>
          <w:p w:rsidR="00680AC5" w:rsidRPr="00ED38B7" w:rsidRDefault="00680AC5" w:rsidP="0037269F">
            <w:pPr>
              <w:spacing w:after="0"/>
              <w:rPr>
                <w:sz w:val="20"/>
              </w:rPr>
            </w:pPr>
            <w:r>
              <w:rPr>
                <w:sz w:val="20"/>
              </w:rPr>
              <w:t>Preskúmanie systému vnútornej kontroly</w:t>
            </w:r>
          </w:p>
        </w:tc>
        <w:tc>
          <w:tcPr>
            <w:tcW w:w="1985" w:type="dxa"/>
          </w:tcPr>
          <w:p w:rsidR="00680AC5" w:rsidRPr="00ED38B7" w:rsidRDefault="00680AC5" w:rsidP="0037269F">
            <w:pPr>
              <w:spacing w:after="0"/>
              <w:rPr>
                <w:sz w:val="20"/>
              </w:rPr>
            </w:pPr>
            <w:r>
              <w:rPr>
                <w:sz w:val="20"/>
              </w:rPr>
              <w:t>Testy postupov</w:t>
            </w:r>
          </w:p>
        </w:tc>
        <w:tc>
          <w:tcPr>
            <w:tcW w:w="3543" w:type="dxa"/>
          </w:tcPr>
          <w:p w:rsidR="00680AC5" w:rsidRPr="00ED38B7" w:rsidRDefault="00680AC5" w:rsidP="0037269F">
            <w:pPr>
              <w:spacing w:after="0"/>
              <w:rPr>
                <w:sz w:val="20"/>
              </w:rPr>
            </w:pPr>
            <w:r>
              <w:rPr>
                <w:sz w:val="20"/>
              </w:rPr>
              <w:t>Nedostatok: nedodržanie akreditačných kritérií alebo požiadaviek na konkrétny systém a/alebo postup.</w:t>
            </w:r>
          </w:p>
        </w:tc>
        <w:tc>
          <w:tcPr>
            <w:tcW w:w="2772" w:type="dxa"/>
            <w:vMerge w:val="restart"/>
          </w:tcPr>
          <w:p w:rsidR="00680AC5" w:rsidRPr="00ED38B7" w:rsidRDefault="00680AC5">
            <w:pPr>
              <w:spacing w:after="0"/>
              <w:rPr>
                <w:sz w:val="20"/>
              </w:rPr>
            </w:pPr>
            <w:r>
              <w:rPr>
                <w:sz w:val="20"/>
              </w:rPr>
              <w:t>Bodové hodnotenie: klasifikácia v maticiach na akreditáciu/systém vnútornej kontroly (ICS) (založená na tom, či ide o významný/nevýznamný nedostatok) PLUS akékoľvek chyby zistené pri testovaní súladu (</w:t>
            </w:r>
            <w:r>
              <w:rPr>
                <w:sz w:val="20"/>
              </w:rPr>
              <w:sym w:font="Symbol" w:char="F0DE"/>
            </w:r>
            <w:r>
              <w:rPr>
                <w:sz w:val="20"/>
              </w:rPr>
              <w:t xml:space="preserve"> ktoré je potrebné považovať za známe chyby v celkovej chybe v rámci celkového stanoviska)</w:t>
            </w:r>
          </w:p>
        </w:tc>
        <w:tc>
          <w:tcPr>
            <w:tcW w:w="2772" w:type="dxa"/>
            <w:vMerge w:val="restart"/>
          </w:tcPr>
          <w:p w:rsidR="00680AC5" w:rsidRDefault="00680AC5" w:rsidP="0037269F">
            <w:pPr>
              <w:spacing w:after="0"/>
              <w:rPr>
                <w:sz w:val="20"/>
              </w:rPr>
            </w:pPr>
          </w:p>
          <w:p w:rsidR="00680AC5" w:rsidRPr="00ED38B7" w:rsidRDefault="00680AC5" w:rsidP="0037269F">
            <w:pPr>
              <w:spacing w:after="0"/>
              <w:rPr>
                <w:sz w:val="20"/>
              </w:rPr>
            </w:pPr>
            <w:r>
              <w:rPr>
                <w:sz w:val="20"/>
              </w:rPr>
              <w:t>– o účinnosti ICS</w:t>
            </w:r>
          </w:p>
        </w:tc>
      </w:tr>
      <w:tr w:rsidR="00680AC5" w:rsidRPr="00ED38B7" w:rsidTr="00C419C2">
        <w:tc>
          <w:tcPr>
            <w:tcW w:w="1384" w:type="dxa"/>
            <w:vMerge/>
          </w:tcPr>
          <w:p w:rsidR="00680AC5" w:rsidRPr="00ED38B7" w:rsidRDefault="00680AC5" w:rsidP="0037269F">
            <w:pPr>
              <w:spacing w:after="0"/>
              <w:rPr>
                <w:sz w:val="20"/>
              </w:rPr>
            </w:pPr>
          </w:p>
        </w:tc>
        <w:tc>
          <w:tcPr>
            <w:tcW w:w="1985" w:type="dxa"/>
          </w:tcPr>
          <w:p w:rsidR="00680AC5" w:rsidRPr="00ED38B7" w:rsidRDefault="00680AC5" w:rsidP="0037269F">
            <w:pPr>
              <w:spacing w:after="0"/>
              <w:rPr>
                <w:sz w:val="20"/>
              </w:rPr>
            </w:pPr>
            <w:r>
              <w:rPr>
                <w:sz w:val="20"/>
              </w:rPr>
              <w:t>Testovanie súladu (test kontrol)</w:t>
            </w:r>
          </w:p>
        </w:tc>
        <w:tc>
          <w:tcPr>
            <w:tcW w:w="3543" w:type="dxa"/>
          </w:tcPr>
          <w:p w:rsidR="00680AC5" w:rsidRPr="00ED38B7" w:rsidRDefault="00680AC5">
            <w:pPr>
              <w:spacing w:after="0"/>
              <w:rPr>
                <w:sz w:val="20"/>
              </w:rPr>
            </w:pPr>
            <w:r>
              <w:rPr>
                <w:sz w:val="20"/>
              </w:rPr>
              <w:t>Ako je uvedené PLUS pri kontrole nie je možné odhaliť žiadnu zistenú finančnú chybu</w:t>
            </w:r>
          </w:p>
        </w:tc>
        <w:tc>
          <w:tcPr>
            <w:tcW w:w="2772" w:type="dxa"/>
            <w:vMerge/>
          </w:tcPr>
          <w:p w:rsidR="00680AC5" w:rsidRPr="00ED38B7" w:rsidRDefault="00680AC5" w:rsidP="0037269F">
            <w:pPr>
              <w:spacing w:after="0"/>
              <w:rPr>
                <w:sz w:val="20"/>
              </w:rPr>
            </w:pPr>
          </w:p>
        </w:tc>
        <w:tc>
          <w:tcPr>
            <w:tcW w:w="2772" w:type="dxa"/>
            <w:vMerge/>
          </w:tcPr>
          <w:p w:rsidR="00680AC5" w:rsidRPr="00ED38B7" w:rsidRDefault="00680AC5" w:rsidP="0037269F">
            <w:pPr>
              <w:spacing w:after="0"/>
              <w:rPr>
                <w:sz w:val="20"/>
              </w:rPr>
            </w:pPr>
          </w:p>
        </w:tc>
      </w:tr>
      <w:tr w:rsidR="00680AC5" w:rsidRPr="00ED38B7" w:rsidTr="00C419C2">
        <w:tc>
          <w:tcPr>
            <w:tcW w:w="1384" w:type="dxa"/>
            <w:vMerge w:val="restart"/>
          </w:tcPr>
          <w:p w:rsidR="00680AC5" w:rsidRPr="00ED38B7" w:rsidRDefault="00680AC5" w:rsidP="0037269F">
            <w:pPr>
              <w:spacing w:after="0"/>
              <w:rPr>
                <w:sz w:val="20"/>
              </w:rPr>
            </w:pPr>
            <w:r>
              <w:rPr>
                <w:sz w:val="20"/>
              </w:rPr>
              <w:t>Potvrdenie ročnej účtovnej závierky</w:t>
            </w:r>
          </w:p>
        </w:tc>
        <w:tc>
          <w:tcPr>
            <w:tcW w:w="1985" w:type="dxa"/>
          </w:tcPr>
          <w:p w:rsidR="00680AC5" w:rsidRPr="00ED38B7" w:rsidRDefault="00680AC5">
            <w:pPr>
              <w:spacing w:after="0"/>
              <w:rPr>
                <w:sz w:val="20"/>
              </w:rPr>
            </w:pPr>
            <w:r>
              <w:rPr>
                <w:sz w:val="20"/>
              </w:rPr>
              <w:t>Testovanie vecnej správnosti výdavkov (so zohľadnením platby, účtovníctva a vykazovania)</w:t>
            </w:r>
          </w:p>
        </w:tc>
        <w:tc>
          <w:tcPr>
            <w:tcW w:w="3543" w:type="dxa"/>
          </w:tcPr>
          <w:p w:rsidR="00680AC5" w:rsidRPr="00ED38B7" w:rsidRDefault="00680AC5" w:rsidP="0037269F">
            <w:pPr>
              <w:spacing w:after="0"/>
              <w:rPr>
                <w:sz w:val="20"/>
              </w:rPr>
            </w:pPr>
            <w:r>
              <w:rPr>
                <w:sz w:val="20"/>
              </w:rPr>
              <w:t>Nadhodnotené sumy zistené v priebehu testovania vecnej správnosti všetkých zložiek (všetky výnimky, ktoré viedli k chybe v platbe pre príjemcu alebo účtovníctve/vo vykazovaní a zostali nezistené a neopravené).</w:t>
            </w:r>
          </w:p>
        </w:tc>
        <w:tc>
          <w:tcPr>
            <w:tcW w:w="2772" w:type="dxa"/>
          </w:tcPr>
          <w:p w:rsidR="00680AC5" w:rsidRPr="00ED38B7" w:rsidRDefault="00680AC5">
            <w:pPr>
              <w:spacing w:after="0"/>
              <w:rPr>
                <w:sz w:val="20"/>
              </w:rPr>
            </w:pPr>
            <w:r>
              <w:rPr>
                <w:sz w:val="20"/>
              </w:rPr>
              <w:t>Výpočet miery chybovosti: miera chybovosti – ERR (celková predpokladaná chybovosť – TPE/najpravdepodobnejšia miera chybovosti – MLE) na úrovni fondu (</w:t>
            </w:r>
            <w:r>
              <w:rPr>
                <w:sz w:val="20"/>
              </w:rPr>
              <w:sym w:font="Symbol" w:char="F0DE"/>
            </w:r>
            <w:r>
              <w:rPr>
                <w:sz w:val="20"/>
              </w:rPr>
              <w:t xml:space="preserve"> zohľadní sa v celkovej chybe v rámci celkového stanoviska).</w:t>
            </w:r>
          </w:p>
        </w:tc>
        <w:tc>
          <w:tcPr>
            <w:tcW w:w="2772" w:type="dxa"/>
            <w:vMerge w:val="restart"/>
          </w:tcPr>
          <w:p w:rsidR="00680AC5" w:rsidRPr="00ED38B7" w:rsidRDefault="00680AC5" w:rsidP="00866871">
            <w:pPr>
              <w:spacing w:after="0"/>
              <w:rPr>
                <w:sz w:val="20"/>
              </w:rPr>
            </w:pPr>
            <w:r>
              <w:rPr>
                <w:sz w:val="20"/>
              </w:rPr>
              <w:t>– o úplnosti, presnosti a</w:t>
            </w:r>
            <w:r w:rsidR="00866871">
              <w:rPr>
                <w:sz w:val="20"/>
              </w:rPr>
              <w:t> </w:t>
            </w:r>
            <w:r>
              <w:rPr>
                <w:sz w:val="20"/>
              </w:rPr>
              <w:t>pravdivosti ročnej účtovnej závierky</w:t>
            </w:r>
          </w:p>
        </w:tc>
      </w:tr>
      <w:tr w:rsidR="00680AC5" w:rsidRPr="00ED38B7" w:rsidTr="00C419C2">
        <w:tc>
          <w:tcPr>
            <w:tcW w:w="1384" w:type="dxa"/>
            <w:vMerge/>
          </w:tcPr>
          <w:p w:rsidR="00680AC5" w:rsidRPr="00ED38B7" w:rsidRDefault="00680AC5" w:rsidP="0037269F">
            <w:pPr>
              <w:spacing w:after="0"/>
              <w:rPr>
                <w:sz w:val="20"/>
              </w:rPr>
            </w:pPr>
          </w:p>
        </w:tc>
        <w:tc>
          <w:tcPr>
            <w:tcW w:w="1985" w:type="dxa"/>
          </w:tcPr>
          <w:p w:rsidR="00680AC5" w:rsidRPr="00ED38B7" w:rsidRDefault="00680AC5" w:rsidP="0037269F">
            <w:pPr>
              <w:spacing w:after="0"/>
              <w:rPr>
                <w:sz w:val="20"/>
              </w:rPr>
            </w:pPr>
            <w:r>
              <w:rPr>
                <w:sz w:val="20"/>
              </w:rPr>
              <w:t>Testovanie vecnej správnosti iných ako operačných transakcií/malých súborov</w:t>
            </w:r>
          </w:p>
        </w:tc>
        <w:tc>
          <w:tcPr>
            <w:tcW w:w="3543" w:type="dxa"/>
          </w:tcPr>
          <w:p w:rsidR="00680AC5" w:rsidRPr="00ED38B7" w:rsidRDefault="00680AC5" w:rsidP="0037269F">
            <w:pPr>
              <w:spacing w:after="0"/>
              <w:rPr>
                <w:sz w:val="20"/>
              </w:rPr>
            </w:pPr>
            <w:r>
              <w:rPr>
                <w:sz w:val="20"/>
              </w:rPr>
              <w:t>Pokiaľ ide o pohľadávky a záruky/zábezpeky, významné môžu byť podhodnotené aj nadhodnotené sumy, a preto je potrebné brať ich do úvahy v závislosti od príslušného typu transakcie (nový prípad, oprava, vymáhanie, vydanie alebo blokovanie záruky atď.)</w:t>
            </w:r>
          </w:p>
        </w:tc>
        <w:tc>
          <w:tcPr>
            <w:tcW w:w="2772" w:type="dxa"/>
          </w:tcPr>
          <w:p w:rsidR="00680AC5" w:rsidRPr="00ED38B7" w:rsidRDefault="00680AC5" w:rsidP="0037269F">
            <w:pPr>
              <w:spacing w:after="0"/>
              <w:rPr>
                <w:sz w:val="20"/>
              </w:rPr>
            </w:pPr>
            <w:r>
              <w:rPr>
                <w:sz w:val="20"/>
              </w:rPr>
              <w:t xml:space="preserve"> Výpočet chýb v konkrétnom súbore (</w:t>
            </w:r>
            <w:r>
              <w:rPr>
                <w:sz w:val="20"/>
              </w:rPr>
              <w:sym w:font="Symbol" w:char="F0DE"/>
            </w:r>
            <w:r>
              <w:rPr>
                <w:sz w:val="20"/>
              </w:rPr>
              <w:t xml:space="preserve"> zohľadní sa samostatne od celkovej chyby, avšak v rámci celkového stanoviska)</w:t>
            </w:r>
          </w:p>
        </w:tc>
        <w:tc>
          <w:tcPr>
            <w:tcW w:w="2772" w:type="dxa"/>
            <w:vMerge/>
          </w:tcPr>
          <w:p w:rsidR="00680AC5" w:rsidRPr="00ED38B7" w:rsidRDefault="00680AC5" w:rsidP="0037269F">
            <w:pPr>
              <w:spacing w:after="0"/>
              <w:rPr>
                <w:sz w:val="20"/>
              </w:rPr>
            </w:pPr>
          </w:p>
        </w:tc>
      </w:tr>
      <w:tr w:rsidR="00680AC5" w:rsidRPr="00ED38B7" w:rsidTr="00C419C2">
        <w:tc>
          <w:tcPr>
            <w:tcW w:w="1384" w:type="dxa"/>
            <w:vMerge/>
          </w:tcPr>
          <w:p w:rsidR="00680AC5" w:rsidRPr="00ED38B7" w:rsidRDefault="00680AC5" w:rsidP="0037269F">
            <w:pPr>
              <w:spacing w:after="0"/>
              <w:rPr>
                <w:sz w:val="20"/>
              </w:rPr>
            </w:pPr>
          </w:p>
        </w:tc>
        <w:tc>
          <w:tcPr>
            <w:tcW w:w="1985" w:type="dxa"/>
          </w:tcPr>
          <w:p w:rsidR="00680AC5" w:rsidRPr="00ED38B7" w:rsidRDefault="00680AC5" w:rsidP="0037269F">
            <w:pPr>
              <w:spacing w:after="0"/>
              <w:rPr>
                <w:sz w:val="20"/>
              </w:rPr>
            </w:pPr>
            <w:r>
              <w:rPr>
                <w:sz w:val="20"/>
              </w:rPr>
              <w:t>Finančné zosúhlasenie</w:t>
            </w:r>
          </w:p>
        </w:tc>
        <w:tc>
          <w:tcPr>
            <w:tcW w:w="3543" w:type="dxa"/>
          </w:tcPr>
          <w:p w:rsidR="00680AC5" w:rsidRPr="00ED38B7" w:rsidRDefault="00680AC5" w:rsidP="0037269F">
            <w:pPr>
              <w:spacing w:after="0"/>
              <w:rPr>
                <w:sz w:val="20"/>
              </w:rPr>
            </w:pPr>
            <w:r>
              <w:rPr>
                <w:sz w:val="20"/>
              </w:rPr>
              <w:t>Nesprávnosti zistené pri zosúhlasovaní ročných účtovných závierok s priebežnými vyhláseniami. Zohľadňujú sa vyhlásenia, ktoré sa vzťahujú na výdavky aj na príjmy. Zohľadňuje sa výška nesprávnosti.</w:t>
            </w:r>
          </w:p>
        </w:tc>
        <w:tc>
          <w:tcPr>
            <w:tcW w:w="2772" w:type="dxa"/>
          </w:tcPr>
          <w:p w:rsidR="00680AC5" w:rsidRPr="00ED38B7" w:rsidRDefault="00680AC5" w:rsidP="0037269F">
            <w:pPr>
              <w:spacing w:after="0"/>
              <w:rPr>
                <w:sz w:val="20"/>
              </w:rPr>
            </w:pPr>
            <w:r>
              <w:rPr>
                <w:sz w:val="20"/>
              </w:rPr>
              <w:t>Záver v prípade významných/nevýznamných nesprávností v účtoch (výška chýb sa má zohľadniť v celkovej chybe v rámci celkového stanoviska)</w:t>
            </w:r>
          </w:p>
        </w:tc>
        <w:tc>
          <w:tcPr>
            <w:tcW w:w="2772" w:type="dxa"/>
            <w:vMerge/>
          </w:tcPr>
          <w:p w:rsidR="00680AC5" w:rsidRPr="00ED38B7" w:rsidRDefault="00680AC5" w:rsidP="0037269F">
            <w:pPr>
              <w:spacing w:after="0"/>
              <w:rPr>
                <w:sz w:val="20"/>
              </w:rPr>
            </w:pPr>
          </w:p>
        </w:tc>
      </w:tr>
      <w:tr w:rsidR="00680AC5" w:rsidRPr="00D53B0F" w:rsidTr="00C419C2">
        <w:tc>
          <w:tcPr>
            <w:tcW w:w="1384" w:type="dxa"/>
          </w:tcPr>
          <w:p w:rsidR="00680AC5" w:rsidRPr="00D53B0F" w:rsidRDefault="00680AC5" w:rsidP="0037269F">
            <w:pPr>
              <w:spacing w:after="0"/>
              <w:rPr>
                <w:sz w:val="20"/>
              </w:rPr>
            </w:pPr>
            <w:r>
              <w:rPr>
                <w:sz w:val="20"/>
              </w:rPr>
              <w:t>Potvrdenie zákonnosti a riadnosti výdavkov</w:t>
            </w:r>
          </w:p>
        </w:tc>
        <w:tc>
          <w:tcPr>
            <w:tcW w:w="1985" w:type="dxa"/>
          </w:tcPr>
          <w:p w:rsidR="00680AC5" w:rsidRPr="00D53B0F" w:rsidRDefault="00680AC5">
            <w:pPr>
              <w:spacing w:after="0"/>
              <w:rPr>
                <w:sz w:val="20"/>
              </w:rPr>
            </w:pPr>
            <w:r>
              <w:rPr>
                <w:sz w:val="20"/>
              </w:rPr>
              <w:t xml:space="preserve">Testovanie vecnej správnosti žiadostí (do fázy potvrdenia a schválenia) a následné kroky po realizácii platby </w:t>
            </w:r>
          </w:p>
        </w:tc>
        <w:tc>
          <w:tcPr>
            <w:tcW w:w="3543" w:type="dxa"/>
          </w:tcPr>
          <w:p w:rsidR="00680AC5" w:rsidRPr="00D53B0F" w:rsidRDefault="009C0678">
            <w:pPr>
              <w:spacing w:after="0"/>
              <w:rPr>
                <w:sz w:val="20"/>
              </w:rPr>
            </w:pPr>
            <w:r>
              <w:rPr>
                <w:sz w:val="20"/>
              </w:rPr>
              <w:t>Odchýlky v sumách, ktoré platobná agentúra označila za oprávnené na základe postupov potvrdzovania a schvaľovania (vrátane administratívnych kontrol a kontrol na mieste, ak boli potrebné) – výpočet pokút sa v tejto fáze nezohľadňuje – zohľadnené musia byť všetky zložky vyplatené počas účtovného obdobia, v prípade ktorých sa vykonáva testovanie vecnej správnosti.</w:t>
            </w:r>
          </w:p>
        </w:tc>
        <w:tc>
          <w:tcPr>
            <w:tcW w:w="2772" w:type="dxa"/>
          </w:tcPr>
          <w:p w:rsidR="00680AC5" w:rsidRPr="00D53B0F" w:rsidRDefault="00680AC5" w:rsidP="0037269F">
            <w:pPr>
              <w:spacing w:after="0"/>
              <w:rPr>
                <w:sz w:val="20"/>
              </w:rPr>
            </w:pPr>
            <w:r>
              <w:rPr>
                <w:sz w:val="20"/>
              </w:rPr>
              <w:t xml:space="preserve">Výpočet miery nesúladu: miera nesúladu – IRR (predpokladaná miera nesúladu – PIR) a horná hranica predpokladaného nesúladu (UPI) na úrovni súboru a potom posúdenie na úrovni fondu </w:t>
            </w:r>
          </w:p>
        </w:tc>
        <w:tc>
          <w:tcPr>
            <w:tcW w:w="2772" w:type="dxa"/>
          </w:tcPr>
          <w:p w:rsidR="00680AC5" w:rsidRPr="00D53B0F" w:rsidRDefault="00680AC5" w:rsidP="0037269F">
            <w:pPr>
              <w:spacing w:after="0"/>
              <w:rPr>
                <w:sz w:val="20"/>
              </w:rPr>
            </w:pPr>
            <w:r>
              <w:rPr>
                <w:sz w:val="20"/>
              </w:rPr>
              <w:t>– o zákonnosti a riadnosti výdavkov</w:t>
            </w:r>
          </w:p>
        </w:tc>
      </w:tr>
      <w:tr w:rsidR="00680AC5" w:rsidRPr="00D53B0F" w:rsidTr="00C419C2">
        <w:tc>
          <w:tcPr>
            <w:tcW w:w="1384" w:type="dxa"/>
          </w:tcPr>
          <w:p w:rsidR="00680AC5" w:rsidRPr="00D53B0F" w:rsidRDefault="00680AC5" w:rsidP="0037269F">
            <w:pPr>
              <w:spacing w:after="0"/>
              <w:rPr>
                <w:sz w:val="20"/>
              </w:rPr>
            </w:pPr>
            <w:r>
              <w:rPr>
                <w:sz w:val="20"/>
              </w:rPr>
              <w:t>Potvrdenie kontrolných štatistík a stanovisko k vyhláseniu hospodáriaceho subjektu</w:t>
            </w:r>
          </w:p>
        </w:tc>
        <w:tc>
          <w:tcPr>
            <w:tcW w:w="1985" w:type="dxa"/>
          </w:tcPr>
          <w:p w:rsidR="00680AC5" w:rsidRPr="00D53B0F" w:rsidRDefault="00680AC5" w:rsidP="0037269F">
            <w:pPr>
              <w:spacing w:after="0"/>
              <w:rPr>
                <w:sz w:val="20"/>
              </w:rPr>
            </w:pPr>
            <w:r>
              <w:rPr>
                <w:sz w:val="20"/>
              </w:rPr>
              <w:t>Zosúhlasenie kontrolných štatistík (+ testovanie vecnej správnosti až do fázy potvrdzovania a schvaľovania, pozri vyššie)</w:t>
            </w:r>
          </w:p>
        </w:tc>
        <w:tc>
          <w:tcPr>
            <w:tcW w:w="3543" w:type="dxa"/>
          </w:tcPr>
          <w:p w:rsidR="00680AC5" w:rsidRPr="00D53B0F" w:rsidRDefault="00680AC5" w:rsidP="0037269F">
            <w:pPr>
              <w:spacing w:after="0"/>
              <w:rPr>
                <w:sz w:val="20"/>
              </w:rPr>
            </w:pPr>
            <w:r>
              <w:rPr>
                <w:sz w:val="20"/>
              </w:rPr>
              <w:t>Nesprávnosti zistené pri zosúhlasovaní kontrolných štatistík s príslušnými údajmi/informačnými systémami platobnej agentúry a medzi týmito údajmi/systémami a výsledkami kontroly.</w:t>
            </w:r>
          </w:p>
        </w:tc>
        <w:tc>
          <w:tcPr>
            <w:tcW w:w="2772" w:type="dxa"/>
          </w:tcPr>
          <w:p w:rsidR="00680AC5" w:rsidRPr="00D53B0F" w:rsidRDefault="00680AC5" w:rsidP="00866871">
            <w:pPr>
              <w:spacing w:after="0"/>
              <w:rPr>
                <w:sz w:val="20"/>
              </w:rPr>
            </w:pPr>
            <w:r>
              <w:rPr>
                <w:sz w:val="20"/>
              </w:rPr>
              <w:t>Záver, či boli zistené významné/nevýznamné nesprávnosti z pohľadu zákonnosti a riadnosti (výška chýb sa zohľadní v celkovom stanovisku k vyhláseniu hospodáriaceho subjektu a</w:t>
            </w:r>
            <w:r w:rsidR="00866871">
              <w:rPr>
                <w:sz w:val="20"/>
              </w:rPr>
              <w:t> </w:t>
            </w:r>
            <w:r>
              <w:rPr>
                <w:sz w:val="20"/>
              </w:rPr>
              <w:t>kontrolným štatistikám) + posúdenie miery rizika (IRR – pozri vyššie)</w:t>
            </w:r>
          </w:p>
        </w:tc>
        <w:tc>
          <w:tcPr>
            <w:tcW w:w="2772" w:type="dxa"/>
          </w:tcPr>
          <w:p w:rsidR="00680AC5" w:rsidRPr="00D53B0F" w:rsidRDefault="00680AC5" w:rsidP="0037269F">
            <w:pPr>
              <w:spacing w:after="0"/>
              <w:rPr>
                <w:sz w:val="20"/>
              </w:rPr>
            </w:pPr>
            <w:r>
              <w:rPr>
                <w:sz w:val="20"/>
              </w:rPr>
              <w:t>– o tvrdeniach uvedených vo vyhlásení hospodáriaceho subjektu a kontrolných štatistikách</w:t>
            </w:r>
          </w:p>
        </w:tc>
      </w:tr>
    </w:tbl>
    <w:p w:rsidR="0014612D" w:rsidRDefault="0014612D" w:rsidP="00ED38B7">
      <w:pPr>
        <w:pStyle w:val="AddressTR"/>
        <w:tabs>
          <w:tab w:val="num" w:pos="851"/>
        </w:tabs>
        <w:spacing w:before="120" w:after="120"/>
        <w:ind w:left="0"/>
        <w:jc w:val="both"/>
        <w:rPr>
          <w:b/>
          <w:szCs w:val="24"/>
        </w:rPr>
      </w:pPr>
    </w:p>
    <w:p w:rsidR="00680AC5" w:rsidRDefault="00680AC5" w:rsidP="001851D3">
      <w:pPr>
        <w:sectPr w:rsidR="00680AC5" w:rsidSect="00680AC5">
          <w:pgSz w:w="16838" w:h="11906" w:orient="landscape"/>
          <w:pgMar w:top="1701" w:right="1020" w:bottom="1587" w:left="1020" w:header="601" w:footer="1077" w:gutter="0"/>
          <w:cols w:space="720"/>
          <w:titlePg/>
          <w:docGrid w:linePitch="326"/>
        </w:sectPr>
      </w:pPr>
    </w:p>
    <w:p w:rsidR="00773E50" w:rsidRPr="001851D3" w:rsidRDefault="00773E50" w:rsidP="001851D3"/>
    <w:p w:rsidR="002950D9" w:rsidRPr="00E140EA" w:rsidRDefault="002950D9" w:rsidP="00E140EA">
      <w:pPr>
        <w:pStyle w:val="Heading1"/>
        <w:rPr>
          <w:b w:val="0"/>
        </w:rPr>
      </w:pPr>
      <w:r>
        <w:t xml:space="preserve">Preskúmanie systému vnútornej kontroly </w:t>
      </w:r>
    </w:p>
    <w:p w:rsidR="001354CA" w:rsidRPr="002950D9" w:rsidRDefault="002950D9" w:rsidP="001851D3">
      <w:pPr>
        <w:pStyle w:val="AddressTR"/>
        <w:tabs>
          <w:tab w:val="num" w:pos="851"/>
        </w:tabs>
        <w:spacing w:after="120"/>
        <w:ind w:left="0"/>
        <w:jc w:val="both"/>
        <w:rPr>
          <w:szCs w:val="24"/>
        </w:rPr>
      </w:pPr>
      <w:r>
        <w:t>Výsledky hodnotenia systému vnútornej kontroly (ICS) zahŕňajú interpretáciu výsledkov preskúmania systému vnútornej kontroly aj testu kontrol. Prvým krokom v preskúmaní ICS je rozdeliť a posúdiť postupy a kontroly so zohľadnením jednotlivých cieľov auditu (pozri prílohu 4). Na účely vyvodenia záveru o účinnosti celkového ICS je potrebné vykonať celkové hodnotenie.</w:t>
      </w:r>
    </w:p>
    <w:p w:rsidR="0030086F" w:rsidRPr="00AE40AC" w:rsidRDefault="007416C5" w:rsidP="001851D3">
      <w:pPr>
        <w:spacing w:after="120"/>
      </w:pPr>
      <w:r>
        <w:t>Akákoľvek finančná chyba vyplývajúca z testovania súladu (a neopravená platobnou agentúrou) by mala byť považovaná za známu chybu pri výpočte celkovej chyby v rámci celkového stanoviska.</w:t>
      </w:r>
    </w:p>
    <w:p w:rsidR="001354CA" w:rsidRDefault="001354CA" w:rsidP="001851D3">
      <w:pPr>
        <w:spacing w:after="120"/>
      </w:pPr>
      <w:r>
        <w:t>Aj keď nasledujúce kroky nie sú založené na štatistickom výbere vzorky, odporúčajú sa na správne vyhodnotenie výsledkov testovania súladu:</w:t>
      </w:r>
    </w:p>
    <w:p w:rsidR="001354CA" w:rsidRPr="00BC204F" w:rsidRDefault="00866871" w:rsidP="001851D3">
      <w:pPr>
        <w:pStyle w:val="ListDash1"/>
        <w:numPr>
          <w:ilvl w:val="0"/>
          <w:numId w:val="26"/>
        </w:numPr>
        <w:spacing w:after="120"/>
        <w:ind w:left="1418" w:hanging="851"/>
      </w:pPr>
      <w:r w:rsidRPr="00866871">
        <w:t xml:space="preserve"> </w:t>
      </w:r>
      <w:r w:rsidR="001354CA">
        <w:rPr>
          <w:u w:val="single"/>
        </w:rPr>
        <w:t>1. krok:</w:t>
      </w:r>
      <w:r w:rsidR="001354CA">
        <w:t xml:space="preserve"> Stanoví sa </w:t>
      </w:r>
      <w:r w:rsidR="001354CA">
        <w:rPr>
          <w:b/>
        </w:rPr>
        <w:t>„miera výskytu/výberový podiel“</w:t>
      </w:r>
      <w:r w:rsidR="001354CA">
        <w:t xml:space="preserve"> – (</w:t>
      </w:r>
      <w:r w:rsidR="001354CA">
        <w:rPr>
          <w:b/>
        </w:rPr>
        <w:t>SR</w:t>
      </w:r>
      <w:r w:rsidR="001354CA">
        <w:t>) na úrovni vzorky:</w:t>
      </w:r>
    </w:p>
    <w:p w:rsidR="001354CA" w:rsidRPr="00BC204F" w:rsidRDefault="007A7CB7" w:rsidP="001851D3">
      <w:pPr>
        <w:pStyle w:val="Text2"/>
        <w:spacing w:after="120"/>
      </w:pPr>
      <w:r>
        <w:rPr>
          <w:position w:val="-24"/>
        </w:rPr>
        <w:object w:dxaOrig="2060" w:dyaOrig="980" w14:anchorId="15712C73">
          <v:shape id="_x0000_i1027" type="#_x0000_t75" style="width:102.55pt;height:41.45pt" o:ole="">
            <v:imagedata r:id="rId13" o:title=""/>
          </v:shape>
          <o:OLEObject Type="Embed" ProgID="Equation.3" ShapeID="_x0000_i1027" DrawAspect="Content" ObjectID="_1565431412" r:id="rId14"/>
        </w:object>
      </w:r>
    </w:p>
    <w:p w:rsidR="007A7CB7" w:rsidRPr="0031217E" w:rsidRDefault="001354CA" w:rsidP="001851D3">
      <w:pPr>
        <w:pStyle w:val="Text2"/>
        <w:spacing w:after="120"/>
      </w:pPr>
      <w:r>
        <w:t xml:space="preserve">keď </w:t>
      </w:r>
    </w:p>
    <w:p w:rsidR="007A7CB7" w:rsidRPr="0031217E" w:rsidRDefault="007A7CB7" w:rsidP="00BC204F">
      <w:pPr>
        <w:pStyle w:val="Text2"/>
        <w:numPr>
          <w:ilvl w:val="0"/>
          <w:numId w:val="51"/>
        </w:numPr>
        <w:spacing w:after="120"/>
      </w:pPr>
      <w:r>
        <w:t xml:space="preserve"> d predstavuje počet nedostatočne vykonaných kontrol v danej položke vzorky (žiadosť/transakcia),</w:t>
      </w:r>
    </w:p>
    <w:p w:rsidR="007A7CB7" w:rsidRPr="0031217E" w:rsidRDefault="007A7CB7" w:rsidP="00BC204F">
      <w:pPr>
        <w:pStyle w:val="Text2"/>
        <w:numPr>
          <w:ilvl w:val="0"/>
          <w:numId w:val="51"/>
        </w:numPr>
        <w:spacing w:after="120"/>
      </w:pPr>
      <w:r>
        <w:t>C predstavuje počet overených kontrol v prípade danej položky vzorky (žiadosť/transakcia) a</w:t>
      </w:r>
    </w:p>
    <w:p w:rsidR="001354CA" w:rsidRPr="00BC204F" w:rsidRDefault="001354CA" w:rsidP="00E140EA">
      <w:pPr>
        <w:pStyle w:val="Text2"/>
        <w:numPr>
          <w:ilvl w:val="0"/>
          <w:numId w:val="51"/>
        </w:numPr>
        <w:spacing w:after="120"/>
      </w:pPr>
      <w:r>
        <w:t>n predstavuje veľkosť vzorky.</w:t>
      </w:r>
    </w:p>
    <w:p w:rsidR="001354CA" w:rsidRDefault="00B04481" w:rsidP="001851D3">
      <w:pPr>
        <w:pStyle w:val="Text2"/>
        <w:spacing w:after="120"/>
      </w:pPr>
      <w:r>
        <w:t xml:space="preserve">Úroveň SR sa potom porovná s prijateľnou mierou chybovosti pevne stanovenou certifikačným orgánom vo fáze plánovania. Prijateľná miera chybovosti sa môže pohybovať od 2 do 20 %, ako je uvedené v oddiele 1.2 prílohy 2. Odporúča sa však, aby certifikačný orgán obmedzil prijateľnú chybovosť do výšky maximálne 10 %. </w:t>
      </w:r>
    </w:p>
    <w:p w:rsidR="001354CA" w:rsidRDefault="001354CA" w:rsidP="001851D3">
      <w:pPr>
        <w:pStyle w:val="Text2"/>
        <w:spacing w:after="120"/>
      </w:pPr>
      <w:r>
        <w:t>Treba uviesť, že odchýlky v tejto fáze naznačujú nedostatky v kontrolnom systéme, ktoré nemusia nutne viesť k vzniku finančného rizika pre fond. Predstavujú však dôležitý prvok pre hodnotenie systé</w:t>
      </w:r>
      <w:r w:rsidR="00866871">
        <w:t>mu vnútornej kontroly a </w:t>
      </w:r>
      <w:r>
        <w:t>zvyškového rizika.</w:t>
      </w:r>
    </w:p>
    <w:p w:rsidR="001354CA" w:rsidRDefault="001354CA" w:rsidP="001851D3">
      <w:pPr>
        <w:pStyle w:val="Text2"/>
        <w:spacing w:after="120"/>
      </w:pPr>
      <w:r>
        <w:rPr>
          <w:b/>
        </w:rPr>
        <w:t>Pozn.</w:t>
      </w:r>
      <w:r>
        <w:t xml:space="preserve"> Táto fáza je pre certifikačný orgán nepovinná. Ďalšia fáza môže byť založená na odbornom úsudku certifikačného orgánu. </w:t>
      </w:r>
    </w:p>
    <w:p w:rsidR="001354CA" w:rsidRPr="00EC08FF" w:rsidRDefault="00866871" w:rsidP="001851D3">
      <w:pPr>
        <w:pStyle w:val="ListDash1"/>
        <w:numPr>
          <w:ilvl w:val="0"/>
          <w:numId w:val="26"/>
        </w:numPr>
        <w:spacing w:after="120"/>
        <w:ind w:left="1418" w:hanging="851"/>
      </w:pPr>
      <w:r w:rsidRPr="00866871">
        <w:t xml:space="preserve"> </w:t>
      </w:r>
      <w:r w:rsidR="001354CA">
        <w:rPr>
          <w:u w:val="single"/>
        </w:rPr>
        <w:t>2. krok</w:t>
      </w:r>
      <w:r w:rsidR="001354CA">
        <w:t>: Interpretujú sa výsledky výberu vzorky:</w:t>
      </w:r>
    </w:p>
    <w:p w:rsidR="001354CA" w:rsidRDefault="001354CA" w:rsidP="001851D3">
      <w:pPr>
        <w:pStyle w:val="Text2"/>
        <w:spacing w:after="120"/>
      </w:pPr>
      <w:r>
        <w:lastRenderedPageBreak/>
        <w:t>ICS sa vyhodnotí pomocou systému klasifikácie uvedeného v usmernení (oddiel 5). Vzťah medzi spoľahlivosť</w:t>
      </w:r>
      <w:r w:rsidR="00866871">
        <w:t>ou systému vnútornej kontroly a </w:t>
      </w:r>
      <w:r>
        <w:t>výsledkami testov kontrol</w:t>
      </w:r>
      <w:r>
        <w:rPr>
          <w:rStyle w:val="FootnoteReference"/>
        </w:rPr>
        <w:footnoteReference w:id="2"/>
      </w:r>
      <w: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1275"/>
        <w:gridCol w:w="1560"/>
        <w:gridCol w:w="1465"/>
        <w:gridCol w:w="1701"/>
      </w:tblGrid>
      <w:tr w:rsidR="001354CA" w:rsidRPr="00B509F9">
        <w:tc>
          <w:tcPr>
            <w:tcW w:w="2268" w:type="dxa"/>
            <w:vMerge w:val="restart"/>
            <w:shd w:val="clear" w:color="auto" w:fill="auto"/>
            <w:vAlign w:val="center"/>
          </w:tcPr>
          <w:p w:rsidR="001354CA" w:rsidRPr="00B509F9" w:rsidRDefault="001354CA" w:rsidP="001851D3">
            <w:pPr>
              <w:spacing w:after="120"/>
              <w:jc w:val="center"/>
              <w:rPr>
                <w:sz w:val="22"/>
                <w:szCs w:val="22"/>
              </w:rPr>
            </w:pPr>
            <w:r>
              <w:rPr>
                <w:sz w:val="22"/>
              </w:rPr>
              <w:t>Predpoklady ku koncepcii a vykonávaniu pred testom kontrolného systému</w:t>
            </w:r>
          </w:p>
        </w:tc>
        <w:tc>
          <w:tcPr>
            <w:tcW w:w="6001" w:type="dxa"/>
            <w:gridSpan w:val="4"/>
            <w:shd w:val="clear" w:color="auto" w:fill="auto"/>
          </w:tcPr>
          <w:p w:rsidR="001354CA" w:rsidRPr="00B509F9" w:rsidRDefault="001354CA" w:rsidP="001851D3">
            <w:pPr>
              <w:spacing w:after="120"/>
              <w:jc w:val="center"/>
              <w:rPr>
                <w:rFonts w:eastAsia="MS Mincho"/>
                <w:sz w:val="22"/>
                <w:szCs w:val="22"/>
              </w:rPr>
            </w:pPr>
            <w:r>
              <w:rPr>
                <w:sz w:val="22"/>
              </w:rPr>
              <w:t>Výsledok testu kontrol/stupeň spoľahlivosti</w:t>
            </w:r>
          </w:p>
        </w:tc>
      </w:tr>
      <w:tr w:rsidR="001354CA" w:rsidRPr="00B509F9">
        <w:tc>
          <w:tcPr>
            <w:tcW w:w="2268" w:type="dxa"/>
            <w:vMerge/>
            <w:shd w:val="clear" w:color="auto" w:fill="auto"/>
          </w:tcPr>
          <w:p w:rsidR="001354CA" w:rsidRPr="00B509F9" w:rsidRDefault="001354CA" w:rsidP="001851D3">
            <w:pPr>
              <w:spacing w:after="120"/>
              <w:rPr>
                <w:sz w:val="22"/>
                <w:szCs w:val="22"/>
              </w:rPr>
            </w:pPr>
          </w:p>
        </w:tc>
        <w:tc>
          <w:tcPr>
            <w:tcW w:w="1275" w:type="dxa"/>
            <w:shd w:val="clear" w:color="auto" w:fill="auto"/>
          </w:tcPr>
          <w:p w:rsidR="001354CA" w:rsidRPr="00B509F9" w:rsidRDefault="001354CA" w:rsidP="001851D3">
            <w:pPr>
              <w:spacing w:after="120"/>
              <w:jc w:val="center"/>
              <w:rPr>
                <w:b/>
                <w:i/>
                <w:sz w:val="22"/>
                <w:szCs w:val="22"/>
              </w:rPr>
            </w:pPr>
            <w:r>
              <w:rPr>
                <w:b/>
                <w:i/>
                <w:sz w:val="22"/>
              </w:rPr>
              <w:t>Žiadne výnimky</w:t>
            </w:r>
          </w:p>
        </w:tc>
        <w:tc>
          <w:tcPr>
            <w:tcW w:w="1560" w:type="dxa"/>
            <w:shd w:val="clear" w:color="auto" w:fill="auto"/>
          </w:tcPr>
          <w:p w:rsidR="001354CA" w:rsidRPr="00B509F9" w:rsidRDefault="001354CA" w:rsidP="001851D3">
            <w:pPr>
              <w:spacing w:after="120"/>
              <w:jc w:val="center"/>
              <w:rPr>
                <w:b/>
                <w:i/>
                <w:sz w:val="22"/>
                <w:szCs w:val="22"/>
              </w:rPr>
            </w:pPr>
            <w:r>
              <w:rPr>
                <w:b/>
                <w:i/>
                <w:sz w:val="22"/>
              </w:rPr>
              <w:t>Niekoľko menších výnimiek</w:t>
            </w:r>
          </w:p>
        </w:tc>
        <w:tc>
          <w:tcPr>
            <w:tcW w:w="1465" w:type="dxa"/>
            <w:shd w:val="clear" w:color="auto" w:fill="auto"/>
          </w:tcPr>
          <w:p w:rsidR="001354CA" w:rsidRPr="00B509F9" w:rsidRDefault="001354CA" w:rsidP="001851D3">
            <w:pPr>
              <w:spacing w:after="120"/>
              <w:jc w:val="center"/>
              <w:rPr>
                <w:b/>
                <w:i/>
                <w:sz w:val="22"/>
                <w:szCs w:val="22"/>
              </w:rPr>
            </w:pPr>
            <w:r>
              <w:rPr>
                <w:b/>
                <w:i/>
                <w:sz w:val="22"/>
              </w:rPr>
              <w:t>Závažné výnimky*</w:t>
            </w:r>
          </w:p>
        </w:tc>
        <w:tc>
          <w:tcPr>
            <w:tcW w:w="1701" w:type="dxa"/>
            <w:shd w:val="clear" w:color="auto" w:fill="auto"/>
          </w:tcPr>
          <w:p w:rsidR="001354CA" w:rsidRPr="00B509F9" w:rsidRDefault="001354CA" w:rsidP="001851D3">
            <w:pPr>
              <w:spacing w:after="120"/>
              <w:jc w:val="center"/>
              <w:rPr>
                <w:b/>
                <w:i/>
                <w:sz w:val="22"/>
                <w:szCs w:val="22"/>
              </w:rPr>
            </w:pPr>
            <w:r>
              <w:rPr>
                <w:b/>
                <w:i/>
                <w:sz w:val="22"/>
              </w:rPr>
              <w:t>Rozsiahle zlyhanie*</w:t>
            </w:r>
          </w:p>
        </w:tc>
      </w:tr>
      <w:tr w:rsidR="001354CA" w:rsidRPr="00B509F9">
        <w:tc>
          <w:tcPr>
            <w:tcW w:w="2268" w:type="dxa"/>
            <w:shd w:val="clear" w:color="auto" w:fill="auto"/>
          </w:tcPr>
          <w:p w:rsidR="001354CA" w:rsidRPr="00B509F9" w:rsidRDefault="001354CA" w:rsidP="001851D3">
            <w:pPr>
              <w:spacing w:after="120"/>
              <w:jc w:val="center"/>
              <w:rPr>
                <w:sz w:val="22"/>
                <w:szCs w:val="22"/>
              </w:rPr>
            </w:pPr>
            <w:r>
              <w:rPr>
                <w:sz w:val="22"/>
              </w:rPr>
              <w:t>funguje dobre</w:t>
            </w:r>
          </w:p>
        </w:tc>
        <w:tc>
          <w:tcPr>
            <w:tcW w:w="1275" w:type="dxa"/>
            <w:shd w:val="clear" w:color="auto" w:fill="auto"/>
          </w:tcPr>
          <w:p w:rsidR="001354CA" w:rsidRPr="00B509F9" w:rsidRDefault="001354CA" w:rsidP="001851D3">
            <w:pPr>
              <w:spacing w:after="120"/>
              <w:jc w:val="center"/>
              <w:rPr>
                <w:sz w:val="22"/>
                <w:szCs w:val="22"/>
              </w:rPr>
            </w:pPr>
            <w:r>
              <w:rPr>
                <w:sz w:val="22"/>
              </w:rPr>
              <w:t>vysoká</w:t>
            </w:r>
          </w:p>
        </w:tc>
        <w:tc>
          <w:tcPr>
            <w:tcW w:w="1560" w:type="dxa"/>
            <w:shd w:val="clear" w:color="auto" w:fill="auto"/>
          </w:tcPr>
          <w:p w:rsidR="001354CA" w:rsidRPr="00B509F9" w:rsidRDefault="001354CA" w:rsidP="001851D3">
            <w:pPr>
              <w:spacing w:after="120"/>
              <w:jc w:val="center"/>
              <w:rPr>
                <w:sz w:val="22"/>
                <w:szCs w:val="22"/>
              </w:rPr>
            </w:pPr>
            <w:r>
              <w:rPr>
                <w:sz w:val="22"/>
              </w:rPr>
              <w:t>stredne vysoká</w:t>
            </w:r>
          </w:p>
        </w:tc>
        <w:tc>
          <w:tcPr>
            <w:tcW w:w="1465" w:type="dxa"/>
            <w:shd w:val="clear" w:color="auto" w:fill="auto"/>
          </w:tcPr>
          <w:p w:rsidR="001354CA" w:rsidRPr="00B509F9" w:rsidRDefault="001354CA" w:rsidP="001851D3">
            <w:pPr>
              <w:spacing w:after="120"/>
              <w:jc w:val="center"/>
              <w:rPr>
                <w:sz w:val="22"/>
                <w:szCs w:val="22"/>
              </w:rPr>
            </w:pPr>
            <w:r>
              <w:rPr>
                <w:sz w:val="22"/>
              </w:rPr>
              <w:t>nízka/nulová</w:t>
            </w:r>
          </w:p>
        </w:tc>
        <w:tc>
          <w:tcPr>
            <w:tcW w:w="1701" w:type="dxa"/>
            <w:shd w:val="clear" w:color="auto" w:fill="auto"/>
          </w:tcPr>
          <w:p w:rsidR="001354CA" w:rsidRPr="00B509F9" w:rsidRDefault="001354CA" w:rsidP="001851D3">
            <w:pPr>
              <w:spacing w:after="120"/>
              <w:jc w:val="center"/>
              <w:rPr>
                <w:sz w:val="22"/>
                <w:szCs w:val="22"/>
              </w:rPr>
            </w:pPr>
            <w:r>
              <w:rPr>
                <w:sz w:val="22"/>
              </w:rPr>
              <w:t>nulová</w:t>
            </w:r>
          </w:p>
        </w:tc>
      </w:tr>
      <w:tr w:rsidR="001354CA" w:rsidRPr="00B509F9">
        <w:tc>
          <w:tcPr>
            <w:tcW w:w="2268" w:type="dxa"/>
            <w:shd w:val="clear" w:color="auto" w:fill="auto"/>
          </w:tcPr>
          <w:p w:rsidR="001354CA" w:rsidRPr="00B509F9" w:rsidRDefault="001354CA" w:rsidP="001851D3">
            <w:pPr>
              <w:spacing w:after="120"/>
              <w:jc w:val="center"/>
              <w:rPr>
                <w:sz w:val="22"/>
                <w:szCs w:val="22"/>
              </w:rPr>
            </w:pPr>
            <w:r>
              <w:rPr>
                <w:sz w:val="22"/>
              </w:rPr>
              <w:t>funguje</w:t>
            </w:r>
          </w:p>
        </w:tc>
        <w:tc>
          <w:tcPr>
            <w:tcW w:w="1275" w:type="dxa"/>
            <w:shd w:val="clear" w:color="auto" w:fill="auto"/>
          </w:tcPr>
          <w:p w:rsidR="001354CA" w:rsidRPr="00B509F9" w:rsidRDefault="001354CA" w:rsidP="001851D3">
            <w:pPr>
              <w:spacing w:after="120"/>
              <w:jc w:val="center"/>
              <w:rPr>
                <w:sz w:val="22"/>
                <w:szCs w:val="22"/>
              </w:rPr>
            </w:pPr>
            <w:r>
              <w:rPr>
                <w:sz w:val="22"/>
              </w:rPr>
              <w:t>stredne vysoká</w:t>
            </w:r>
          </w:p>
        </w:tc>
        <w:tc>
          <w:tcPr>
            <w:tcW w:w="1560" w:type="dxa"/>
            <w:shd w:val="clear" w:color="auto" w:fill="auto"/>
          </w:tcPr>
          <w:p w:rsidR="001354CA" w:rsidRPr="00B509F9" w:rsidRDefault="001354CA" w:rsidP="001851D3">
            <w:pPr>
              <w:spacing w:after="120"/>
              <w:jc w:val="center"/>
              <w:rPr>
                <w:sz w:val="22"/>
                <w:szCs w:val="22"/>
              </w:rPr>
            </w:pPr>
            <w:r>
              <w:rPr>
                <w:sz w:val="22"/>
              </w:rPr>
              <w:t>stredná/nízka</w:t>
            </w:r>
          </w:p>
        </w:tc>
        <w:tc>
          <w:tcPr>
            <w:tcW w:w="1465" w:type="dxa"/>
            <w:shd w:val="clear" w:color="auto" w:fill="auto"/>
          </w:tcPr>
          <w:p w:rsidR="001354CA" w:rsidRPr="00B509F9" w:rsidRDefault="001354CA" w:rsidP="001851D3">
            <w:pPr>
              <w:spacing w:after="120"/>
              <w:jc w:val="center"/>
              <w:rPr>
                <w:sz w:val="22"/>
                <w:szCs w:val="22"/>
              </w:rPr>
            </w:pPr>
            <w:r>
              <w:rPr>
                <w:sz w:val="22"/>
              </w:rPr>
              <w:t>nízka/nulová</w:t>
            </w:r>
          </w:p>
        </w:tc>
        <w:tc>
          <w:tcPr>
            <w:tcW w:w="1701" w:type="dxa"/>
            <w:shd w:val="clear" w:color="auto" w:fill="auto"/>
          </w:tcPr>
          <w:p w:rsidR="001354CA" w:rsidRPr="00B509F9" w:rsidRDefault="001354CA" w:rsidP="001851D3">
            <w:pPr>
              <w:spacing w:after="120"/>
              <w:jc w:val="center"/>
              <w:rPr>
                <w:sz w:val="22"/>
                <w:szCs w:val="22"/>
              </w:rPr>
            </w:pPr>
            <w:r>
              <w:rPr>
                <w:sz w:val="22"/>
              </w:rPr>
              <w:t>nulová</w:t>
            </w:r>
          </w:p>
        </w:tc>
      </w:tr>
      <w:tr w:rsidR="001354CA" w:rsidRPr="00B509F9">
        <w:tc>
          <w:tcPr>
            <w:tcW w:w="2268" w:type="dxa"/>
            <w:shd w:val="clear" w:color="auto" w:fill="auto"/>
          </w:tcPr>
          <w:p w:rsidR="001354CA" w:rsidRPr="00B509F9" w:rsidRDefault="001354CA" w:rsidP="001851D3">
            <w:pPr>
              <w:spacing w:after="120"/>
              <w:jc w:val="center"/>
              <w:rPr>
                <w:sz w:val="22"/>
                <w:szCs w:val="22"/>
              </w:rPr>
            </w:pPr>
            <w:r>
              <w:rPr>
                <w:sz w:val="22"/>
              </w:rPr>
              <w:t>funguje čiastočne</w:t>
            </w:r>
          </w:p>
        </w:tc>
        <w:tc>
          <w:tcPr>
            <w:tcW w:w="1275" w:type="dxa"/>
            <w:shd w:val="clear" w:color="auto" w:fill="auto"/>
          </w:tcPr>
          <w:p w:rsidR="001354CA" w:rsidRPr="00B509F9" w:rsidRDefault="001354CA" w:rsidP="001851D3">
            <w:pPr>
              <w:spacing w:after="120"/>
              <w:jc w:val="center"/>
              <w:rPr>
                <w:sz w:val="22"/>
                <w:szCs w:val="22"/>
              </w:rPr>
            </w:pPr>
            <w:r>
              <w:rPr>
                <w:sz w:val="22"/>
              </w:rPr>
              <w:t>nízka</w:t>
            </w:r>
          </w:p>
        </w:tc>
        <w:tc>
          <w:tcPr>
            <w:tcW w:w="1560" w:type="dxa"/>
            <w:shd w:val="clear" w:color="auto" w:fill="auto"/>
          </w:tcPr>
          <w:p w:rsidR="001354CA" w:rsidRPr="00B509F9" w:rsidRDefault="001354CA" w:rsidP="001851D3">
            <w:pPr>
              <w:spacing w:after="120"/>
              <w:jc w:val="center"/>
              <w:rPr>
                <w:sz w:val="22"/>
                <w:szCs w:val="22"/>
              </w:rPr>
            </w:pPr>
            <w:r>
              <w:rPr>
                <w:sz w:val="22"/>
              </w:rPr>
              <w:t>nízka/nulová</w:t>
            </w:r>
          </w:p>
        </w:tc>
        <w:tc>
          <w:tcPr>
            <w:tcW w:w="1465" w:type="dxa"/>
            <w:shd w:val="clear" w:color="auto" w:fill="auto"/>
          </w:tcPr>
          <w:p w:rsidR="001354CA" w:rsidRPr="00B509F9" w:rsidRDefault="001354CA" w:rsidP="001851D3">
            <w:pPr>
              <w:spacing w:after="120"/>
              <w:jc w:val="center"/>
              <w:rPr>
                <w:sz w:val="22"/>
                <w:szCs w:val="22"/>
              </w:rPr>
            </w:pPr>
            <w:r>
              <w:rPr>
                <w:sz w:val="22"/>
              </w:rPr>
              <w:t>nízka/nulová</w:t>
            </w:r>
          </w:p>
        </w:tc>
        <w:tc>
          <w:tcPr>
            <w:tcW w:w="1701" w:type="dxa"/>
            <w:shd w:val="clear" w:color="auto" w:fill="auto"/>
          </w:tcPr>
          <w:p w:rsidR="001354CA" w:rsidRPr="00B509F9" w:rsidRDefault="001354CA" w:rsidP="001851D3">
            <w:pPr>
              <w:spacing w:after="120"/>
              <w:jc w:val="center"/>
              <w:rPr>
                <w:sz w:val="22"/>
                <w:szCs w:val="22"/>
              </w:rPr>
            </w:pPr>
            <w:r>
              <w:rPr>
                <w:sz w:val="22"/>
              </w:rPr>
              <w:t>nulová</w:t>
            </w:r>
          </w:p>
        </w:tc>
      </w:tr>
      <w:tr w:rsidR="001354CA" w:rsidRPr="00B509F9">
        <w:tc>
          <w:tcPr>
            <w:tcW w:w="2268" w:type="dxa"/>
            <w:shd w:val="clear" w:color="auto" w:fill="auto"/>
          </w:tcPr>
          <w:p w:rsidR="001354CA" w:rsidRPr="00B509F9" w:rsidRDefault="001354CA" w:rsidP="001851D3">
            <w:pPr>
              <w:spacing w:after="120"/>
              <w:jc w:val="center"/>
              <w:rPr>
                <w:sz w:val="22"/>
                <w:szCs w:val="22"/>
              </w:rPr>
            </w:pPr>
            <w:r>
              <w:rPr>
                <w:sz w:val="22"/>
              </w:rPr>
              <w:t>nefunguje</w:t>
            </w:r>
          </w:p>
        </w:tc>
        <w:tc>
          <w:tcPr>
            <w:tcW w:w="1275" w:type="dxa"/>
            <w:shd w:val="clear" w:color="auto" w:fill="auto"/>
          </w:tcPr>
          <w:p w:rsidR="001354CA" w:rsidRPr="00B509F9" w:rsidRDefault="001354CA" w:rsidP="001851D3">
            <w:pPr>
              <w:spacing w:after="120"/>
              <w:jc w:val="center"/>
              <w:rPr>
                <w:sz w:val="22"/>
                <w:szCs w:val="22"/>
              </w:rPr>
            </w:pPr>
            <w:r>
              <w:rPr>
                <w:sz w:val="22"/>
              </w:rPr>
              <w:t>nulová</w:t>
            </w:r>
          </w:p>
        </w:tc>
        <w:tc>
          <w:tcPr>
            <w:tcW w:w="1560" w:type="dxa"/>
            <w:shd w:val="clear" w:color="auto" w:fill="auto"/>
          </w:tcPr>
          <w:p w:rsidR="001354CA" w:rsidRPr="00B509F9" w:rsidRDefault="001354CA" w:rsidP="001851D3">
            <w:pPr>
              <w:spacing w:after="120"/>
              <w:jc w:val="center"/>
              <w:rPr>
                <w:sz w:val="22"/>
                <w:szCs w:val="22"/>
              </w:rPr>
            </w:pPr>
            <w:r>
              <w:rPr>
                <w:sz w:val="22"/>
              </w:rPr>
              <w:t>nulová</w:t>
            </w:r>
          </w:p>
        </w:tc>
        <w:tc>
          <w:tcPr>
            <w:tcW w:w="1465" w:type="dxa"/>
            <w:shd w:val="clear" w:color="auto" w:fill="auto"/>
          </w:tcPr>
          <w:p w:rsidR="001354CA" w:rsidRPr="00B509F9" w:rsidRDefault="001354CA" w:rsidP="001851D3">
            <w:pPr>
              <w:spacing w:after="120"/>
              <w:jc w:val="center"/>
              <w:rPr>
                <w:sz w:val="22"/>
                <w:szCs w:val="22"/>
              </w:rPr>
            </w:pPr>
            <w:r>
              <w:rPr>
                <w:sz w:val="22"/>
              </w:rPr>
              <w:t>nulová</w:t>
            </w:r>
          </w:p>
        </w:tc>
        <w:tc>
          <w:tcPr>
            <w:tcW w:w="1701" w:type="dxa"/>
            <w:shd w:val="clear" w:color="auto" w:fill="auto"/>
          </w:tcPr>
          <w:p w:rsidR="001354CA" w:rsidRPr="00B509F9" w:rsidRDefault="001354CA" w:rsidP="001851D3">
            <w:pPr>
              <w:spacing w:after="120"/>
              <w:jc w:val="center"/>
              <w:rPr>
                <w:sz w:val="22"/>
                <w:szCs w:val="22"/>
              </w:rPr>
            </w:pPr>
            <w:r>
              <w:rPr>
                <w:sz w:val="22"/>
              </w:rPr>
              <w:t>nulová</w:t>
            </w:r>
          </w:p>
        </w:tc>
      </w:tr>
    </w:tbl>
    <w:p w:rsidR="001354CA" w:rsidRDefault="001354CA" w:rsidP="001354CA">
      <w:pPr>
        <w:pStyle w:val="Text2"/>
        <w:spacing w:before="240"/>
      </w:pPr>
      <w:r>
        <w:t>*Znamená výberový podiel, ktorý je vyšší než prijateľná chybovosť (úroveň významnosti) vopred vymedzená certifikačným orgánom v stratégii auditu.</w:t>
      </w:r>
    </w:p>
    <w:p w:rsidR="007E75F5" w:rsidRDefault="001B0698" w:rsidP="005003D4">
      <w:pPr>
        <w:pStyle w:val="Text1"/>
        <w:spacing w:after="120"/>
        <w:ind w:left="0"/>
      </w:pPr>
      <w:r>
        <w:t>V hodnotení by sa mala brať do úvahy úroveň významnosti akýchkoľvek zistených odchýlok.</w:t>
      </w:r>
    </w:p>
    <w:p w:rsidR="001354CA" w:rsidRDefault="001354CA" w:rsidP="005003D4">
      <w:pPr>
        <w:spacing w:after="120"/>
      </w:pPr>
      <w:r>
        <w:t>Ak sa opakujú nedostatky z predchádzajúceho rozpočto</w:t>
      </w:r>
      <w:r w:rsidR="00866871">
        <w:t>vého roka a neexistujú dôkazy o </w:t>
      </w:r>
      <w:r>
        <w:t>nápravných opatreniach prijatých platobnou agentúrou, certifikačný orgán môže rozhodnúť o znížení stupňa hodnotenia, a to v závis</w:t>
      </w:r>
      <w:r w:rsidR="00866871">
        <w:t>losti od závažnosti porušenia a </w:t>
      </w:r>
      <w:r>
        <w:t>(pot</w:t>
      </w:r>
      <w:r w:rsidR="00381D77">
        <w:t>enciálneho) finančného vplyvu.</w:t>
      </w:r>
      <w:r>
        <w:t xml:space="preserve"> </w:t>
      </w:r>
    </w:p>
    <w:p w:rsidR="00016D24" w:rsidRDefault="009D790D" w:rsidP="005003D4">
      <w:pPr>
        <w:spacing w:after="120"/>
      </w:pPr>
      <w:r>
        <w:t>Certifikačné orgány by mali jasne uviesť počet formálnych chýb zistených v každej vzorke. Formálna chyba je chyba bez finančného vplyvu (úhrada je v podstate správna, pokiaľ ide o sumu), ale predstavuje transakciu, pri ktorej zlyhala jedna alebo niekoľko kontrol (napr. žiadosť nie je schválená na správnej úrovni). Certifikačné orgány musia výslovne potvrdiť, že zistené formálne chyby nemajú žiadny finančný vplyv.</w:t>
      </w:r>
    </w:p>
    <w:p w:rsidR="00016D24" w:rsidRDefault="00016D24" w:rsidP="005003D4">
      <w:pPr>
        <w:spacing w:after="120"/>
      </w:pPr>
      <w:r>
        <w:t>Certifikačný orgán by mal okrem kvantitatívnej analýzy zistených chýb vykonať aj kvalitatívnu analýzu týchto chýb. Zistené chyby (akokoľvek malé) môžu napríklad poukazovať na vážne nedostatky a/alebo porušenie predpisov EÚ v oblasti kontroly, ktoré si vyžadujú osobitnú pozornosť certifikačného orgánu a/alebo vykonanie ďalších testov.</w:t>
      </w:r>
    </w:p>
    <w:p w:rsidR="005003D4" w:rsidRDefault="001354CA" w:rsidP="005003D4">
      <w:pPr>
        <w:spacing w:after="120"/>
      </w:pPr>
      <w:r>
        <w:t>Výsledky uvedeného hodnotenia:</w:t>
      </w:r>
    </w:p>
    <w:p w:rsidR="005003D4" w:rsidRPr="0095490E" w:rsidRDefault="001354CA" w:rsidP="005003D4">
      <w:pPr>
        <w:pStyle w:val="ListDash1"/>
        <w:spacing w:after="120"/>
        <w:ind w:left="0" w:firstLine="0"/>
      </w:pPr>
      <w:r>
        <w:t>budú bodovo ohodnotené v maticiach, porovnaj oddiely 5.3, 5.4, 11.3 a 11.4 usmernenia.</w:t>
      </w:r>
    </w:p>
    <w:p w:rsidR="001354CA" w:rsidRDefault="001354CA" w:rsidP="00C419C2">
      <w:pPr>
        <w:pStyle w:val="ListDash1"/>
        <w:spacing w:after="120"/>
        <w:ind w:left="0" w:firstLine="0"/>
      </w:pPr>
      <w:r>
        <w:t>určia konečný rozsah testovania vecnej správnosti.</w:t>
      </w:r>
    </w:p>
    <w:p w:rsidR="002950D9" w:rsidRPr="002950D9" w:rsidRDefault="002950D9" w:rsidP="00E140EA">
      <w:pPr>
        <w:pStyle w:val="Heading1"/>
        <w:rPr>
          <w:i/>
        </w:rPr>
      </w:pPr>
      <w:r>
        <w:lastRenderedPageBreak/>
        <w:t xml:space="preserve">Testovanie vecnej správnosti </w:t>
      </w:r>
    </w:p>
    <w:p w:rsidR="002950D9" w:rsidRPr="00E140EA" w:rsidRDefault="002950D9" w:rsidP="00E140EA">
      <w:pPr>
        <w:pStyle w:val="Heading2"/>
      </w:pPr>
      <w:r>
        <w:t xml:space="preserve">Testovanie vecnej správnosti - štatistická metóda </w:t>
      </w:r>
    </w:p>
    <w:p w:rsidR="001354CA" w:rsidRPr="00E140EA" w:rsidRDefault="0013421E" w:rsidP="00E140EA">
      <w:pPr>
        <w:pStyle w:val="Heading3"/>
        <w:tabs>
          <w:tab w:val="clear" w:pos="1920"/>
          <w:tab w:val="num" w:pos="1418"/>
        </w:tabs>
        <w:ind w:left="1418" w:hanging="851"/>
        <w:rPr>
          <w:i w:val="0"/>
        </w:rPr>
      </w:pPr>
      <w:r>
        <w:rPr>
          <w:b/>
        </w:rPr>
        <w:t>Výpočet miery nesúladu (IRR)</w:t>
      </w:r>
      <w:r>
        <w:t xml:space="preserve"> – testovanie vecnej správnosti až do fázy potvrdenia a schválenia</w:t>
      </w:r>
    </w:p>
    <w:p w:rsidR="001354CA" w:rsidRDefault="001354CA">
      <w:pPr>
        <w:spacing w:after="120"/>
        <w:ind w:left="720"/>
      </w:pPr>
      <w:r>
        <w:t xml:space="preserve">Výsledky výberu vzorky pre vzorku na úrovni súboru, ktorá bola predmetom testovania vecnej správnosti, musia byť najskôr </w:t>
      </w:r>
      <w:r>
        <w:rPr>
          <w:b/>
        </w:rPr>
        <w:t>vyhodnotené až do fázy potvrdenia a schválenia</w:t>
      </w:r>
      <w:r>
        <w:t xml:space="preserve"> (t. j. pred uplatnením pokút). Cieľ tohto hodnotenia je trojaký: </w:t>
      </w:r>
    </w:p>
    <w:p w:rsidR="00303EE2" w:rsidRDefault="00303EE2" w:rsidP="008F322C">
      <w:pPr>
        <w:numPr>
          <w:ilvl w:val="0"/>
          <w:numId w:val="25"/>
        </w:numPr>
        <w:spacing w:after="120"/>
      </w:pPr>
      <w:r>
        <w:t>umožňuje hodnotenie zákonnosti a riadnosti transakcií, ktoré boli potom vykázané ako výdavky,</w:t>
      </w:r>
    </w:p>
    <w:p w:rsidR="001354CA" w:rsidRDefault="001354CA" w:rsidP="001851D3">
      <w:pPr>
        <w:numPr>
          <w:ilvl w:val="0"/>
          <w:numId w:val="25"/>
        </w:numPr>
        <w:spacing w:after="120"/>
      </w:pPr>
      <w:r>
        <w:t xml:space="preserve"> umožňuje hodnotenie miery rizika: možný finančný vplyv na fond (zohľadní sa pre stanovisko k vyhláseniu hospodáriaceho subjektu) a</w:t>
      </w:r>
    </w:p>
    <w:p w:rsidR="001354CA" w:rsidRDefault="001354CA" w:rsidP="001851D3">
      <w:pPr>
        <w:numPr>
          <w:ilvl w:val="0"/>
          <w:numId w:val="25"/>
        </w:numPr>
        <w:spacing w:after="120"/>
      </w:pPr>
      <w:r>
        <w:t xml:space="preserve"> uľahčuje hodnotenie systému vnútornej kontroly, pokiaľ ide o kľúčové kontrolné činnosti, najmä kontroly na mieste, ale aj administratívne kontroly; vykoná sa prostredníctvom potvrdenia výsledkov testovania súladu.</w:t>
      </w:r>
    </w:p>
    <w:p w:rsidR="001354CA" w:rsidRPr="009857A8" w:rsidRDefault="001354CA" w:rsidP="001851D3">
      <w:pPr>
        <w:spacing w:after="120"/>
        <w:ind w:left="720"/>
      </w:pPr>
      <w:r>
        <w:t xml:space="preserve">Hodnotenie miery nesúladu sa vykonáva na úrovni súboru (IACS a mimo IACS). </w:t>
      </w:r>
    </w:p>
    <w:p w:rsidR="009857A8" w:rsidRDefault="009857A8" w:rsidP="009857A8">
      <w:pPr>
        <w:spacing w:after="120"/>
        <w:ind w:left="709"/>
      </w:pPr>
      <w:r>
        <w:t xml:space="preserve">Ak sa opätovné overovanie kontrol na mieste týka viacerých opatrení, t. j. certifikačný orgán kontroluje všetky programy/opatrenia vykázané daným príjemcom, opätovné overovanie jednotlivých opatrení sa započíta voči vzorke certifikačného orgánu, ak takto pôvodne postupovala platobná agentúra. Chyby zistené v každom opätovnom overení sa premietnu do celého súboru. Certifikačný orgán by mal vykonať opätovné overenie pôvodného postupu platobnej agentúry – ak platobná agentúra kontroluje iba jeden program/opatrenie žiadosti príjemcu, certifikačný orgán prijme rovnaký postup alebo naopak. </w:t>
      </w:r>
    </w:p>
    <w:p w:rsidR="009857A8" w:rsidRDefault="009857A8" w:rsidP="001851D3">
      <w:pPr>
        <w:spacing w:after="120"/>
        <w:ind w:left="720"/>
      </w:pPr>
    </w:p>
    <w:p w:rsidR="001354CA" w:rsidRDefault="001354CA" w:rsidP="001851D3">
      <w:pPr>
        <w:pStyle w:val="ListDash1"/>
        <w:spacing w:after="120"/>
        <w:rPr>
          <w:b/>
          <w:i/>
        </w:rPr>
      </w:pPr>
      <w:r>
        <w:rPr>
          <w:b/>
          <w:i/>
          <w:u w:val="single"/>
        </w:rPr>
        <w:t>1. krok:</w:t>
      </w:r>
      <w:r>
        <w:rPr>
          <w:b/>
          <w:i/>
        </w:rPr>
        <w:t xml:space="preserve"> Potvrdenie veľkosti vzorky a počiatočných parametrov:</w:t>
      </w:r>
    </w:p>
    <w:p w:rsidR="003D0D55" w:rsidRPr="00CA7C46" w:rsidRDefault="00CA7C46" w:rsidP="001851D3">
      <w:pPr>
        <w:pStyle w:val="Text1"/>
        <w:spacing w:after="120"/>
        <w:ind w:left="720" w:firstLine="11"/>
      </w:pPr>
      <w:r>
        <w:t xml:space="preserve">Bude potrebné posúdenie a dodatočný výber vzorky, ako sa uvádza v bode 7 písm. a) prílohy 2. </w:t>
      </w:r>
    </w:p>
    <w:p w:rsidR="001354CA" w:rsidRPr="001F1605" w:rsidRDefault="001354CA" w:rsidP="001851D3">
      <w:pPr>
        <w:pStyle w:val="ListDash1"/>
        <w:spacing w:after="120"/>
        <w:rPr>
          <w:b/>
          <w:i/>
        </w:rPr>
      </w:pPr>
      <w:r>
        <w:rPr>
          <w:b/>
          <w:i/>
          <w:u w:val="single"/>
        </w:rPr>
        <w:t>2. krok:</w:t>
      </w:r>
      <w:r>
        <w:rPr>
          <w:b/>
          <w:i/>
        </w:rPr>
        <w:t xml:space="preserve"> Hodnotenie miery rizika (za predpokladu kladného výsledku kroku 1):</w:t>
      </w:r>
    </w:p>
    <w:p w:rsidR="001354CA" w:rsidRDefault="001354CA" w:rsidP="001851D3">
      <w:pPr>
        <w:pStyle w:val="Text1"/>
        <w:spacing w:after="120"/>
        <w:ind w:left="720" w:firstLine="11"/>
      </w:pPr>
      <w:r>
        <w:rPr>
          <w:b/>
        </w:rPr>
        <w:t>Hodnotenie rizika</w:t>
      </w:r>
      <w:r>
        <w:t xml:space="preserve"> vychádza z analýzy týchto dvoch prvkov:</w:t>
      </w:r>
    </w:p>
    <w:p w:rsidR="001354CA" w:rsidRPr="00C726A3" w:rsidRDefault="001354CA" w:rsidP="001851D3">
      <w:pPr>
        <w:pStyle w:val="Text1"/>
        <w:numPr>
          <w:ilvl w:val="0"/>
          <w:numId w:val="29"/>
        </w:numPr>
        <w:spacing w:after="120"/>
      </w:pPr>
      <w:r>
        <w:rPr>
          <w:u w:val="single"/>
        </w:rPr>
        <w:t>Hodnotenie ICS</w:t>
      </w:r>
      <w:r>
        <w:t xml:space="preserve">, najmä vo fáze </w:t>
      </w:r>
      <w:r w:rsidR="00866871">
        <w:t>potvrdzovania a schvaľovania, a </w:t>
      </w:r>
      <w:r>
        <w:t>zohľadnenie prvkov, ktoré nemožno kvantifikovať (napr. kvalita LPIS alebo iných systémov používaných na sta</w:t>
      </w:r>
      <w:r w:rsidR="00866871">
        <w:t>novenie oprávnenosti platby), a </w:t>
      </w:r>
      <w:r>
        <w:t>výsledku testu kontrol a testovania súladu. V záveroch by mala byť zohľadnená úroveň významnosti akýchkoľvek zistených odchýlok.</w:t>
      </w:r>
    </w:p>
    <w:p w:rsidR="00F56CA8" w:rsidRPr="00C419C2" w:rsidRDefault="00F56CA8" w:rsidP="001851D3">
      <w:pPr>
        <w:pStyle w:val="Text1"/>
        <w:numPr>
          <w:ilvl w:val="0"/>
          <w:numId w:val="29"/>
        </w:numPr>
        <w:spacing w:after="120"/>
      </w:pPr>
      <w:r>
        <w:rPr>
          <w:u w:val="single"/>
        </w:rPr>
        <w:t>Výpočet chyby pre IRR na úrovni súboru</w:t>
      </w:r>
    </w:p>
    <w:p w:rsidR="00F22AB2" w:rsidRPr="00C726A3" w:rsidRDefault="00F22AB2" w:rsidP="00C419C2">
      <w:pPr>
        <w:numPr>
          <w:ilvl w:val="0"/>
          <w:numId w:val="56"/>
        </w:numPr>
      </w:pPr>
      <w:r>
        <w:t>Pomocou jednoduchého náhodného výberu vzorky</w:t>
      </w:r>
    </w:p>
    <w:p w:rsidR="00F22AB2" w:rsidRPr="00C726A3" w:rsidRDefault="00F22AB2" w:rsidP="00C419C2">
      <w:pPr>
        <w:ind w:left="720"/>
        <w:rPr>
          <w:rFonts w:eastAsiaTheme="minorEastAsia"/>
          <w:b/>
          <w:szCs w:val="24"/>
        </w:rPr>
      </w:pPr>
      <w:r>
        <w:rPr>
          <w:rFonts w:eastAsiaTheme="minorEastAsia"/>
          <w:b/>
        </w:rPr>
        <w:t>Odhad priemeru na jednotku (absolútne chyby)</w:t>
      </w:r>
    </w:p>
    <w:p w:rsidR="00F22AB2" w:rsidRPr="006B5572" w:rsidRDefault="00F22AB2" w:rsidP="00C419C2">
      <w:pPr>
        <w:autoSpaceDE w:val="0"/>
        <w:autoSpaceDN w:val="0"/>
        <w:adjustRightInd w:val="0"/>
        <w:ind w:left="720"/>
        <w:rPr>
          <w:szCs w:val="24"/>
        </w:rPr>
      </w:pPr>
      <w:r>
        <w:t>Priemerná chyba na operáciu zistená vo vzorke sa vynásobí počto</w:t>
      </w:r>
      <w:r w:rsidR="00866871">
        <w:t>m operácií v </w:t>
      </w:r>
      <w:r>
        <w:t>súbore, pričom výsledkom je predpokladaná chybovosť:</w:t>
      </w:r>
    </w:p>
    <w:p w:rsidR="00F22AB2" w:rsidRPr="006B5572" w:rsidRDefault="00F22AB2" w:rsidP="00C419C2">
      <w:pPr>
        <w:autoSpaceDE w:val="0"/>
        <w:autoSpaceDN w:val="0"/>
        <w:adjustRightInd w:val="0"/>
        <w:rPr>
          <w:szCs w:val="24"/>
        </w:rPr>
      </w:pPr>
    </w:p>
    <w:p w:rsidR="00F22AB2" w:rsidRPr="006B5572" w:rsidRDefault="007321C8" w:rsidP="00C419C2">
      <w:pPr>
        <w:pStyle w:val="ListParagraph"/>
        <w:autoSpaceDE w:val="0"/>
        <w:autoSpaceDN w:val="0"/>
        <w:adjustRightInd w:val="0"/>
        <w:ind w:left="0"/>
        <w:jc w:val="center"/>
        <w:rPr>
          <w:rFonts w:eastAsiaTheme="minorEastAsia"/>
          <w:szCs w:val="24"/>
        </w:rPr>
      </w:pPr>
      <m:oMathPara>
        <m:oMath>
          <m:sSub>
            <m:sSubPr>
              <m:ctrlPr>
                <w:rPr>
                  <w:rFonts w:ascii="Cambria Math" w:hAnsi="Cambria Math"/>
                  <w:i/>
                  <w:szCs w:val="24"/>
                </w:rPr>
              </m:ctrlPr>
            </m:sSubPr>
            <m:e>
              <m:r>
                <w:rPr>
                  <w:rFonts w:ascii="Cambria Math" w:hAnsi="Cambria Math"/>
                  <w:szCs w:val="24"/>
                </w:rPr>
                <m:t>EE</m:t>
              </m:r>
            </m:e>
            <m:sub>
              <m:r>
                <w:rPr>
                  <w:rFonts w:ascii="Cambria Math" w:hAnsi="Cambria Math"/>
                  <w:szCs w:val="24"/>
                </w:rPr>
                <m:t>1</m:t>
              </m:r>
            </m:sub>
          </m:sSub>
          <m:r>
            <w:rPr>
              <w:rFonts w:ascii="Cambria Math" w:hAnsi="Cambria Math"/>
              <w:szCs w:val="24"/>
            </w:rPr>
            <m:t>=N×</m:t>
          </m:r>
          <m:f>
            <m:fPr>
              <m:ctrlPr>
                <w:rPr>
                  <w:rFonts w:ascii="Cambria Math" w:hAnsi="Cambria Math"/>
                  <w:i/>
                  <w:szCs w:val="24"/>
                </w:rPr>
              </m:ctrlPr>
            </m:fPr>
            <m:num>
              <m:nary>
                <m:naryPr>
                  <m:chr m:val="∑"/>
                  <m:limLoc m:val="undOvr"/>
                  <m:ctrlPr>
                    <w:rPr>
                      <w:rFonts w:ascii="Cambria Math" w:hAnsi="Cambria Math"/>
                      <w:i/>
                      <w:szCs w:val="24"/>
                    </w:rPr>
                  </m:ctrlPr>
                </m:naryPr>
                <m:sub>
                  <m:r>
                    <w:rPr>
                      <w:rFonts w:ascii="Cambria Math" w:hAnsi="Cambria Math"/>
                      <w:szCs w:val="24"/>
                    </w:rPr>
                    <m:t>i=1</m:t>
                  </m:r>
                </m:sub>
                <m:sup>
                  <m:r>
                    <w:rPr>
                      <w:rFonts w:ascii="Cambria Math" w:hAnsi="Cambria Math"/>
                      <w:szCs w:val="24"/>
                    </w:rPr>
                    <m:t>n</m:t>
                  </m:r>
                </m:sup>
                <m:e>
                  <m:sSub>
                    <m:sSubPr>
                      <m:ctrlPr>
                        <w:rPr>
                          <w:rFonts w:ascii="Cambria Math" w:hAnsi="Cambria Math"/>
                          <w:i/>
                          <w:szCs w:val="24"/>
                        </w:rPr>
                      </m:ctrlPr>
                    </m:sSubPr>
                    <m:e>
                      <m:r>
                        <w:rPr>
                          <w:rFonts w:ascii="Cambria Math" w:hAnsi="Cambria Math"/>
                          <w:szCs w:val="24"/>
                        </w:rPr>
                        <m:t>E</m:t>
                      </m:r>
                    </m:e>
                    <m:sub>
                      <m:r>
                        <w:rPr>
                          <w:rFonts w:ascii="Cambria Math" w:hAnsi="Cambria Math"/>
                          <w:szCs w:val="24"/>
                        </w:rPr>
                        <m:t>i</m:t>
                      </m:r>
                    </m:sub>
                  </m:sSub>
                </m:e>
              </m:nary>
            </m:num>
            <m:den>
              <m:r>
                <w:rPr>
                  <w:rFonts w:ascii="Cambria Math" w:hAnsi="Cambria Math"/>
                  <w:szCs w:val="24"/>
                </w:rPr>
                <m:t>n</m:t>
              </m:r>
            </m:den>
          </m:f>
          <m:r>
            <w:rPr>
              <w:rFonts w:ascii="Cambria Math" w:hAnsi="Cambria Math"/>
              <w:szCs w:val="24"/>
            </w:rPr>
            <m:t>.</m:t>
          </m:r>
        </m:oMath>
      </m:oMathPara>
    </w:p>
    <w:p w:rsidR="00F22AB2" w:rsidRPr="006B5572" w:rsidRDefault="00F22AB2" w:rsidP="00C419C2">
      <w:pPr>
        <w:pStyle w:val="ListParagraph"/>
        <w:autoSpaceDE w:val="0"/>
        <w:autoSpaceDN w:val="0"/>
        <w:adjustRightInd w:val="0"/>
        <w:rPr>
          <w:rFonts w:eastAsiaTheme="minorEastAsia"/>
          <w:szCs w:val="24"/>
        </w:rPr>
      </w:pPr>
    </w:p>
    <w:p w:rsidR="00F22AB2" w:rsidRPr="006B5572" w:rsidRDefault="00F22AB2" w:rsidP="00C419C2">
      <w:pPr>
        <w:spacing w:after="200"/>
        <w:ind w:left="1418"/>
        <w:jc w:val="left"/>
        <w:rPr>
          <w:rFonts w:eastAsiaTheme="minorEastAsia"/>
          <w:b/>
          <w:szCs w:val="24"/>
        </w:rPr>
      </w:pPr>
      <w:r>
        <w:rPr>
          <w:rFonts w:eastAsiaTheme="minorEastAsia"/>
          <w:b/>
        </w:rPr>
        <w:t>Odhad pomeru (miery chybovosti)</w:t>
      </w:r>
    </w:p>
    <w:p w:rsidR="00F22AB2" w:rsidRPr="006B5572" w:rsidRDefault="00F22AB2" w:rsidP="00C419C2">
      <w:pPr>
        <w:autoSpaceDE w:val="0"/>
        <w:autoSpaceDN w:val="0"/>
        <w:adjustRightInd w:val="0"/>
        <w:ind w:left="1418"/>
        <w:rPr>
          <w:szCs w:val="24"/>
        </w:rPr>
      </w:pPr>
      <w:r>
        <w:t>Priemerná miera chybovosti zistená vo vzorke sa vynásobí účtovnou hodnotou na úrovni súboru:</w:t>
      </w:r>
    </w:p>
    <w:p w:rsidR="00F22AB2" w:rsidRPr="006B5572" w:rsidRDefault="00F22AB2" w:rsidP="00C419C2">
      <w:pPr>
        <w:autoSpaceDE w:val="0"/>
        <w:autoSpaceDN w:val="0"/>
        <w:adjustRightInd w:val="0"/>
        <w:rPr>
          <w:szCs w:val="24"/>
        </w:rPr>
      </w:pPr>
    </w:p>
    <w:p w:rsidR="00F22AB2" w:rsidRPr="006B5572" w:rsidRDefault="007321C8" w:rsidP="00C419C2">
      <w:pPr>
        <w:autoSpaceDE w:val="0"/>
        <w:autoSpaceDN w:val="0"/>
        <w:adjustRightInd w:val="0"/>
        <w:rPr>
          <w:rFonts w:eastAsiaTheme="minorEastAsia"/>
          <w:szCs w:val="24"/>
        </w:rPr>
      </w:pPr>
      <m:oMathPara>
        <m:oMath>
          <m:sSub>
            <m:sSubPr>
              <m:ctrlPr>
                <w:rPr>
                  <w:rFonts w:ascii="Cambria Math" w:hAnsi="Cambria Math"/>
                  <w:i/>
                  <w:szCs w:val="24"/>
                </w:rPr>
              </m:ctrlPr>
            </m:sSubPr>
            <m:e>
              <m:r>
                <w:rPr>
                  <w:rFonts w:ascii="Cambria Math" w:hAnsi="Cambria Math"/>
                  <w:szCs w:val="24"/>
                </w:rPr>
                <m:t>EE</m:t>
              </m:r>
            </m:e>
            <m:sub>
              <m:r>
                <w:rPr>
                  <w:rFonts w:ascii="Cambria Math" w:hAnsi="Cambria Math"/>
                  <w:szCs w:val="24"/>
                </w:rPr>
                <m:t>2</m:t>
              </m:r>
            </m:sub>
          </m:sSub>
          <m:r>
            <w:rPr>
              <w:rFonts w:ascii="Cambria Math" w:hAnsi="Cambria Math"/>
              <w:szCs w:val="24"/>
            </w:rPr>
            <m:t>=BV×</m:t>
          </m:r>
          <m:f>
            <m:fPr>
              <m:ctrlPr>
                <w:rPr>
                  <w:rFonts w:ascii="Cambria Math" w:hAnsi="Cambria Math"/>
                  <w:i/>
                  <w:szCs w:val="24"/>
                </w:rPr>
              </m:ctrlPr>
            </m:fPr>
            <m:num>
              <m:nary>
                <m:naryPr>
                  <m:chr m:val="∑"/>
                  <m:limLoc m:val="undOvr"/>
                  <m:ctrlPr>
                    <w:rPr>
                      <w:rFonts w:ascii="Cambria Math" w:hAnsi="Cambria Math"/>
                      <w:i/>
                      <w:szCs w:val="24"/>
                    </w:rPr>
                  </m:ctrlPr>
                </m:naryPr>
                <m:sub>
                  <m:r>
                    <w:rPr>
                      <w:rFonts w:ascii="Cambria Math" w:hAnsi="Cambria Math"/>
                      <w:szCs w:val="24"/>
                    </w:rPr>
                    <m:t>i=1</m:t>
                  </m:r>
                </m:sub>
                <m:sup>
                  <m:r>
                    <w:rPr>
                      <w:rFonts w:ascii="Cambria Math" w:hAnsi="Cambria Math"/>
                      <w:szCs w:val="24"/>
                    </w:rPr>
                    <m:t>n</m:t>
                  </m:r>
                </m:sup>
                <m:e>
                  <m:sSub>
                    <m:sSubPr>
                      <m:ctrlPr>
                        <w:rPr>
                          <w:rFonts w:ascii="Cambria Math" w:hAnsi="Cambria Math"/>
                          <w:i/>
                          <w:szCs w:val="24"/>
                        </w:rPr>
                      </m:ctrlPr>
                    </m:sSubPr>
                    <m:e>
                      <m:r>
                        <w:rPr>
                          <w:rFonts w:ascii="Cambria Math" w:hAnsi="Cambria Math"/>
                          <w:szCs w:val="24"/>
                        </w:rPr>
                        <m:t>E</m:t>
                      </m:r>
                    </m:e>
                    <m:sub>
                      <m:r>
                        <w:rPr>
                          <w:rFonts w:ascii="Cambria Math" w:hAnsi="Cambria Math"/>
                          <w:szCs w:val="24"/>
                        </w:rPr>
                        <m:t>i</m:t>
                      </m:r>
                    </m:sub>
                  </m:sSub>
                </m:e>
              </m:nary>
            </m:num>
            <m:den>
              <m:nary>
                <m:naryPr>
                  <m:chr m:val="∑"/>
                  <m:limLoc m:val="undOvr"/>
                  <m:ctrlPr>
                    <w:rPr>
                      <w:rFonts w:ascii="Cambria Math" w:hAnsi="Cambria Math"/>
                      <w:i/>
                      <w:szCs w:val="24"/>
                    </w:rPr>
                  </m:ctrlPr>
                </m:naryPr>
                <m:sub>
                  <m:r>
                    <w:rPr>
                      <w:rFonts w:ascii="Cambria Math" w:hAnsi="Cambria Math"/>
                      <w:szCs w:val="24"/>
                    </w:rPr>
                    <m:t>i=1</m:t>
                  </m:r>
                </m:sub>
                <m:sup>
                  <m:r>
                    <w:rPr>
                      <w:rFonts w:ascii="Cambria Math" w:hAnsi="Cambria Math"/>
                      <w:szCs w:val="24"/>
                    </w:rPr>
                    <m:t>n</m:t>
                  </m:r>
                </m:sup>
                <m:e>
                  <m:sSub>
                    <m:sSubPr>
                      <m:ctrlPr>
                        <w:rPr>
                          <w:rFonts w:ascii="Cambria Math" w:hAnsi="Cambria Math"/>
                          <w:i/>
                          <w:szCs w:val="24"/>
                        </w:rPr>
                      </m:ctrlPr>
                    </m:sSubPr>
                    <m:e>
                      <m:r>
                        <w:rPr>
                          <w:rFonts w:ascii="Cambria Math" w:hAnsi="Cambria Math"/>
                          <w:szCs w:val="24"/>
                        </w:rPr>
                        <m:t>BV</m:t>
                      </m:r>
                    </m:e>
                    <m:sub>
                      <m:r>
                        <w:rPr>
                          <w:rFonts w:ascii="Cambria Math" w:hAnsi="Cambria Math"/>
                          <w:szCs w:val="24"/>
                        </w:rPr>
                        <m:t>i</m:t>
                      </m:r>
                    </m:sub>
                  </m:sSub>
                </m:e>
              </m:nary>
            </m:den>
          </m:f>
        </m:oMath>
      </m:oMathPara>
    </w:p>
    <w:p w:rsidR="00F22AB2" w:rsidRDefault="001E489A" w:rsidP="00C419C2">
      <w:pPr>
        <w:ind w:left="1418"/>
      </w:pPr>
      <w:r>
        <w:tab/>
        <w:t>Vzorce na výpočet presnosti a hornej hrani</w:t>
      </w:r>
      <w:r w:rsidR="00866871">
        <w:t>ce chybovosti sú k dispozícii v </w:t>
      </w:r>
      <w:r>
        <w:t xml:space="preserve">prílohe 2.1 k usmerneniu 2. </w:t>
      </w:r>
    </w:p>
    <w:p w:rsidR="001E489A" w:rsidRDefault="001E489A" w:rsidP="00C419C2">
      <w:pPr>
        <w:numPr>
          <w:ilvl w:val="0"/>
          <w:numId w:val="56"/>
        </w:numPr>
        <w:ind w:hanging="11"/>
      </w:pPr>
      <w:r>
        <w:t>Štandardný prístup MUS</w:t>
      </w:r>
    </w:p>
    <w:p w:rsidR="00F56CA8" w:rsidRDefault="008C5B69" w:rsidP="00C419C2">
      <w:pPr>
        <w:spacing w:after="120"/>
        <w:ind w:left="1451"/>
      </w:pPr>
      <w:r>
        <w:t>V prípade použitia štandardného prístupu MUS sa predpokladaná chybovosť v prípade neúplnej vrstvy počíta takto:</w:t>
      </w:r>
    </w:p>
    <w:p w:rsidR="008C5B69" w:rsidRPr="00FB2B91" w:rsidRDefault="008C5B69" w:rsidP="008C5B69">
      <w:pPr>
        <w:autoSpaceDE w:val="0"/>
        <w:autoSpaceDN w:val="0"/>
        <w:adjustRightInd w:val="0"/>
        <w:rPr>
          <w:rFonts w:eastAsiaTheme="minorEastAsia"/>
          <w:szCs w:val="24"/>
        </w:rPr>
      </w:pPr>
    </w:p>
    <w:p w:rsidR="008C5B69" w:rsidRPr="006B5572" w:rsidRDefault="007321C8" w:rsidP="008C5B69">
      <w:pPr>
        <w:autoSpaceDE w:val="0"/>
        <w:autoSpaceDN w:val="0"/>
        <w:adjustRightInd w:val="0"/>
        <w:rPr>
          <w:rFonts w:eastAsiaTheme="minorEastAsia"/>
          <w:szCs w:val="24"/>
        </w:rPr>
      </w:pPr>
      <m:oMathPara>
        <m:oMath>
          <m:sSub>
            <m:sSubPr>
              <m:ctrlPr>
                <w:rPr>
                  <w:rFonts w:ascii="Cambria Math" w:eastAsiaTheme="minorEastAsia" w:hAnsi="Cambria Math"/>
                  <w:i/>
                  <w:szCs w:val="24"/>
                </w:rPr>
              </m:ctrlPr>
            </m:sSubPr>
            <m:e>
              <m:r>
                <w:rPr>
                  <w:rFonts w:ascii="Cambria Math" w:eastAsiaTheme="minorEastAsia" w:hAnsi="Cambria Math"/>
                  <w:szCs w:val="24"/>
                </w:rPr>
                <m:t>EE</m:t>
              </m:r>
            </m:e>
            <m:sub>
              <m:r>
                <w:rPr>
                  <w:rFonts w:ascii="Cambria Math" w:eastAsiaTheme="minorEastAsia" w:hAnsi="Cambria Math"/>
                  <w:szCs w:val="24"/>
                </w:rPr>
                <m:t>s</m:t>
              </m:r>
            </m:sub>
          </m:sSub>
          <m:r>
            <w:rPr>
              <w:rFonts w:ascii="Cambria Math" w:eastAsiaTheme="minorEastAsia" w:hAnsi="Cambria Math"/>
              <w:szCs w:val="24"/>
            </w:rPr>
            <m:t>=SI</m:t>
          </m:r>
          <m:nary>
            <m:naryPr>
              <m:chr m:val="∑"/>
              <m:limLoc m:val="undOvr"/>
              <m:ctrlPr>
                <w:rPr>
                  <w:rFonts w:ascii="Cambria Math" w:eastAsiaTheme="minorEastAsia" w:hAnsi="Cambria Math"/>
                  <w:i/>
                  <w:szCs w:val="24"/>
                </w:rPr>
              </m:ctrlPr>
            </m:naryPr>
            <m:sub>
              <m:r>
                <w:rPr>
                  <w:rFonts w:ascii="Cambria Math" w:eastAsiaTheme="minorEastAsia" w:hAnsi="Cambria Math"/>
                  <w:szCs w:val="24"/>
                </w:rPr>
                <m:t>i=1</m:t>
              </m:r>
            </m:sub>
            <m:sup>
              <m:sSub>
                <m:sSubPr>
                  <m:ctrlPr>
                    <w:rPr>
                      <w:rFonts w:ascii="Cambria Math" w:eastAsiaTheme="minorEastAsia" w:hAnsi="Cambria Math"/>
                      <w:i/>
                      <w:szCs w:val="24"/>
                    </w:rPr>
                  </m:ctrlPr>
                </m:sSubPr>
                <m:e>
                  <m:r>
                    <w:rPr>
                      <w:rFonts w:ascii="Cambria Math" w:eastAsiaTheme="minorEastAsia" w:hAnsi="Cambria Math"/>
                      <w:szCs w:val="24"/>
                    </w:rPr>
                    <m:t>n</m:t>
                  </m:r>
                </m:e>
                <m:sub>
                  <m:r>
                    <w:rPr>
                      <w:rFonts w:ascii="Cambria Math" w:eastAsiaTheme="minorEastAsia" w:hAnsi="Cambria Math"/>
                      <w:szCs w:val="24"/>
                    </w:rPr>
                    <m:t>s</m:t>
                  </m:r>
                </m:sub>
              </m:sSub>
            </m:sup>
            <m:e>
              <m:f>
                <m:fPr>
                  <m:ctrlPr>
                    <w:rPr>
                      <w:rFonts w:ascii="Cambria Math" w:eastAsiaTheme="minorEastAsia" w:hAnsi="Cambria Math"/>
                      <w:i/>
                      <w:szCs w:val="24"/>
                    </w:rPr>
                  </m:ctrlPr>
                </m:fPr>
                <m:num>
                  <m:sSub>
                    <m:sSubPr>
                      <m:ctrlPr>
                        <w:rPr>
                          <w:rFonts w:ascii="Cambria Math" w:eastAsiaTheme="minorEastAsia" w:hAnsi="Cambria Math"/>
                          <w:i/>
                          <w:szCs w:val="24"/>
                        </w:rPr>
                      </m:ctrlPr>
                    </m:sSubPr>
                    <m:e>
                      <m:r>
                        <w:rPr>
                          <w:rFonts w:ascii="Cambria Math" w:eastAsiaTheme="minorEastAsia" w:hAnsi="Cambria Math"/>
                          <w:szCs w:val="24"/>
                        </w:rPr>
                        <m:t>E</m:t>
                      </m:r>
                    </m:e>
                    <m:sub>
                      <m:r>
                        <w:rPr>
                          <w:rFonts w:ascii="Cambria Math" w:eastAsiaTheme="minorEastAsia" w:hAnsi="Cambria Math"/>
                          <w:szCs w:val="24"/>
                        </w:rPr>
                        <m:t>i</m:t>
                      </m:r>
                    </m:sub>
                  </m:sSub>
                </m:num>
                <m:den>
                  <m:sSub>
                    <m:sSubPr>
                      <m:ctrlPr>
                        <w:rPr>
                          <w:rFonts w:ascii="Cambria Math" w:eastAsiaTheme="minorEastAsia" w:hAnsi="Cambria Math"/>
                          <w:i/>
                          <w:szCs w:val="24"/>
                        </w:rPr>
                      </m:ctrlPr>
                    </m:sSubPr>
                    <m:e>
                      <m:r>
                        <w:rPr>
                          <w:rFonts w:ascii="Cambria Math" w:eastAsiaTheme="minorEastAsia" w:hAnsi="Cambria Math"/>
                          <w:szCs w:val="24"/>
                        </w:rPr>
                        <m:t>BV</m:t>
                      </m:r>
                    </m:e>
                    <m:sub>
                      <m:r>
                        <w:rPr>
                          <w:rFonts w:ascii="Cambria Math" w:eastAsiaTheme="minorEastAsia" w:hAnsi="Cambria Math"/>
                          <w:szCs w:val="24"/>
                        </w:rPr>
                        <m:t>i</m:t>
                      </m:r>
                    </m:sub>
                  </m:sSub>
                </m:den>
              </m:f>
            </m:e>
          </m:nary>
        </m:oMath>
      </m:oMathPara>
    </w:p>
    <w:p w:rsidR="008C5B69" w:rsidRDefault="008C5B69" w:rsidP="00C419C2">
      <w:pPr>
        <w:autoSpaceDE w:val="0"/>
        <w:autoSpaceDN w:val="0"/>
        <w:adjustRightInd w:val="0"/>
        <w:ind w:left="1418"/>
        <w:rPr>
          <w:rFonts w:eastAsiaTheme="minorEastAsia"/>
          <w:szCs w:val="24"/>
        </w:rPr>
      </w:pPr>
      <w:r>
        <w:t>Presnosť sa počíta takto:</w:t>
      </w:r>
    </w:p>
    <w:p w:rsidR="008C5B69" w:rsidRPr="006B5572" w:rsidRDefault="008C5B69" w:rsidP="008C5B69">
      <w:pPr>
        <w:autoSpaceDE w:val="0"/>
        <w:autoSpaceDN w:val="0"/>
        <w:adjustRightInd w:val="0"/>
        <w:rPr>
          <w:szCs w:val="24"/>
        </w:rPr>
      </w:pPr>
    </w:p>
    <w:p w:rsidR="008C5B69" w:rsidRPr="006B5572" w:rsidRDefault="008C5B69" w:rsidP="008C5B69">
      <w:pPr>
        <w:autoSpaceDE w:val="0"/>
        <w:autoSpaceDN w:val="0"/>
        <w:adjustRightInd w:val="0"/>
        <w:rPr>
          <w:rFonts w:eastAsiaTheme="minorEastAsia"/>
          <w:szCs w:val="24"/>
        </w:rPr>
      </w:pPr>
      <m:oMathPara>
        <m:oMath>
          <m:r>
            <w:rPr>
              <w:rFonts w:ascii="Cambria Math" w:hAnsi="Cambria Math"/>
              <w:szCs w:val="24"/>
            </w:rPr>
            <m:t>SE=z×</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BV</m:t>
                  </m:r>
                </m:e>
                <m:sub>
                  <m:r>
                    <w:rPr>
                      <w:rFonts w:ascii="Cambria Math" w:hAnsi="Cambria Math"/>
                      <w:szCs w:val="24"/>
                    </w:rPr>
                    <m:t>s</m:t>
                  </m:r>
                </m:sub>
              </m:sSub>
            </m:num>
            <m:den>
              <m:rad>
                <m:radPr>
                  <m:degHide m:val="1"/>
                  <m:ctrlPr>
                    <w:rPr>
                      <w:rFonts w:ascii="Cambria Math" w:hAnsi="Cambria Math"/>
                      <w:i/>
                      <w:szCs w:val="24"/>
                    </w:rPr>
                  </m:ctrlPr>
                </m:radPr>
                <m:deg/>
                <m:e>
                  <m:sSub>
                    <m:sSubPr>
                      <m:ctrlPr>
                        <w:rPr>
                          <w:rFonts w:ascii="Cambria Math" w:hAnsi="Cambria Math"/>
                          <w:i/>
                          <w:szCs w:val="24"/>
                        </w:rPr>
                      </m:ctrlPr>
                    </m:sSubPr>
                    <m:e>
                      <m:r>
                        <w:rPr>
                          <w:rFonts w:ascii="Cambria Math" w:hAnsi="Cambria Math"/>
                          <w:szCs w:val="24"/>
                        </w:rPr>
                        <m:t>n</m:t>
                      </m:r>
                    </m:e>
                    <m:sub>
                      <m:r>
                        <w:rPr>
                          <w:rFonts w:ascii="Cambria Math" w:hAnsi="Cambria Math"/>
                          <w:szCs w:val="24"/>
                        </w:rPr>
                        <m:t>s</m:t>
                      </m:r>
                    </m:sub>
                  </m:sSub>
                </m:e>
              </m:rad>
            </m:den>
          </m:f>
          <m:r>
            <w:rPr>
              <w:rFonts w:ascii="Cambria Math" w:hAnsi="Cambria Math"/>
              <w:szCs w:val="24"/>
            </w:rPr>
            <m:t>×</m:t>
          </m:r>
          <m:sSub>
            <m:sSubPr>
              <m:ctrlPr>
                <w:rPr>
                  <w:rFonts w:ascii="Cambria Math" w:hAnsi="Cambria Math"/>
                  <w:i/>
                  <w:szCs w:val="24"/>
                </w:rPr>
              </m:ctrlPr>
            </m:sSubPr>
            <m:e>
              <m:r>
                <w:rPr>
                  <w:rFonts w:ascii="Cambria Math" w:hAnsi="Cambria Math"/>
                  <w:szCs w:val="24"/>
                </w:rPr>
                <m:t>s</m:t>
              </m:r>
            </m:e>
            <m:sub>
              <m:r>
                <w:rPr>
                  <w:rFonts w:ascii="Cambria Math" w:hAnsi="Cambria Math"/>
                  <w:szCs w:val="24"/>
                </w:rPr>
                <m:t>r</m:t>
              </m:r>
            </m:sub>
          </m:sSub>
        </m:oMath>
      </m:oMathPara>
    </w:p>
    <w:p w:rsidR="008C5B69" w:rsidRPr="007167BB" w:rsidRDefault="008C5B69" w:rsidP="008C5B69">
      <w:pPr>
        <w:autoSpaceDE w:val="0"/>
        <w:autoSpaceDN w:val="0"/>
        <w:adjustRightInd w:val="0"/>
        <w:rPr>
          <w:rFonts w:eastAsiaTheme="minorEastAsia"/>
          <w:szCs w:val="24"/>
        </w:rPr>
      </w:pPr>
    </w:p>
    <w:p w:rsidR="008C5B69" w:rsidRDefault="00C726A3" w:rsidP="00C419C2">
      <w:pPr>
        <w:autoSpaceDE w:val="0"/>
        <w:autoSpaceDN w:val="0"/>
        <w:adjustRightInd w:val="0"/>
        <w:ind w:left="1418"/>
        <w:rPr>
          <w:rFonts w:eastAsiaTheme="minorEastAsia"/>
          <w:szCs w:val="24"/>
        </w:rPr>
      </w:pPr>
      <w:r>
        <w:t xml:space="preserve">Pomocou predpokladanej chybovosti a presnosti sa vypočíta horná hranica chybovosti. Vzorce sú k dispozícii v prílohe 2.1 k usmerneniu. </w:t>
      </w:r>
    </w:p>
    <w:p w:rsidR="003E0217" w:rsidRPr="00C419C2" w:rsidRDefault="003E0217" w:rsidP="00C419C2">
      <w:pPr>
        <w:autoSpaceDE w:val="0"/>
        <w:autoSpaceDN w:val="0"/>
        <w:adjustRightInd w:val="0"/>
        <w:ind w:left="1418"/>
        <w:rPr>
          <w:rFonts w:eastAsiaTheme="minorEastAsia"/>
          <w:szCs w:val="24"/>
        </w:rPr>
      </w:pPr>
      <w:r>
        <w:t xml:space="preserve">V prípade konzervatívneho prístupu MUS si prečítajte oddiel 3.1.2. tohto usmernenia. </w:t>
      </w:r>
    </w:p>
    <w:p w:rsidR="001354CA" w:rsidRPr="00C419C2" w:rsidRDefault="00F56CA8" w:rsidP="00C419C2">
      <w:pPr>
        <w:numPr>
          <w:ilvl w:val="0"/>
          <w:numId w:val="29"/>
        </w:numPr>
        <w:rPr>
          <w:u w:val="single"/>
        </w:rPr>
      </w:pPr>
      <w:r>
        <w:rPr>
          <w:u w:val="single"/>
        </w:rPr>
        <w:t>Hodnotenie chýb pre IRR a kvantifikácia možného finančného vplyvu vo fáze potvrdenia a schválenia (pred uplatnením pokút).</w:t>
      </w:r>
      <w:r>
        <w:t xml:space="preserve"> Výsledkom je miera nesúladu (IRR) stanovená podľa pravidiel platných pre konkrétnu techniku výberu vzorky (pozri ďalej a prílohu 5.1).</w:t>
      </w:r>
    </w:p>
    <w:p w:rsidR="000501C0" w:rsidRPr="008437DC" w:rsidRDefault="001354CA" w:rsidP="001851D3">
      <w:pPr>
        <w:pStyle w:val="Text1"/>
        <w:spacing w:after="120"/>
        <w:ind w:left="1451"/>
      </w:pPr>
      <w:r>
        <w:t>IRR je určovaná kumuláciou nesprávností</w:t>
      </w:r>
      <w:r w:rsidR="00866871">
        <w:t xml:space="preserve"> zistených vo fáze potvrdenia a </w:t>
      </w:r>
      <w:r>
        <w:t xml:space="preserve">schválenia, najskôr vo fáze transakcie a potom v celej vzorke (zlyhania systému vnútornej kontroly pre administratívne overovanie a overovanie </w:t>
      </w:r>
      <w:r>
        <w:lastRenderedPageBreak/>
        <w:t>kontrol na mieste – primárna úroveň kontroly). Je založená na porovnaní platieb, ktoré platobná agentúra potvrdila a určila ako oprávnené pred uplatnením pokút</w:t>
      </w:r>
      <w:r>
        <w:rPr>
          <w:rStyle w:val="FootnoteReference"/>
        </w:rPr>
        <w:footnoteReference w:id="3"/>
      </w:r>
      <w:r>
        <w:t xml:space="preserve"> (platby zaznamenané platobnou agentúrou a následne uvedené v príslušných kontrolných údajoch), s platbami, o ktorých sa certifikačný orgán domnieva, že mali </w:t>
      </w:r>
      <w:r w:rsidR="00866871">
        <w:t>byť potvrdené, ako je uvedené v </w:t>
      </w:r>
      <w:r>
        <w:t>oddiele 14.1 (stav odchýlky) usmernenia. Odchýlka sa najskôr vypočíta na úrovni transakcie (čistá odchýlka na transakciu – certifikačný orgán môže pre konkrétnu transakciu započítať nadhodnotenia a podhodnotenia v prípade jednotlivých sk</w:t>
      </w:r>
      <w:r w:rsidR="00381D77">
        <w:t xml:space="preserve">upín plodín na úrovni režimu). </w:t>
      </w:r>
      <w:r>
        <w:t>Potom sa všetky odchýlky (medzi tým, čo našli certifikačný orgán a platobná agentúra na úrovni konkrétneho režimu, do výšky platobných nárokov, ktoré má poľnohospodár k dispozícii, alebo nahlásených hektárov pre krajiny využívajúce režim jednotnej platby na plochu alebo iné režimy podpory viazanej na plochu) na jednotlivý režim/opatrenie v prípade kontrolovaného príjemcu sčítajú a extrapolujú na celý základný s</w:t>
      </w:r>
      <w:r w:rsidR="00866871">
        <w:t>úbor. Ak </w:t>
      </w:r>
      <w:r>
        <w:t xml:space="preserve">certifikačný orgán zistil podhodnotenú sumu vyplývajúcu z jeho opätovného overenia, ktorej výsledkom bola nižšia platba, chyba (rozdiel) na účely hodnotenia chýb sa vykáže ako 0. Certifikačný orgán by ale aj tak mal podať správu o zistení a žiadať, aby platobná agentúra chybu opravila. Ak navyše platobná agentúra opraví chybu pred platbou, ale certifikačný orgán túto chybu identifikoval ako odchýlku medzi platbami, ktoré platobná agentúra potvrdila a určila ako oprávnené, a platbami, o ktorých sa certifikačný orgán domnieva, že mali byť potvrdené, hodnota pred opravou by sa mala považovať za účtovnú hodnotu transakcie na účely hodnotenia chýb. </w:t>
      </w:r>
    </w:p>
    <w:p w:rsidR="005B587B" w:rsidRDefault="00CD4573" w:rsidP="001851D3">
      <w:pPr>
        <w:spacing w:after="120"/>
        <w:ind w:left="1418"/>
      </w:pPr>
      <w:r>
        <w:t>Hodnotenie sa uskutočňuje porovnaním TPE (celkovej predpokladanej chybovosti) alebo PIR (predpokladanej miery nesúladu) a UEL (hornej hranice chybovosti) alebo UPI (hornej p</w:t>
      </w:r>
      <w:r w:rsidR="00866871">
        <w:t>redpokladanej miery nesúladu) s </w:t>
      </w:r>
      <w:r>
        <w:t xml:space="preserve">úrovňou významnosti. Všeobecne platí, </w:t>
      </w:r>
      <w:r w:rsidR="00866871">
        <w:t>že ak sú oba ukazovatele (UPI a </w:t>
      </w:r>
      <w:r>
        <w:t>PIR) nižšie než úroveň významnosti, dôkazy potvrdzujú záver, že riziko je nevýznamné. Na druhej strane, ak je predpokladaná miera nesúladu (PIR) vyššia než úroveň významnosti, riziko sa považuje za významné. Ak významnosť prevyšuje len horná predpokladaná miera nesúladu (UPI), výsledky sú nepresvedčivé a certifikačný orgán by mal vykonať dodatočné audítorské postupy; v opačnom prípade sa riziko pre fond vyhodnotí na úrovni UPI (pozri prílohu 5.1).</w:t>
      </w:r>
    </w:p>
    <w:p w:rsidR="006F272E" w:rsidRPr="00C419C2" w:rsidRDefault="006F272E" w:rsidP="006F272E">
      <w:pPr>
        <w:spacing w:after="120"/>
        <w:ind w:left="1418"/>
      </w:pPr>
      <w:r>
        <w:t xml:space="preserve">Ak certifikačný orgán vytvorí pre IACS a mimo IACS samostatné súbory v rámci fondu, musí sa vykonať štatistické hodnotenie chýb (extrapolácia) na úrovni súboru (porovnanie s hrubými výdavkami, ktoré platobná agentúra určila ako oprávnené). Na tejto úrovni by sa mala posúdiť aj potreba dodatočných prác. Certifikačný orgán by mal pri vyvodzovaní záverov pre stanovisko na úrovni fondu brať do úvahy celkové hodnotenie chýb, a teda analýzy kumulatívnych výsledkov dosiahnutých na úrovni súboru a porovnať ich s hrubými výdavkami na úrovni fondu. </w:t>
      </w:r>
    </w:p>
    <w:p w:rsidR="006F272E" w:rsidRPr="00C419C2" w:rsidRDefault="006F272E" w:rsidP="006F272E">
      <w:pPr>
        <w:spacing w:before="120" w:after="120"/>
        <w:ind w:left="1418"/>
      </w:pPr>
      <w:r>
        <w:lastRenderedPageBreak/>
        <w:t>Na základe výsledkov možno vyvodiť tieto závery:</w:t>
      </w:r>
    </w:p>
    <w:p w:rsidR="006F272E" w:rsidRPr="00C419C2" w:rsidRDefault="006F272E" w:rsidP="006F272E">
      <w:pPr>
        <w:numPr>
          <w:ilvl w:val="0"/>
          <w:numId w:val="30"/>
        </w:numPr>
        <w:spacing w:after="120"/>
        <w:ind w:firstLine="250"/>
      </w:pPr>
      <w:r>
        <w:t>Ak pre oba súbory výsledok testovania vecnej správnosti potvrdil pôvodný predpoklad certifikačného orgánu (PIR, UPI a dosiahnutá presnosť boli nižšie než významnosť).</w:t>
      </w:r>
    </w:p>
    <w:p w:rsidR="006F272E" w:rsidRPr="00C419C2" w:rsidRDefault="006F272E" w:rsidP="006F272E">
      <w:pPr>
        <w:numPr>
          <w:ilvl w:val="0"/>
          <w:numId w:val="30"/>
        </w:numPr>
        <w:spacing w:after="120"/>
        <w:ind w:firstLine="250"/>
      </w:pPr>
      <w:r>
        <w:t xml:space="preserve">Ak bol vykonaný dostatočný audit, pokiaľ ide o určenie miery nesúladu (príloha 5.1). </w:t>
      </w:r>
    </w:p>
    <w:p w:rsidR="006F272E" w:rsidRDefault="006F272E" w:rsidP="006F272E">
      <w:pPr>
        <w:numPr>
          <w:ilvl w:val="0"/>
          <w:numId w:val="30"/>
        </w:numPr>
        <w:spacing w:after="120"/>
        <w:ind w:firstLine="250"/>
      </w:pPr>
      <w:r>
        <w:t xml:space="preserve">Celkovú chybu a celkovú predpokladanú chybovosť nemožno stanoviť pomocou hodnotenia konsolidovaných štatistických chýb, pretože transakcie IACS a mimo IACS sa považovali za samostatné súbory. Pri vyvodzovaní záverov pre stanovisko certifikačného orgánu na úrovni fondu však možno vziať do úvahy súčet predpokladanej chybovosti (alebo najpravdepodobnejšej miery chybovosti– MLE) a celkových chýb (je potrebné porovnanie s hrubými výdavkami na úrovni fondu. </w:t>
      </w:r>
    </w:p>
    <w:p w:rsidR="00B91480" w:rsidRPr="00C419C2" w:rsidRDefault="00B91480" w:rsidP="00C419C2">
      <w:pPr>
        <w:spacing w:after="120"/>
        <w:ind w:left="1701"/>
      </w:pPr>
    </w:p>
    <w:p w:rsidR="00B91480" w:rsidRPr="001016E7" w:rsidRDefault="00B91480" w:rsidP="00B91480">
      <w:pPr>
        <w:pStyle w:val="Text1"/>
        <w:spacing w:after="120"/>
        <w:ind w:left="1418" w:firstLine="11"/>
      </w:pPr>
      <w:r>
        <w:t>Na účely potvrdenia alebo odmietnutia tvrdení vo vyhlásení hospodáriaceho subjektu a kontrolných štatistík môžu výsledky pri použití rovnakej PIR a UPI, ako je uvedené vyššie, patriť do jedného z týchto scenárov:</w:t>
      </w:r>
    </w:p>
    <w:p w:rsidR="00B91480" w:rsidRPr="001016E7" w:rsidRDefault="00B91480" w:rsidP="00C419C2">
      <w:pPr>
        <w:pStyle w:val="Text1"/>
        <w:numPr>
          <w:ilvl w:val="0"/>
          <w:numId w:val="30"/>
        </w:numPr>
        <w:spacing w:after="120"/>
        <w:ind w:left="1701" w:firstLine="0"/>
        <w:rPr>
          <w:i/>
        </w:rPr>
      </w:pPr>
      <w:r>
        <w:rPr>
          <w:u w:val="single"/>
        </w:rPr>
        <w:t>Scenár 1</w:t>
      </w:r>
      <w:r>
        <w:t>: Hodnotenie miery rizika potvrdzuje kontrolné štatistiky.</w:t>
      </w:r>
    </w:p>
    <w:p w:rsidR="00B91480" w:rsidRPr="001016E7" w:rsidRDefault="00B91480" w:rsidP="00B91480">
      <w:pPr>
        <w:pStyle w:val="Text1"/>
        <w:spacing w:after="120"/>
        <w:ind w:left="1451"/>
      </w:pPr>
      <w:r>
        <w:t>Tento prípad nastane, ak sú splnené tieto kritériá:</w:t>
      </w:r>
    </w:p>
    <w:p w:rsidR="00B91480" w:rsidRPr="001016E7" w:rsidRDefault="00B91480" w:rsidP="00B91480">
      <w:pPr>
        <w:pStyle w:val="Text1"/>
        <w:numPr>
          <w:ilvl w:val="0"/>
          <w:numId w:val="31"/>
        </w:numPr>
        <w:spacing w:after="120"/>
      </w:pPr>
      <w:r>
        <w:t>certifikačný orgán vyhodnotil ICS ako účinný (nevedie k možným závažným finančným nesprávnostiam) a</w:t>
      </w:r>
    </w:p>
    <w:p w:rsidR="00B91480" w:rsidRPr="001016E7" w:rsidRDefault="00B91480" w:rsidP="00B91480">
      <w:pPr>
        <w:pStyle w:val="Text1"/>
        <w:numPr>
          <w:ilvl w:val="0"/>
          <w:numId w:val="31"/>
        </w:numPr>
        <w:spacing w:after="120"/>
      </w:pPr>
      <w:r>
        <w:t>predpokladaná IRR (PIR) a UPI sú nižšie než 2 % výšky výdavkov</w:t>
      </w:r>
      <w:r>
        <w:rPr>
          <w:rStyle w:val="FootnoteReference"/>
        </w:rPr>
        <w:footnoteReference w:id="4"/>
      </w:r>
      <w:r>
        <w:t xml:space="preserve">. </w:t>
      </w:r>
    </w:p>
    <w:p w:rsidR="00B91480" w:rsidRPr="001016E7" w:rsidRDefault="00B91480" w:rsidP="00B91480">
      <w:pPr>
        <w:pStyle w:val="Text1"/>
        <w:spacing w:after="120"/>
        <w:ind w:left="1451"/>
      </w:pPr>
      <w:r>
        <w:t xml:space="preserve">V týchto prípadoch bude riziko pre fond obmedzené na UPI. </w:t>
      </w:r>
    </w:p>
    <w:p w:rsidR="00B91480" w:rsidRPr="00191E96" w:rsidRDefault="00B91480" w:rsidP="00C419C2">
      <w:pPr>
        <w:pStyle w:val="Text1"/>
        <w:numPr>
          <w:ilvl w:val="0"/>
          <w:numId w:val="30"/>
        </w:numPr>
        <w:spacing w:after="120"/>
        <w:ind w:firstLine="250"/>
      </w:pPr>
      <w:r>
        <w:rPr>
          <w:u w:val="single"/>
        </w:rPr>
        <w:t>Scenár 2</w:t>
      </w:r>
      <w:r>
        <w:t>: Hodnotenie miery rizika naznačuje možné významné nesprávnosti.</w:t>
      </w:r>
    </w:p>
    <w:p w:rsidR="00B91480" w:rsidRPr="00191E96" w:rsidRDefault="00B91480" w:rsidP="00B91480">
      <w:pPr>
        <w:pStyle w:val="Text1"/>
        <w:spacing w:after="120"/>
        <w:ind w:left="1451"/>
      </w:pPr>
      <w:r>
        <w:t>Tento prípad nastane, ak:</w:t>
      </w:r>
    </w:p>
    <w:p w:rsidR="00B91480" w:rsidRPr="00191E96" w:rsidRDefault="00B91480" w:rsidP="00B91480">
      <w:pPr>
        <w:pStyle w:val="Text1"/>
        <w:numPr>
          <w:ilvl w:val="0"/>
          <w:numId w:val="31"/>
        </w:numPr>
        <w:spacing w:after="120"/>
      </w:pPr>
      <w:r>
        <w:t>certifikačný orgán vyhodnotil ICS ako nedostatočný (náchylný na možné závažné finančné nesprávnosti) a/alebo</w:t>
      </w:r>
    </w:p>
    <w:p w:rsidR="00B91480" w:rsidRPr="00191E96" w:rsidRDefault="00B91480" w:rsidP="00B91480">
      <w:pPr>
        <w:pStyle w:val="Text1"/>
        <w:numPr>
          <w:ilvl w:val="0"/>
          <w:numId w:val="31"/>
        </w:numPr>
        <w:spacing w:after="120"/>
      </w:pPr>
      <w:r>
        <w:t>predpokladaná IRR (PIR) je vyššia než 2 % výšky výdavkov</w:t>
      </w:r>
      <w:r>
        <w:rPr>
          <w:rStyle w:val="FootnoteReference"/>
        </w:rPr>
        <w:footnoteReference w:id="5"/>
      </w:r>
      <w:r>
        <w:t>.</w:t>
      </w:r>
    </w:p>
    <w:p w:rsidR="00B91480" w:rsidRPr="006C52B8" w:rsidRDefault="00B91480" w:rsidP="00C419C2">
      <w:pPr>
        <w:pStyle w:val="Text1"/>
        <w:numPr>
          <w:ilvl w:val="0"/>
          <w:numId w:val="30"/>
        </w:numPr>
        <w:spacing w:after="120"/>
        <w:ind w:firstLine="250"/>
      </w:pPr>
      <w:r>
        <w:rPr>
          <w:u w:val="single"/>
        </w:rPr>
        <w:t>Scenár 3</w:t>
      </w:r>
      <w:r>
        <w:t xml:space="preserve">: Výsledky hodnotenia </w:t>
      </w:r>
      <w:r w:rsidR="00866871">
        <w:t>miery rizika sú nepresvedčivé a </w:t>
      </w:r>
      <w:r>
        <w:t>certifikačný orgán to bude musieť z</w:t>
      </w:r>
      <w:r w:rsidR="00866871">
        <w:t>ohľadniť vo svojom stanovisku k </w:t>
      </w:r>
      <w:r>
        <w:t>vyhláseniu hospodáriaceho subjektu.</w:t>
      </w:r>
    </w:p>
    <w:p w:rsidR="00B91480" w:rsidRPr="006C52B8" w:rsidRDefault="00B91480" w:rsidP="00B91480">
      <w:pPr>
        <w:pStyle w:val="Text1"/>
        <w:spacing w:after="120"/>
        <w:ind w:left="1451"/>
      </w:pPr>
      <w:r>
        <w:t>Ide najmä o tieto prípady:</w:t>
      </w:r>
    </w:p>
    <w:p w:rsidR="00B91480" w:rsidRPr="006C52B8" w:rsidRDefault="00B91480" w:rsidP="00B91480">
      <w:pPr>
        <w:pStyle w:val="Text1"/>
        <w:numPr>
          <w:ilvl w:val="0"/>
          <w:numId w:val="31"/>
        </w:numPr>
        <w:spacing w:after="120"/>
      </w:pPr>
      <w:r>
        <w:t>certifikačný orgán vyhodnotil ICS ako účinný/neúčinný a</w:t>
      </w:r>
    </w:p>
    <w:p w:rsidR="00B91480" w:rsidRPr="006C52B8" w:rsidRDefault="00B91480" w:rsidP="00B91480">
      <w:pPr>
        <w:pStyle w:val="Text1"/>
        <w:numPr>
          <w:ilvl w:val="0"/>
          <w:numId w:val="31"/>
        </w:numPr>
        <w:spacing w:after="120"/>
      </w:pPr>
      <w:r>
        <w:lastRenderedPageBreak/>
        <w:t>predpokladaná IRR (PIR) je nižšia n</w:t>
      </w:r>
      <w:r w:rsidR="00866871">
        <w:t>ež 2 %, ale UPI je vyššia než 2 </w:t>
      </w:r>
      <w:r>
        <w:t xml:space="preserve">%. </w:t>
      </w:r>
    </w:p>
    <w:p w:rsidR="00B91480" w:rsidRDefault="00B91480" w:rsidP="00B91480">
      <w:pPr>
        <w:pStyle w:val="Text1"/>
        <w:spacing w:after="120"/>
        <w:ind w:left="1451"/>
      </w:pPr>
      <w:r>
        <w:t>Certifikačný orgán sa môže rozhodnúť, že buď vykoná dodatočné audítorské postupy, alebo odhadne riziko pre fond na úrovni UPI. Certifikačný orgán by mal okrem už uvedených skutočností pre svoje stanovisko k vyhláseniu hospodáriaceho subjektu zvážiť aj vlastné hodnotenie zosúhlasenia kontrolných št</w:t>
      </w:r>
      <w:r w:rsidR="00866871">
        <w:t>atistík s podkladovými údajmi a </w:t>
      </w:r>
      <w:r>
        <w:t>výsledkami kontrol. Pri tomto overovaní by sa mal riadiť pravidlami testovania súladu vysvetlenými v oddiele 16.2 usmernenia.</w:t>
      </w:r>
    </w:p>
    <w:p w:rsidR="001851D3" w:rsidRDefault="001851D3" w:rsidP="001851D3">
      <w:pPr>
        <w:pStyle w:val="Text1"/>
        <w:spacing w:after="120"/>
      </w:pPr>
    </w:p>
    <w:p w:rsidR="001354CA" w:rsidRPr="009A530E" w:rsidRDefault="001354CA" w:rsidP="001851D3">
      <w:pPr>
        <w:pStyle w:val="Text1"/>
        <w:spacing w:after="120"/>
      </w:pPr>
    </w:p>
    <w:p w:rsidR="00136F80" w:rsidRPr="00E140EA" w:rsidRDefault="00136F80" w:rsidP="00E140EA">
      <w:pPr>
        <w:pStyle w:val="Heading3"/>
        <w:tabs>
          <w:tab w:val="clear" w:pos="1920"/>
        </w:tabs>
        <w:ind w:left="1418"/>
        <w:rPr>
          <w:b/>
          <w:i w:val="0"/>
        </w:rPr>
      </w:pPr>
      <w:r>
        <w:rPr>
          <w:b/>
        </w:rPr>
        <w:t>Výpočet miery chybovosti (ERR), konsolidácia chýb, prehodnotenie spoľahlivosti ICS</w:t>
      </w:r>
    </w:p>
    <w:p w:rsidR="001354CA" w:rsidRPr="009857A8" w:rsidRDefault="00136F80" w:rsidP="001851D3">
      <w:pPr>
        <w:spacing w:after="120"/>
        <w:ind w:left="482"/>
      </w:pPr>
      <w:r>
        <w:t>Tento oddiel sa venuje interpretácii výsledkov výberu vzorky na testovanie vecnej správnosti (testovanie výpočtu platby, účtovníctva a vykazovania) – potvrdzovaniu ročnej účtovnej závierky.</w:t>
      </w:r>
    </w:p>
    <w:p w:rsidR="00136F80" w:rsidRDefault="001354CA" w:rsidP="001851D3">
      <w:pPr>
        <w:spacing w:after="120"/>
        <w:ind w:left="482"/>
      </w:pPr>
      <w:r>
        <w:t>Cieľom hodnotenia chýb v tejto fáze je určiť finančný vplyv na fond. Je potrebné zvážiť všetky nadhodnotené sumy zistené v priebehu testovania vecnej správnosti všetkých zložiek (t. j. všetky odchýlky, ktoré vi</w:t>
      </w:r>
      <w:r w:rsidR="00866871">
        <w:t>edli k preplatku pre príjemcu a </w:t>
      </w:r>
      <w:r>
        <w:t xml:space="preserve">zostali nezistené, pričom neboli opravené pred úhradou ani v zisteniach certifikačného orgánu). </w:t>
      </w:r>
    </w:p>
    <w:p w:rsidR="001354CA" w:rsidRPr="0010552B" w:rsidRDefault="001354CA" w:rsidP="001851D3">
      <w:pPr>
        <w:spacing w:after="120"/>
        <w:ind w:left="480"/>
      </w:pPr>
      <w:r>
        <w:t xml:space="preserve">Finančný vplyv je kvantifikovaný v miere chybovosti (ERR), ktorá sa vzťahuje na finančný vplyv na fond v dôsledku nadhodnotení. V prípade štatistického výberu vzorky sa stanoví celková predpokladaná chybovosť (TPE) a horná hranica chybovosti (UEL). </w:t>
      </w:r>
    </w:p>
    <w:p w:rsidR="001354CA" w:rsidRPr="0010552B" w:rsidRDefault="001354CA" w:rsidP="001851D3">
      <w:pPr>
        <w:spacing w:after="120"/>
        <w:ind w:left="480"/>
      </w:pPr>
      <w:r>
        <w:t>Výsledky hodnotenia chýb v tejto fáze sa po</w:t>
      </w:r>
      <w:r w:rsidR="00866871">
        <w:t>užívajú na podporu stanoviska k </w:t>
      </w:r>
      <w:r>
        <w:t xml:space="preserve">úplnosti, presnosti a pravdivosti ročnej účtovnej závierky a k potvrdeniu ICS. </w:t>
      </w:r>
    </w:p>
    <w:p w:rsidR="00FD2493" w:rsidRPr="0010552B" w:rsidRDefault="00FD2493">
      <w:pPr>
        <w:spacing w:after="120"/>
        <w:ind w:left="480"/>
      </w:pPr>
    </w:p>
    <w:p w:rsidR="001354CA" w:rsidRPr="0010552B" w:rsidRDefault="00B33FBE" w:rsidP="001851D3">
      <w:pPr>
        <w:pStyle w:val="AddressTR"/>
        <w:spacing w:after="120"/>
        <w:ind w:left="567"/>
        <w:jc w:val="both"/>
        <w:rPr>
          <w:szCs w:val="24"/>
        </w:rPr>
      </w:pPr>
      <w:r>
        <w:t>Táto miera chybovosti sa počíta na úrovni prvého cieľa auditu (na úrovni fondu).</w:t>
      </w:r>
    </w:p>
    <w:p w:rsidR="001354CA" w:rsidRPr="0010552B" w:rsidRDefault="0020444C" w:rsidP="001851D3">
      <w:pPr>
        <w:numPr>
          <w:ilvl w:val="0"/>
          <w:numId w:val="32"/>
        </w:numPr>
        <w:spacing w:after="120"/>
        <w:rPr>
          <w:u w:val="single"/>
        </w:rPr>
      </w:pPr>
      <w:r>
        <w:rPr>
          <w:u w:val="single"/>
        </w:rPr>
        <w:t>Výpočet chyby pre ERR s konzervatívnym prístupom MUS</w:t>
      </w:r>
    </w:p>
    <w:p w:rsidR="001354CA" w:rsidRPr="0010552B" w:rsidRDefault="00E1174E" w:rsidP="001851D3">
      <w:pPr>
        <w:pStyle w:val="AddressTR"/>
        <w:spacing w:after="120"/>
        <w:ind w:left="567"/>
        <w:jc w:val="both"/>
        <w:rPr>
          <w:szCs w:val="24"/>
        </w:rPr>
      </w:pPr>
      <w:r>
        <w:t xml:space="preserve">Ak sa </w:t>
      </w:r>
      <w:r>
        <w:rPr>
          <w:b/>
        </w:rPr>
        <w:t>zistia nesprávnosti</w:t>
      </w:r>
      <w:r>
        <w:t>, certifikačný orgán musí prepočítať priemernú výšku nesprávnosti na celý súbor, t. j. na fond. Tento úkon je potrebné vykonať na úrovni, na ktorej certifikačný orgán vybral vzorku:</w:t>
      </w:r>
    </w:p>
    <w:p w:rsidR="001354CA" w:rsidRPr="0010552B" w:rsidRDefault="001354CA" w:rsidP="001851D3">
      <w:pPr>
        <w:pStyle w:val="Text1"/>
        <w:numPr>
          <w:ilvl w:val="2"/>
          <w:numId w:val="20"/>
        </w:numPr>
        <w:tabs>
          <w:tab w:val="clear" w:pos="2642"/>
          <w:tab w:val="num" w:pos="1080"/>
        </w:tabs>
        <w:spacing w:after="120"/>
        <w:ind w:left="1200" w:hanging="360"/>
        <w:rPr>
          <w:szCs w:val="24"/>
        </w:rPr>
      </w:pPr>
      <w:r>
        <w:t>Výpočet</w:t>
      </w:r>
      <w:r>
        <w:rPr>
          <w:b/>
        </w:rPr>
        <w:t xml:space="preserve"> percentuálneho podielu chýb (Tp)</w:t>
      </w:r>
      <w:r>
        <w:t xml:space="preserve"> alebo </w:t>
      </w:r>
      <w:r>
        <w:rPr>
          <w:b/>
        </w:rPr>
        <w:t>ERR</w:t>
      </w:r>
      <w:r>
        <w:t xml:space="preserve"> – za každú vybranú vzorku:</w:t>
      </w:r>
    </w:p>
    <w:p w:rsidR="001354CA" w:rsidRPr="0010552B" w:rsidRDefault="003212B4" w:rsidP="001851D3">
      <w:pPr>
        <w:pStyle w:val="Text1"/>
        <w:tabs>
          <w:tab w:val="num" w:pos="1080"/>
        </w:tabs>
        <w:spacing w:after="120"/>
        <w:ind w:left="1200" w:hanging="360"/>
        <w:rPr>
          <w:szCs w:val="24"/>
        </w:rPr>
      </w:pPr>
      <w:r>
        <w:rPr>
          <w:position w:val="-24"/>
          <w:szCs w:val="24"/>
        </w:rPr>
        <w:object w:dxaOrig="1520" w:dyaOrig="620" w14:anchorId="31C2F6CB">
          <v:shape id="_x0000_i1028" type="#_x0000_t75" style="width:75.4pt;height:30.55pt" o:ole="">
            <v:imagedata r:id="rId15" o:title=""/>
          </v:shape>
          <o:OLEObject Type="Embed" ProgID="Equation.3" ShapeID="_x0000_i1028" DrawAspect="Content" ObjectID="_1565431413" r:id="rId16"/>
        </w:object>
      </w:r>
      <w:r>
        <w:t xml:space="preserve">x 100 %, keď </w:t>
      </w:r>
      <w:r>
        <w:rPr>
          <w:b/>
          <w:i/>
        </w:rPr>
        <w:t>Bv</w:t>
      </w:r>
      <w:r>
        <w:t xml:space="preserve"> = účtovná hodnota a </w:t>
      </w:r>
      <w:r>
        <w:rPr>
          <w:b/>
          <w:i/>
        </w:rPr>
        <w:t>Av</w:t>
      </w:r>
      <w:r>
        <w:t xml:space="preserve"> = auditovaná hodnota</w:t>
      </w:r>
    </w:p>
    <w:p w:rsidR="001354CA" w:rsidRPr="0010552B" w:rsidRDefault="001354CA" w:rsidP="001851D3">
      <w:pPr>
        <w:pStyle w:val="Text1"/>
        <w:numPr>
          <w:ilvl w:val="2"/>
          <w:numId w:val="20"/>
        </w:numPr>
        <w:tabs>
          <w:tab w:val="clear" w:pos="2642"/>
          <w:tab w:val="num" w:pos="1080"/>
        </w:tabs>
        <w:spacing w:after="120"/>
        <w:ind w:left="1200" w:hanging="360"/>
        <w:rPr>
          <w:szCs w:val="24"/>
        </w:rPr>
      </w:pPr>
      <w:r>
        <w:rPr>
          <w:b/>
        </w:rPr>
        <w:t>Predpokladaná nesprávnosť</w:t>
      </w:r>
      <w:r>
        <w:t xml:space="preserve"> alebo relatívna chyba: </w:t>
      </w:r>
    </w:p>
    <w:p w:rsidR="001354CA" w:rsidRPr="0010552B" w:rsidRDefault="001354CA" w:rsidP="001851D3">
      <w:pPr>
        <w:pStyle w:val="Text1"/>
        <w:tabs>
          <w:tab w:val="num" w:pos="1080"/>
        </w:tabs>
        <w:spacing w:after="120"/>
        <w:ind w:left="1200" w:hanging="360"/>
        <w:rPr>
          <w:szCs w:val="24"/>
        </w:rPr>
      </w:pPr>
      <w:r>
        <w:rPr>
          <w:b/>
        </w:rPr>
        <w:t>Pm = Tp x Si</w:t>
      </w:r>
      <w:r>
        <w:t xml:space="preserve"> [ak je účtovná hodnota nižšia než interval]</w:t>
      </w:r>
    </w:p>
    <w:p w:rsidR="001354CA" w:rsidRPr="0010552B" w:rsidRDefault="001354CA" w:rsidP="001851D3">
      <w:pPr>
        <w:pStyle w:val="Text1"/>
        <w:tabs>
          <w:tab w:val="num" w:pos="1080"/>
        </w:tabs>
        <w:spacing w:after="120"/>
        <w:ind w:left="1200" w:hanging="360"/>
        <w:rPr>
          <w:szCs w:val="24"/>
        </w:rPr>
      </w:pPr>
      <w:r>
        <w:rPr>
          <w:b/>
        </w:rPr>
        <w:t>Pm = (Bv – Av)</w:t>
      </w:r>
      <w:r>
        <w:t xml:space="preserve"> [ak je účtovná hodnota vyššia než interval; bez výpočtu percentuálneho podielu]</w:t>
      </w:r>
    </w:p>
    <w:p w:rsidR="001354CA" w:rsidRPr="0010552B" w:rsidRDefault="001354CA" w:rsidP="001851D3">
      <w:pPr>
        <w:pStyle w:val="Text1"/>
        <w:numPr>
          <w:ilvl w:val="2"/>
          <w:numId w:val="20"/>
        </w:numPr>
        <w:tabs>
          <w:tab w:val="clear" w:pos="2642"/>
          <w:tab w:val="num" w:pos="1080"/>
        </w:tabs>
        <w:spacing w:after="120"/>
        <w:ind w:left="1200" w:hanging="360"/>
        <w:rPr>
          <w:szCs w:val="24"/>
        </w:rPr>
      </w:pPr>
      <w:r>
        <w:rPr>
          <w:b/>
        </w:rPr>
        <w:t>Celková odhadovaná nesprávnosť zodpovedajúca najpravdepodobnejšej miere chybovosti (MLE)</w:t>
      </w:r>
      <w:r>
        <w:t xml:space="preserve"> je súčet všetkých predpokladaných nesprávností </w:t>
      </w:r>
      <w:r>
        <w:lastRenderedPageBreak/>
        <w:t>(súhrn extrapolovaných náhodných chýb). Ide o ekvivalent celkovej predpokladanej chybovosti (TPE).</w:t>
      </w:r>
    </w:p>
    <w:p w:rsidR="001354CA" w:rsidRPr="0010552B" w:rsidRDefault="001354CA" w:rsidP="001851D3">
      <w:pPr>
        <w:pStyle w:val="Text1"/>
        <w:numPr>
          <w:ilvl w:val="2"/>
          <w:numId w:val="20"/>
        </w:numPr>
        <w:tabs>
          <w:tab w:val="clear" w:pos="2642"/>
          <w:tab w:val="num" w:pos="1080"/>
        </w:tabs>
        <w:spacing w:after="120"/>
        <w:ind w:left="1200" w:hanging="360"/>
        <w:rPr>
          <w:szCs w:val="24"/>
        </w:rPr>
      </w:pPr>
      <w:r>
        <w:rPr>
          <w:b/>
        </w:rPr>
        <w:t>Horná hranica predpokladanej nesprávnosti (UEL)</w:t>
      </w:r>
      <w:r>
        <w:t xml:space="preserve"> je MLE + základná presnosť (</w:t>
      </w:r>
      <w:r>
        <w:rPr>
          <w:b/>
        </w:rPr>
        <w:t>Bp</w:t>
      </w:r>
      <w:r>
        <w:t>) + kumulatívna opravná položka pre riziko spojené s výberom vzorky (</w:t>
      </w:r>
      <w:r>
        <w:rPr>
          <w:b/>
        </w:rPr>
        <w:t>Ia</w:t>
      </w:r>
      <w:r>
        <w:t xml:space="preserve">). </w:t>
      </w:r>
    </w:p>
    <w:p w:rsidR="001354CA" w:rsidRPr="0010552B" w:rsidRDefault="001354CA" w:rsidP="001851D3">
      <w:pPr>
        <w:pStyle w:val="Text1"/>
        <w:tabs>
          <w:tab w:val="num" w:pos="1080"/>
        </w:tabs>
        <w:spacing w:after="120"/>
        <w:ind w:left="1200" w:hanging="360"/>
        <w:rPr>
          <w:b/>
          <w:szCs w:val="24"/>
        </w:rPr>
      </w:pPr>
      <w:r>
        <w:rPr>
          <w:b/>
        </w:rPr>
        <w:t>Bp = RF x Si</w:t>
      </w:r>
    </w:p>
    <w:p w:rsidR="001354CA" w:rsidRPr="0010552B" w:rsidRDefault="001354CA" w:rsidP="001851D3">
      <w:pPr>
        <w:pStyle w:val="Text1"/>
        <w:tabs>
          <w:tab w:val="num" w:pos="840"/>
        </w:tabs>
        <w:spacing w:after="120"/>
        <w:ind w:left="840"/>
        <w:rPr>
          <w:szCs w:val="24"/>
        </w:rPr>
      </w:pPr>
      <w:r>
        <w:t>Opravná položka sa stanoví len vo vzťah</w:t>
      </w:r>
      <w:r w:rsidR="00866871">
        <w:t>u k logickým jednotkám vzorky s </w:t>
      </w:r>
      <w:r>
        <w:t xml:space="preserve">vykázanými sumami, ktoré sú nižšie, než je výberový interval. Ak sa položka vzorky rovná výberovému intervalu alebo je väčšia, možno s určitosťou stanoviť stupeň výskytu chýb pre interval a ďalšia opravná položka nie je potrebná. </w:t>
      </w:r>
    </w:p>
    <w:p w:rsidR="001354CA" w:rsidRPr="0010552B" w:rsidRDefault="001354CA" w:rsidP="001851D3">
      <w:pPr>
        <w:pStyle w:val="Text1"/>
        <w:tabs>
          <w:tab w:val="num" w:pos="1080"/>
        </w:tabs>
        <w:spacing w:after="120"/>
        <w:ind w:left="1200" w:hanging="360"/>
        <w:rPr>
          <w:szCs w:val="24"/>
        </w:rPr>
      </w:pPr>
      <w:r>
        <w:rPr>
          <w:b/>
        </w:rPr>
        <w:t>Ia</w:t>
      </w:r>
      <w:r>
        <w:t xml:space="preserve"> = [RF(n+1) – RF(n) – 1] x Pm</w:t>
      </w:r>
    </w:p>
    <w:p w:rsidR="001354CA" w:rsidRPr="0010552B" w:rsidRDefault="00AA6D9D" w:rsidP="001851D3">
      <w:pPr>
        <w:pStyle w:val="AddressTR"/>
        <w:tabs>
          <w:tab w:val="num" w:pos="851"/>
        </w:tabs>
        <w:spacing w:after="120"/>
        <w:ind w:left="567"/>
        <w:jc w:val="both"/>
        <w:rPr>
          <w:szCs w:val="24"/>
        </w:rPr>
      </w:pPr>
      <w:r>
        <w:t xml:space="preserve">Na stanovenie kľúčových parametrov na hodnotenie chýb (Bp, Ia, MLE a UEL) sa zvyčajne používa špeciálny softvér IT (napr. ACL, IDEA). </w:t>
      </w:r>
    </w:p>
    <w:p w:rsidR="001354CA" w:rsidRPr="0010552B" w:rsidRDefault="0020444C" w:rsidP="001851D3">
      <w:pPr>
        <w:numPr>
          <w:ilvl w:val="0"/>
          <w:numId w:val="32"/>
        </w:numPr>
        <w:spacing w:after="120"/>
        <w:rPr>
          <w:u w:val="single"/>
        </w:rPr>
      </w:pPr>
      <w:r>
        <w:rPr>
          <w:u w:val="single"/>
        </w:rPr>
        <w:t>Hodnotenie chýb pre ERR</w:t>
      </w:r>
    </w:p>
    <w:p w:rsidR="00C9498D" w:rsidRPr="0010552B" w:rsidRDefault="001354CA">
      <w:pPr>
        <w:pStyle w:val="AddressTR"/>
        <w:tabs>
          <w:tab w:val="num" w:pos="851"/>
        </w:tabs>
        <w:spacing w:after="120"/>
        <w:ind w:left="567"/>
        <w:jc w:val="both"/>
      </w:pPr>
      <w:r>
        <w:t>Hodnotenie chýb sa vykonáva na úrovni fondu a mal</w:t>
      </w:r>
      <w:r w:rsidR="00866871">
        <w:t>o by zahŕňať tieto kroky (Pozn. </w:t>
      </w:r>
      <w:r>
        <w:t>Predpokladá sa, že neexistujú žiadne známe chyby ani anomálie):</w:t>
      </w:r>
    </w:p>
    <w:p w:rsidR="001354CA" w:rsidRPr="0010552B" w:rsidRDefault="001354CA" w:rsidP="001851D3">
      <w:pPr>
        <w:pStyle w:val="ListDash1"/>
        <w:spacing w:after="120"/>
        <w:rPr>
          <w:b/>
          <w:i/>
        </w:rPr>
      </w:pPr>
      <w:r>
        <w:rPr>
          <w:b/>
          <w:i/>
          <w:u w:val="single"/>
        </w:rPr>
        <w:t>1. krok:</w:t>
      </w:r>
      <w:r>
        <w:rPr>
          <w:b/>
          <w:i/>
        </w:rPr>
        <w:t xml:space="preserve"> Potvrdenie veľkosti vzorky a počiatočných parametrov:</w:t>
      </w:r>
    </w:p>
    <w:p w:rsidR="001354CA" w:rsidRPr="0010552B" w:rsidRDefault="004C55E6" w:rsidP="001851D3">
      <w:pPr>
        <w:pStyle w:val="ListDash1"/>
        <w:numPr>
          <w:ilvl w:val="0"/>
          <w:numId w:val="0"/>
        </w:numPr>
        <w:spacing w:after="120"/>
        <w:ind w:left="765"/>
      </w:pPr>
      <w:r>
        <w:t>Vyhodnotenie a postup pri dodatočnom výbere vzorky sa budú riadiť postupom opísaným v bode 7 písm. a) prílohy 2. V tejto fáze musí certifikačný orgán zvážiť parametre výberu vzorky na úrovni súboru.</w:t>
      </w:r>
    </w:p>
    <w:p w:rsidR="001354CA" w:rsidRPr="0010552B" w:rsidRDefault="001354CA" w:rsidP="001851D3">
      <w:pPr>
        <w:pStyle w:val="ListDash1"/>
        <w:spacing w:after="120"/>
        <w:rPr>
          <w:b/>
          <w:i/>
        </w:rPr>
      </w:pPr>
      <w:r>
        <w:rPr>
          <w:b/>
          <w:i/>
          <w:u w:val="single"/>
        </w:rPr>
        <w:t>2. krok:</w:t>
      </w:r>
      <w:r>
        <w:rPr>
          <w:b/>
          <w:i/>
        </w:rPr>
        <w:t xml:space="preserve"> Záver týkajúci sa hodnotenia chýb:</w:t>
      </w:r>
    </w:p>
    <w:p w:rsidR="006565C6" w:rsidRPr="0010552B" w:rsidRDefault="001E2E50" w:rsidP="001851D3">
      <w:pPr>
        <w:pStyle w:val="ListDash1"/>
        <w:numPr>
          <w:ilvl w:val="0"/>
          <w:numId w:val="0"/>
        </w:numPr>
        <w:spacing w:after="120"/>
        <w:ind w:left="765"/>
      </w:pPr>
      <w:r>
        <w:t>Záver bude musieť byť stanovený na úrovni fondu.</w:t>
      </w:r>
    </w:p>
    <w:p w:rsidR="001354CA" w:rsidRPr="0010552B" w:rsidRDefault="001354CA" w:rsidP="001851D3">
      <w:pPr>
        <w:pStyle w:val="Text1"/>
        <w:numPr>
          <w:ilvl w:val="1"/>
          <w:numId w:val="22"/>
        </w:numPr>
        <w:spacing w:after="120"/>
        <w:ind w:left="1418" w:hanging="338"/>
        <w:rPr>
          <w:szCs w:val="24"/>
        </w:rPr>
      </w:pPr>
      <w:r>
        <w:t xml:space="preserve">Ak najpravdepodobnejšia miera chybovosti (MLE) &lt; horná hranica chybovosti (UEL) &lt; významnosť, možno konštatovať, že chyby na úrovni fondu sú pod úrovňou významnosti. Certifikačný orgán by mal pri vyvodzovaní záverov brať do úvahy celkové hodnotenie chýb. </w:t>
      </w:r>
    </w:p>
    <w:p w:rsidR="001354CA" w:rsidRPr="0010552B" w:rsidRDefault="001354CA" w:rsidP="001851D3">
      <w:pPr>
        <w:pStyle w:val="Text1"/>
        <w:numPr>
          <w:ilvl w:val="1"/>
          <w:numId w:val="22"/>
        </w:numPr>
        <w:spacing w:after="120"/>
        <w:rPr>
          <w:b/>
          <w:szCs w:val="24"/>
        </w:rPr>
      </w:pPr>
      <w:r>
        <w:t>Ak najpravdepodobnejšia miera chybovosti (MLE) &lt; významnosť &lt; horná hranica chybovosti (UEL), neexistujú dostatočné dôkazy na podporu hypotézy, že súbor nie je významne nesprávny. Možné sú dva scenáre:</w:t>
      </w:r>
    </w:p>
    <w:p w:rsidR="001354CA" w:rsidRPr="0010552B" w:rsidRDefault="001354CA" w:rsidP="001851D3">
      <w:pPr>
        <w:pStyle w:val="Text1"/>
        <w:numPr>
          <w:ilvl w:val="2"/>
          <w:numId w:val="22"/>
        </w:numPr>
        <w:spacing w:after="120"/>
        <w:rPr>
          <w:szCs w:val="24"/>
        </w:rPr>
      </w:pPr>
      <w:r>
        <w:t xml:space="preserve">Ak boli vykonané dostatočné testy (potvrdené v kroku č. 1), </w:t>
      </w:r>
      <w:r>
        <w:rPr>
          <w:b/>
        </w:rPr>
        <w:t>nevyžadujú sa žiadne dodatočné práce (pokiaľ ide o testovanie vecnej správnosti)</w:t>
      </w:r>
      <w:r>
        <w:t xml:space="preserve"> a certifikačný orgán bude musieť vyvodiť príslušný záver s prihliadnutím na celkové hodnotenie chýb (pozri oddiel 9). </w:t>
      </w:r>
    </w:p>
    <w:p w:rsidR="001354CA" w:rsidRPr="0010552B" w:rsidRDefault="001354CA" w:rsidP="001851D3">
      <w:pPr>
        <w:pStyle w:val="Text1"/>
        <w:numPr>
          <w:ilvl w:val="2"/>
          <w:numId w:val="22"/>
        </w:numPr>
        <w:spacing w:after="120"/>
        <w:rPr>
          <w:b/>
          <w:szCs w:val="24"/>
        </w:rPr>
      </w:pPr>
      <w:r>
        <w:t>V prípade, že testy certifikačného orgánu boli nedostatočné, pozri krok č. 1.</w:t>
      </w:r>
    </w:p>
    <w:p w:rsidR="001354CA" w:rsidRPr="0010552B" w:rsidRDefault="001354CA" w:rsidP="001851D3">
      <w:pPr>
        <w:pStyle w:val="Text1"/>
        <w:numPr>
          <w:ilvl w:val="1"/>
          <w:numId w:val="22"/>
        </w:numPr>
        <w:spacing w:after="120"/>
        <w:ind w:left="1418" w:hanging="338"/>
        <w:rPr>
          <w:szCs w:val="24"/>
        </w:rPr>
      </w:pPr>
      <w:r>
        <w:t>Ak najpravdepodobnejšia miera chybovosti (MLE) &gt; významnosť, možno konštatovať, že v súbore sa vyskytuje významná chyba.</w:t>
      </w:r>
    </w:p>
    <w:p w:rsidR="001354CA" w:rsidRPr="0010552B" w:rsidRDefault="00992405" w:rsidP="001851D3">
      <w:pPr>
        <w:pStyle w:val="Text1"/>
        <w:spacing w:after="120"/>
        <w:ind w:left="1440"/>
        <w:rPr>
          <w:b/>
          <w:szCs w:val="24"/>
        </w:rPr>
      </w:pPr>
      <w:r>
        <w:rPr>
          <w:b/>
        </w:rPr>
        <w:t xml:space="preserve">Za predpokladu, že bol dodržaný krok č. 1, certifikačný orgán bude musieť vo svojom stanovisku uviesť príslušný záver a platobná agentúra bude musieť prijať nápravné opatrenia týkajúce sa zistených nesprávností aj hlavných príčin chýb. </w:t>
      </w:r>
    </w:p>
    <w:p w:rsidR="00A91DCC" w:rsidRPr="0010552B" w:rsidRDefault="00A91DCC" w:rsidP="00C419C2">
      <w:pPr>
        <w:spacing w:after="120"/>
        <w:ind w:left="1451"/>
      </w:pPr>
    </w:p>
    <w:p w:rsidR="001354CA" w:rsidRPr="0010552B" w:rsidRDefault="001354CA" w:rsidP="00E140EA">
      <w:pPr>
        <w:pStyle w:val="Heading4"/>
        <w:tabs>
          <w:tab w:val="clear" w:pos="2880"/>
          <w:tab w:val="num" w:pos="1701"/>
        </w:tabs>
        <w:ind w:left="1701" w:hanging="850"/>
        <w:rPr>
          <w:b/>
        </w:rPr>
      </w:pPr>
      <w:r>
        <w:rPr>
          <w:b/>
        </w:rPr>
        <w:lastRenderedPageBreak/>
        <w:t>Prehodnotenie pôvodnej spoľahlivosti systému vnútornej kontroly</w:t>
      </w:r>
    </w:p>
    <w:p w:rsidR="001354CA" w:rsidRPr="0010552B" w:rsidRDefault="001354CA" w:rsidP="001851D3">
      <w:pPr>
        <w:autoSpaceDE w:val="0"/>
        <w:autoSpaceDN w:val="0"/>
        <w:adjustRightInd w:val="0"/>
        <w:spacing w:after="120"/>
      </w:pPr>
      <w:r>
        <w:t>Počiatočné uistenie získané z ICS by malo byť prehodnotené v každej z týchto situácií:</w:t>
      </w:r>
    </w:p>
    <w:p w:rsidR="001354CA" w:rsidRPr="0010552B" w:rsidRDefault="001354CA" w:rsidP="001851D3">
      <w:pPr>
        <w:numPr>
          <w:ilvl w:val="0"/>
          <w:numId w:val="27"/>
        </w:numPr>
        <w:autoSpaceDE w:val="0"/>
        <w:autoSpaceDN w:val="0"/>
        <w:adjustRightInd w:val="0"/>
        <w:spacing w:after="120"/>
      </w:pPr>
      <w:r>
        <w:t>celková predpokladaná chybovosť (TPE) je vyššia než úroveň významnosti,</w:t>
      </w:r>
    </w:p>
    <w:p w:rsidR="001354CA" w:rsidRPr="0010552B" w:rsidRDefault="001354CA" w:rsidP="001851D3">
      <w:pPr>
        <w:numPr>
          <w:ilvl w:val="0"/>
          <w:numId w:val="27"/>
        </w:numPr>
        <w:autoSpaceDE w:val="0"/>
        <w:autoSpaceDN w:val="0"/>
        <w:adjustRightInd w:val="0"/>
        <w:spacing w:after="120"/>
      </w:pPr>
      <w:r>
        <w:t>UEL presahuje úroveň významnosti, aj keď TPE zostáva pod úrovňou významnosti,</w:t>
      </w:r>
    </w:p>
    <w:p w:rsidR="001354CA" w:rsidRPr="0010552B" w:rsidRDefault="001354CA" w:rsidP="001851D3">
      <w:pPr>
        <w:numPr>
          <w:ilvl w:val="0"/>
          <w:numId w:val="27"/>
        </w:numPr>
        <w:autoSpaceDE w:val="0"/>
        <w:autoSpaceDN w:val="0"/>
        <w:adjustRightInd w:val="0"/>
        <w:spacing w:after="120"/>
      </w:pPr>
      <w:r>
        <w:t xml:space="preserve">TPE je vyššia než očakávaná chyba (AE). </w:t>
      </w:r>
    </w:p>
    <w:p w:rsidR="001354CA" w:rsidRPr="0010552B" w:rsidRDefault="001354CA" w:rsidP="001851D3">
      <w:pPr>
        <w:autoSpaceDE w:val="0"/>
        <w:autoSpaceDN w:val="0"/>
        <w:adjustRightInd w:val="0"/>
        <w:spacing w:after="120"/>
      </w:pPr>
      <w:r>
        <w:t>Pre každý z uvedených prípadov by mal byť prepočítaný stupeň spoľahlivosti, ako je vysvetlené ďalej:</w:t>
      </w:r>
    </w:p>
    <w:p w:rsidR="001354CA" w:rsidRPr="0010552B" w:rsidRDefault="001354CA" w:rsidP="001851D3">
      <w:pPr>
        <w:numPr>
          <w:ilvl w:val="0"/>
          <w:numId w:val="28"/>
        </w:numPr>
        <w:autoSpaceDE w:val="0"/>
        <w:autoSpaceDN w:val="0"/>
        <w:adjustRightInd w:val="0"/>
        <w:spacing w:after="120"/>
        <w:rPr>
          <w:b/>
        </w:rPr>
      </w:pPr>
      <w:r>
        <w:rPr>
          <w:b/>
        </w:rPr>
        <w:t>Pre prístup MUS</w:t>
      </w:r>
    </w:p>
    <w:tbl>
      <w:tblPr>
        <w:tblW w:w="0" w:type="auto"/>
        <w:jc w:val="center"/>
        <w:tblInd w:w="6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843"/>
      </w:tblGrid>
      <w:tr w:rsidR="001354CA" w:rsidRPr="0010552B" w:rsidTr="003C307E">
        <w:trPr>
          <w:jc w:val="center"/>
        </w:trPr>
        <w:tc>
          <w:tcPr>
            <w:tcW w:w="3794" w:type="dxa"/>
            <w:shd w:val="clear" w:color="auto" w:fill="auto"/>
          </w:tcPr>
          <w:p w:rsidR="001354CA" w:rsidRPr="0010552B" w:rsidRDefault="001354CA" w:rsidP="001851D3">
            <w:pPr>
              <w:autoSpaceDE w:val="0"/>
              <w:autoSpaceDN w:val="0"/>
              <w:adjustRightInd w:val="0"/>
              <w:spacing w:after="120"/>
              <w:jc w:val="center"/>
              <w:rPr>
                <w:b/>
                <w:sz w:val="22"/>
                <w:szCs w:val="22"/>
              </w:rPr>
            </w:pPr>
            <w:r>
              <w:rPr>
                <w:b/>
                <w:sz w:val="22"/>
              </w:rPr>
              <w:t>Charakteristika</w:t>
            </w:r>
          </w:p>
        </w:tc>
        <w:tc>
          <w:tcPr>
            <w:tcW w:w="1843" w:type="dxa"/>
            <w:shd w:val="clear" w:color="auto" w:fill="auto"/>
          </w:tcPr>
          <w:p w:rsidR="001354CA" w:rsidRPr="0010552B" w:rsidRDefault="001354CA" w:rsidP="001851D3">
            <w:pPr>
              <w:autoSpaceDE w:val="0"/>
              <w:autoSpaceDN w:val="0"/>
              <w:adjustRightInd w:val="0"/>
              <w:spacing w:after="120"/>
              <w:jc w:val="center"/>
              <w:rPr>
                <w:b/>
                <w:sz w:val="22"/>
                <w:szCs w:val="22"/>
              </w:rPr>
            </w:pPr>
            <w:r>
              <w:rPr>
                <w:b/>
                <w:sz w:val="22"/>
              </w:rPr>
              <w:t>Hodnota</w:t>
            </w:r>
          </w:p>
        </w:tc>
      </w:tr>
      <w:tr w:rsidR="001354CA" w:rsidRPr="0010552B" w:rsidTr="003C307E">
        <w:trPr>
          <w:jc w:val="center"/>
        </w:trPr>
        <w:tc>
          <w:tcPr>
            <w:tcW w:w="3794" w:type="dxa"/>
            <w:shd w:val="clear" w:color="auto" w:fill="auto"/>
          </w:tcPr>
          <w:p w:rsidR="001354CA" w:rsidRPr="0010552B" w:rsidRDefault="001354CA" w:rsidP="001851D3">
            <w:pPr>
              <w:autoSpaceDE w:val="0"/>
              <w:autoSpaceDN w:val="0"/>
              <w:adjustRightInd w:val="0"/>
              <w:spacing w:after="120"/>
              <w:rPr>
                <w:sz w:val="22"/>
                <w:szCs w:val="22"/>
              </w:rPr>
            </w:pPr>
            <w:r>
              <w:rPr>
                <w:sz w:val="22"/>
              </w:rPr>
              <w:t>Účtovná hodnota (Bv) – IACS</w:t>
            </w:r>
          </w:p>
        </w:tc>
        <w:tc>
          <w:tcPr>
            <w:tcW w:w="1843" w:type="dxa"/>
            <w:shd w:val="clear" w:color="auto" w:fill="auto"/>
          </w:tcPr>
          <w:p w:rsidR="001354CA" w:rsidRPr="0010552B" w:rsidRDefault="001354CA" w:rsidP="001851D3">
            <w:pPr>
              <w:autoSpaceDE w:val="0"/>
              <w:autoSpaceDN w:val="0"/>
              <w:adjustRightInd w:val="0"/>
              <w:spacing w:after="120"/>
              <w:rPr>
                <w:sz w:val="22"/>
                <w:szCs w:val="22"/>
              </w:rPr>
            </w:pPr>
            <w:r>
              <w:rPr>
                <w:sz w:val="22"/>
              </w:rPr>
              <w:t>415 205 530,29</w:t>
            </w:r>
          </w:p>
        </w:tc>
      </w:tr>
      <w:tr w:rsidR="001354CA" w:rsidRPr="0010552B" w:rsidTr="003C307E">
        <w:trPr>
          <w:jc w:val="center"/>
        </w:trPr>
        <w:tc>
          <w:tcPr>
            <w:tcW w:w="3794" w:type="dxa"/>
            <w:shd w:val="clear" w:color="auto" w:fill="auto"/>
          </w:tcPr>
          <w:p w:rsidR="001354CA" w:rsidRPr="0010552B" w:rsidRDefault="001354CA" w:rsidP="001851D3">
            <w:pPr>
              <w:autoSpaceDE w:val="0"/>
              <w:autoSpaceDN w:val="0"/>
              <w:adjustRightInd w:val="0"/>
              <w:spacing w:after="120"/>
              <w:ind w:left="720" w:hanging="720"/>
              <w:rPr>
                <w:sz w:val="22"/>
                <w:szCs w:val="22"/>
              </w:rPr>
            </w:pPr>
            <w:r>
              <w:rPr>
                <w:sz w:val="22"/>
              </w:rPr>
              <w:t>Prijateľná nesprávnosť (TM) (2 %) – IACS</w:t>
            </w:r>
          </w:p>
        </w:tc>
        <w:tc>
          <w:tcPr>
            <w:tcW w:w="1843" w:type="dxa"/>
            <w:shd w:val="clear" w:color="auto" w:fill="auto"/>
          </w:tcPr>
          <w:p w:rsidR="001354CA" w:rsidRPr="0010552B" w:rsidRDefault="001354CA" w:rsidP="001851D3">
            <w:pPr>
              <w:spacing w:after="120"/>
              <w:rPr>
                <w:sz w:val="22"/>
                <w:szCs w:val="22"/>
              </w:rPr>
            </w:pPr>
            <w:r>
              <w:rPr>
                <w:sz w:val="22"/>
              </w:rPr>
              <w:t>8 304 110,61</w:t>
            </w:r>
          </w:p>
        </w:tc>
      </w:tr>
      <w:tr w:rsidR="001354CA" w:rsidRPr="0010552B" w:rsidTr="003C307E">
        <w:trPr>
          <w:jc w:val="center"/>
        </w:trPr>
        <w:tc>
          <w:tcPr>
            <w:tcW w:w="3794" w:type="dxa"/>
            <w:shd w:val="clear" w:color="auto" w:fill="auto"/>
          </w:tcPr>
          <w:p w:rsidR="001354CA" w:rsidRPr="0010552B" w:rsidRDefault="001354CA" w:rsidP="001851D3">
            <w:pPr>
              <w:autoSpaceDE w:val="0"/>
              <w:autoSpaceDN w:val="0"/>
              <w:adjustRightInd w:val="0"/>
              <w:spacing w:after="120"/>
              <w:rPr>
                <w:sz w:val="22"/>
                <w:szCs w:val="22"/>
              </w:rPr>
            </w:pPr>
            <w:r>
              <w:rPr>
                <w:sz w:val="22"/>
              </w:rPr>
              <w:t>Najpravdepodobnejšia miera chybovosti (MLE) – IACS</w:t>
            </w:r>
          </w:p>
        </w:tc>
        <w:tc>
          <w:tcPr>
            <w:tcW w:w="1843" w:type="dxa"/>
            <w:shd w:val="clear" w:color="auto" w:fill="auto"/>
          </w:tcPr>
          <w:p w:rsidR="001354CA" w:rsidRPr="0010552B" w:rsidRDefault="001354CA" w:rsidP="001851D3">
            <w:pPr>
              <w:autoSpaceDE w:val="0"/>
              <w:autoSpaceDN w:val="0"/>
              <w:adjustRightInd w:val="0"/>
              <w:spacing w:after="120"/>
              <w:rPr>
                <w:sz w:val="22"/>
                <w:szCs w:val="22"/>
              </w:rPr>
            </w:pPr>
            <w:r>
              <w:rPr>
                <w:sz w:val="22"/>
              </w:rPr>
              <w:t>251 416,00</w:t>
            </w:r>
          </w:p>
        </w:tc>
      </w:tr>
      <w:tr w:rsidR="001354CA" w:rsidRPr="0010552B" w:rsidTr="003C307E">
        <w:trPr>
          <w:jc w:val="center"/>
        </w:trPr>
        <w:tc>
          <w:tcPr>
            <w:tcW w:w="3794" w:type="dxa"/>
            <w:shd w:val="clear" w:color="auto" w:fill="auto"/>
          </w:tcPr>
          <w:p w:rsidR="001354CA" w:rsidRPr="0010552B" w:rsidRDefault="001354CA" w:rsidP="001851D3">
            <w:pPr>
              <w:autoSpaceDE w:val="0"/>
              <w:autoSpaceDN w:val="0"/>
              <w:adjustRightInd w:val="0"/>
              <w:spacing w:after="120"/>
              <w:rPr>
                <w:sz w:val="22"/>
                <w:szCs w:val="22"/>
              </w:rPr>
            </w:pPr>
            <w:r>
              <w:rPr>
                <w:sz w:val="22"/>
              </w:rPr>
              <w:t>Presnosť – IACS</w:t>
            </w:r>
          </w:p>
        </w:tc>
        <w:tc>
          <w:tcPr>
            <w:tcW w:w="1843" w:type="dxa"/>
            <w:shd w:val="clear" w:color="auto" w:fill="auto"/>
          </w:tcPr>
          <w:p w:rsidR="001354CA" w:rsidRPr="0010552B" w:rsidRDefault="001354CA" w:rsidP="001851D3">
            <w:pPr>
              <w:autoSpaceDE w:val="0"/>
              <w:autoSpaceDN w:val="0"/>
              <w:adjustRightInd w:val="0"/>
              <w:spacing w:after="120"/>
              <w:rPr>
                <w:sz w:val="22"/>
                <w:szCs w:val="22"/>
              </w:rPr>
            </w:pPr>
            <w:r>
              <w:rPr>
                <w:sz w:val="22"/>
              </w:rPr>
              <w:t>8 675 293,95</w:t>
            </w:r>
          </w:p>
        </w:tc>
      </w:tr>
    </w:tbl>
    <w:p w:rsidR="001354CA" w:rsidRPr="0010552B" w:rsidRDefault="001354CA" w:rsidP="001851D3">
      <w:pPr>
        <w:autoSpaceDE w:val="0"/>
        <w:autoSpaceDN w:val="0"/>
        <w:adjustRightInd w:val="0"/>
        <w:spacing w:after="120"/>
        <w:rPr>
          <w:szCs w:val="24"/>
        </w:rPr>
      </w:pPr>
      <w:r>
        <w:rPr>
          <w:position w:val="-24"/>
          <w:szCs w:val="24"/>
        </w:rPr>
        <w:object w:dxaOrig="1980" w:dyaOrig="620" w14:anchorId="1F829A5F">
          <v:shape id="_x0000_i1029" type="#_x0000_t75" style="width:99.15pt;height:30.55pt" o:ole="">
            <v:imagedata r:id="rId17" o:title=""/>
          </v:shape>
          <o:OLEObject Type="Embed" ProgID="Equation.3" ShapeID="_x0000_i1029" DrawAspect="Content" ObjectID="_1565431414" r:id="rId18"/>
        </w:object>
      </w:r>
    </w:p>
    <w:p w:rsidR="001354CA" w:rsidRPr="0010552B" w:rsidRDefault="001354CA" w:rsidP="001851D3">
      <w:pPr>
        <w:autoSpaceDE w:val="0"/>
        <w:autoSpaceDN w:val="0"/>
        <w:adjustRightInd w:val="0"/>
        <w:spacing w:after="120"/>
      </w:pPr>
      <w:r>
        <w:t>z'(IACS) = 2,3 * 8 052 694,61 / 8 675 293,95= 2,13</w:t>
      </w:r>
    </w:p>
    <w:p w:rsidR="001354CA" w:rsidRPr="0010552B" w:rsidRDefault="001354CA" w:rsidP="001851D3">
      <w:pPr>
        <w:autoSpaceDE w:val="0"/>
        <w:autoSpaceDN w:val="0"/>
        <w:adjustRightInd w:val="0"/>
        <w:spacing w:after="120"/>
      </w:pPr>
      <w:r>
        <w:t>Uvedená istota všeobecne zodpovedá pôvodnému hodnoteniu ICS (funguje čiastočne).</w:t>
      </w:r>
    </w:p>
    <w:p w:rsidR="005915F9" w:rsidRPr="0010552B" w:rsidRDefault="005915F9" w:rsidP="001851D3">
      <w:pPr>
        <w:autoSpaceDE w:val="0"/>
        <w:autoSpaceDN w:val="0"/>
        <w:adjustRightInd w:val="0"/>
        <w:spacing w:after="120"/>
      </w:pPr>
    </w:p>
    <w:p w:rsidR="00C36321" w:rsidRPr="0010552B" w:rsidRDefault="00C36321" w:rsidP="00E140EA">
      <w:pPr>
        <w:pStyle w:val="Heading2"/>
        <w:rPr>
          <w:b w:val="0"/>
        </w:rPr>
      </w:pPr>
      <w:r>
        <w:t xml:space="preserve">Interpretácia výsledkov výberu vzorky pre neštatistický výber vzorky </w:t>
      </w:r>
    </w:p>
    <w:p w:rsidR="00C36321" w:rsidRPr="0010552B" w:rsidRDefault="00C36321" w:rsidP="005915F9">
      <w:pPr>
        <w:pStyle w:val="Text1"/>
        <w:spacing w:after="120"/>
        <w:ind w:left="0"/>
        <w:rPr>
          <w:szCs w:val="24"/>
        </w:rPr>
      </w:pPr>
      <w:r>
        <w:t>Neštatistický výber vzorky sa použije na testovanie vecnej správnosti:</w:t>
      </w:r>
    </w:p>
    <w:p w:rsidR="00C36321" w:rsidRPr="0010552B" w:rsidRDefault="00C36321" w:rsidP="005915F9">
      <w:pPr>
        <w:pStyle w:val="Text1"/>
        <w:numPr>
          <w:ilvl w:val="0"/>
          <w:numId w:val="35"/>
        </w:numPr>
        <w:spacing w:after="120"/>
        <w:ind w:left="0" w:firstLine="0"/>
        <w:rPr>
          <w:szCs w:val="24"/>
        </w:rPr>
      </w:pPr>
      <w:r>
        <w:t>operácií verejného skladovania (v príslušných prípadoch),</w:t>
      </w:r>
    </w:p>
    <w:p w:rsidR="00C36321" w:rsidRPr="0010552B" w:rsidRDefault="00C36321" w:rsidP="005915F9">
      <w:pPr>
        <w:pStyle w:val="Text1"/>
        <w:numPr>
          <w:ilvl w:val="0"/>
          <w:numId w:val="35"/>
        </w:numPr>
        <w:spacing w:after="120"/>
        <w:ind w:left="0" w:firstLine="0"/>
        <w:rPr>
          <w:szCs w:val="24"/>
        </w:rPr>
      </w:pPr>
      <w:r>
        <w:t>malých súborov (ak niektorá z vrstiev hlavných výdavkov spĺňa príslušné požiadavky),</w:t>
      </w:r>
    </w:p>
    <w:p w:rsidR="00C36321" w:rsidRPr="0010552B" w:rsidRDefault="00C36321" w:rsidP="005915F9">
      <w:pPr>
        <w:pStyle w:val="Text1"/>
        <w:numPr>
          <w:ilvl w:val="0"/>
          <w:numId w:val="35"/>
        </w:numPr>
        <w:spacing w:after="120"/>
        <w:ind w:left="0" w:firstLine="0"/>
        <w:rPr>
          <w:szCs w:val="24"/>
        </w:rPr>
      </w:pPr>
      <w:r>
        <w:t>záloh a zábezpiek,</w:t>
      </w:r>
    </w:p>
    <w:p w:rsidR="00C36321" w:rsidRPr="0010552B" w:rsidRDefault="00C36321" w:rsidP="005915F9">
      <w:pPr>
        <w:pStyle w:val="Text1"/>
        <w:numPr>
          <w:ilvl w:val="0"/>
          <w:numId w:val="35"/>
        </w:numPr>
        <w:spacing w:after="120"/>
        <w:ind w:left="0" w:firstLine="0"/>
        <w:rPr>
          <w:szCs w:val="24"/>
        </w:rPr>
      </w:pPr>
      <w:r>
        <w:t>pohľadávok.</w:t>
      </w:r>
    </w:p>
    <w:p w:rsidR="00C36321" w:rsidRPr="0010552B" w:rsidRDefault="00C36321" w:rsidP="005915F9">
      <w:pPr>
        <w:pStyle w:val="Text1"/>
        <w:spacing w:after="120"/>
        <w:ind w:left="0"/>
        <w:rPr>
          <w:szCs w:val="24"/>
        </w:rPr>
      </w:pPr>
      <w:r>
        <w:t>Pokiaľ ide o pohľadávky a záruky/zábezpeky, významné môžu byť podhodnotené aj nadhodnotené sumy, a preto je potrebné brať ich do úvahy v závislosti od príslušného druhu transakcie (nový prípad, oprava, vymáhanie, uvoľnenie alebo blokovanie záruky atď.). Pre ostatné transakcie (platby záloh a výpočet intervenčných nákladov) bude potrebné brať do úvahy len nadhodnotené sumy.</w:t>
      </w:r>
    </w:p>
    <w:p w:rsidR="00C36321" w:rsidRPr="0010552B" w:rsidRDefault="00C36321" w:rsidP="005915F9">
      <w:pPr>
        <w:pStyle w:val="Text1"/>
        <w:spacing w:after="120"/>
        <w:ind w:left="0"/>
        <w:rPr>
          <w:szCs w:val="24"/>
        </w:rPr>
      </w:pPr>
      <w:r>
        <w:t>Hodnotenie chýb v prípade neštatistického výberu vzorky zahŕňa tri kroky:</w:t>
      </w:r>
    </w:p>
    <w:p w:rsidR="00C36321" w:rsidRPr="0010552B" w:rsidRDefault="00C36321" w:rsidP="00C419C2">
      <w:pPr>
        <w:pStyle w:val="ListNumber2"/>
        <w:numPr>
          <w:ilvl w:val="0"/>
          <w:numId w:val="21"/>
        </w:numPr>
        <w:tabs>
          <w:tab w:val="clear" w:pos="1437"/>
        </w:tabs>
        <w:spacing w:after="120"/>
        <w:ind w:left="0" w:firstLine="0"/>
      </w:pPr>
      <w:r>
        <w:t>výpočet miery chybovosti (%) vydelením výšky finančných chýb veľkosťou vzorky;</w:t>
      </w:r>
    </w:p>
    <w:p w:rsidR="00C36321" w:rsidRPr="0010552B" w:rsidRDefault="00C36321" w:rsidP="00C419C2">
      <w:pPr>
        <w:pStyle w:val="ListNumber2"/>
        <w:numPr>
          <w:ilvl w:val="0"/>
          <w:numId w:val="21"/>
        </w:numPr>
        <w:tabs>
          <w:tab w:val="clear" w:pos="1437"/>
          <w:tab w:val="num" w:pos="709"/>
        </w:tabs>
        <w:spacing w:after="120"/>
        <w:ind w:left="0" w:firstLine="0"/>
      </w:pPr>
      <w:r>
        <w:t xml:space="preserve">stanovenie hornej hranice chybovosti (rozšírenie miery chybovosti na úrovni celkového sledovaného súboru) vynásobením vypočítanej miery chybovosti na úrovni vzorky celkovou veľkosťou súboru, ktorý je predmetom auditu; </w:t>
      </w:r>
    </w:p>
    <w:p w:rsidR="00C36321" w:rsidRPr="0010552B" w:rsidRDefault="00C36321" w:rsidP="00C419C2">
      <w:pPr>
        <w:pStyle w:val="ListNumber2"/>
        <w:numPr>
          <w:ilvl w:val="0"/>
          <w:numId w:val="21"/>
        </w:numPr>
        <w:tabs>
          <w:tab w:val="clear" w:pos="1437"/>
        </w:tabs>
        <w:spacing w:after="120"/>
        <w:ind w:left="0" w:firstLine="0"/>
      </w:pPr>
      <w:r>
        <w:lastRenderedPageBreak/>
        <w:t xml:space="preserve">takto stanovená horná hranica chybovosti sa porovná s úrovňou významnosti (úroveň prijateľnej chybovosti), ktorá bude predstavovať 2 % súboru. V prípade pohľadávok to budú 2 % vymáhaných súm vykázaných v ročnom vyhlásení. </w:t>
      </w:r>
    </w:p>
    <w:p w:rsidR="00C36321" w:rsidRPr="0010552B" w:rsidRDefault="00C36321" w:rsidP="005915F9">
      <w:pPr>
        <w:pStyle w:val="Text1"/>
        <w:spacing w:after="120"/>
        <w:ind w:left="0"/>
      </w:pPr>
    </w:p>
    <w:p w:rsidR="004212A2" w:rsidRPr="0010552B" w:rsidRDefault="004212A2" w:rsidP="00E140EA">
      <w:pPr>
        <w:pStyle w:val="Heading1"/>
        <w:rPr>
          <w:b w:val="0"/>
        </w:rPr>
      </w:pPr>
      <w:r>
        <w:t>Finančné zosúhlasenie</w:t>
      </w:r>
    </w:p>
    <w:p w:rsidR="001851D3" w:rsidRPr="0010552B" w:rsidRDefault="00546EC4" w:rsidP="001851D3">
      <w:pPr>
        <w:pStyle w:val="Text1"/>
        <w:spacing w:after="120"/>
        <w:ind w:left="0"/>
        <w:rPr>
          <w:szCs w:val="24"/>
        </w:rPr>
      </w:pPr>
      <w:r>
        <w:t>Nesprávnosti zistené pri finančnom zosúhlasovaní budú musieť byť považované za finančné chyby. V prípade výdavkov sú predmetom hlavného záujmu nadhodnotené sumy, zatiaľ čo v prípade vyhlásení o pohľadávkach je potrebné starostlivo posúdiť najmä podhodnotené sumy, avšak v závislosti od typu transakcie (napr. pre nevymožiteľné sumy sú dôležitejšie nadhodnotenia).</w:t>
      </w:r>
    </w:p>
    <w:p w:rsidR="00546EC4" w:rsidRPr="0010552B" w:rsidRDefault="00546EC4" w:rsidP="001851D3">
      <w:pPr>
        <w:pStyle w:val="Text1"/>
        <w:spacing w:after="120"/>
        <w:ind w:left="0"/>
        <w:rPr>
          <w:szCs w:val="24"/>
        </w:rPr>
      </w:pPr>
    </w:p>
    <w:p w:rsidR="004212A2" w:rsidRPr="0010552B" w:rsidRDefault="004212A2" w:rsidP="00E140EA">
      <w:pPr>
        <w:pStyle w:val="Heading1"/>
        <w:rPr>
          <w:b w:val="0"/>
        </w:rPr>
      </w:pPr>
      <w:r>
        <w:t>Celkové hodnotenie chýb</w:t>
      </w:r>
    </w:p>
    <w:p w:rsidR="001851D3" w:rsidRPr="0010552B" w:rsidRDefault="003C5215" w:rsidP="001851D3">
      <w:pPr>
        <w:pStyle w:val="Text1"/>
        <w:spacing w:after="120"/>
        <w:ind w:left="0"/>
        <w:rPr>
          <w:szCs w:val="24"/>
        </w:rPr>
      </w:pPr>
      <w:r>
        <w:t>Na vyjadrenie celkového stanoviska pre prvý cieľ auditu uvedený v usmernení (časť A) sa celková chyba zistená na úrovni fondu, ktorá sa berie do úvahy, skladá zo súčtu týchto chýb:</w:t>
      </w:r>
    </w:p>
    <w:p w:rsidR="00546EC4" w:rsidRPr="0010552B" w:rsidRDefault="00546EC4" w:rsidP="001851D3">
      <w:pPr>
        <w:pStyle w:val="Text1"/>
        <w:spacing w:after="120"/>
        <w:ind w:left="0"/>
        <w:rPr>
          <w:szCs w:val="24"/>
        </w:rPr>
      </w:pPr>
    </w:p>
    <w:p w:rsidR="00C41D03" w:rsidRPr="0010552B" w:rsidRDefault="00C41D03" w:rsidP="001851D3">
      <w:pPr>
        <w:pStyle w:val="Text1"/>
        <w:spacing w:after="120"/>
        <w:ind w:left="0"/>
        <w:rPr>
          <w:szCs w:val="24"/>
        </w:rPr>
      </w:pPr>
    </w:p>
    <w:tbl>
      <w:tblPr>
        <w:tblW w:w="0" w:type="auto"/>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3230"/>
        <w:gridCol w:w="3260"/>
      </w:tblGrid>
      <w:tr w:rsidR="00797D9F" w:rsidRPr="0010552B" w:rsidTr="00797D9F">
        <w:tc>
          <w:tcPr>
            <w:tcW w:w="1668" w:type="dxa"/>
          </w:tcPr>
          <w:p w:rsidR="00797D9F" w:rsidRPr="0010552B" w:rsidRDefault="00797D9F" w:rsidP="001851D3">
            <w:pPr>
              <w:spacing w:after="120"/>
              <w:rPr>
                <w:b/>
                <w:sz w:val="22"/>
                <w:szCs w:val="22"/>
              </w:rPr>
            </w:pPr>
            <w:r>
              <w:rPr>
                <w:b/>
                <w:sz w:val="22"/>
              </w:rPr>
              <w:t>Kroky v rámci auditu</w:t>
            </w:r>
          </w:p>
        </w:tc>
        <w:tc>
          <w:tcPr>
            <w:tcW w:w="3230" w:type="dxa"/>
          </w:tcPr>
          <w:p w:rsidR="00797D9F" w:rsidRPr="0010552B" w:rsidRDefault="00456EEB" w:rsidP="001851D3">
            <w:pPr>
              <w:spacing w:after="120"/>
              <w:rPr>
                <w:b/>
                <w:sz w:val="22"/>
                <w:szCs w:val="22"/>
              </w:rPr>
            </w:pPr>
            <w:r>
              <w:rPr>
                <w:b/>
                <w:sz w:val="22"/>
              </w:rPr>
              <w:t>Súvislosť s hodnotením chýb</w:t>
            </w:r>
          </w:p>
        </w:tc>
        <w:tc>
          <w:tcPr>
            <w:tcW w:w="3260" w:type="dxa"/>
          </w:tcPr>
          <w:p w:rsidR="00797D9F" w:rsidRPr="0010552B" w:rsidRDefault="00456EEB" w:rsidP="001851D3">
            <w:pPr>
              <w:spacing w:after="120"/>
              <w:rPr>
                <w:b/>
                <w:sz w:val="22"/>
                <w:szCs w:val="22"/>
              </w:rPr>
            </w:pPr>
            <w:r>
              <w:rPr>
                <w:b/>
                <w:sz w:val="22"/>
              </w:rPr>
              <w:t>Výsledky, ktoré sa budú musieť zohľadniť v rámci celkovej chyby na úrovni fondu</w:t>
            </w:r>
          </w:p>
        </w:tc>
      </w:tr>
      <w:tr w:rsidR="00456EEB" w:rsidRPr="0010552B" w:rsidTr="00F3310F">
        <w:trPr>
          <w:trHeight w:val="561"/>
        </w:trPr>
        <w:tc>
          <w:tcPr>
            <w:tcW w:w="1668" w:type="dxa"/>
            <w:vMerge w:val="restart"/>
          </w:tcPr>
          <w:p w:rsidR="00456EEB" w:rsidRPr="0010552B" w:rsidRDefault="00456EEB" w:rsidP="001851D3">
            <w:pPr>
              <w:spacing w:after="120"/>
              <w:rPr>
                <w:sz w:val="22"/>
                <w:szCs w:val="22"/>
              </w:rPr>
            </w:pPr>
            <w:r>
              <w:rPr>
                <w:sz w:val="22"/>
              </w:rPr>
              <w:t>Preskúmanie systému vnútornej kontroly</w:t>
            </w:r>
          </w:p>
        </w:tc>
        <w:tc>
          <w:tcPr>
            <w:tcW w:w="3230" w:type="dxa"/>
          </w:tcPr>
          <w:p w:rsidR="00456EEB" w:rsidRPr="0010552B" w:rsidRDefault="00456EEB" w:rsidP="001851D3">
            <w:pPr>
              <w:spacing w:after="120"/>
              <w:rPr>
                <w:sz w:val="22"/>
                <w:szCs w:val="22"/>
              </w:rPr>
            </w:pPr>
            <w:r>
              <w:rPr>
                <w:sz w:val="22"/>
              </w:rPr>
              <w:t>akékoľvek finančné chyby vyplývajúce z testovania súladu</w:t>
            </w:r>
          </w:p>
        </w:tc>
        <w:tc>
          <w:tcPr>
            <w:tcW w:w="3260" w:type="dxa"/>
          </w:tcPr>
          <w:p w:rsidR="00456EEB" w:rsidRPr="0010552B" w:rsidRDefault="00456EEB" w:rsidP="001851D3">
            <w:pPr>
              <w:spacing w:after="120"/>
              <w:rPr>
                <w:sz w:val="22"/>
                <w:szCs w:val="22"/>
              </w:rPr>
            </w:pPr>
            <w:r>
              <w:rPr>
                <w:sz w:val="22"/>
              </w:rPr>
              <w:t>známe chyby</w:t>
            </w:r>
          </w:p>
        </w:tc>
      </w:tr>
      <w:tr w:rsidR="00456EEB" w:rsidRPr="0010552B" w:rsidTr="00F3310F">
        <w:trPr>
          <w:trHeight w:val="647"/>
        </w:trPr>
        <w:tc>
          <w:tcPr>
            <w:tcW w:w="1668" w:type="dxa"/>
            <w:vMerge/>
          </w:tcPr>
          <w:p w:rsidR="00456EEB" w:rsidRPr="0010552B" w:rsidRDefault="00456EEB" w:rsidP="001851D3">
            <w:pPr>
              <w:spacing w:after="120"/>
              <w:rPr>
                <w:sz w:val="22"/>
                <w:szCs w:val="22"/>
              </w:rPr>
            </w:pPr>
          </w:p>
        </w:tc>
        <w:tc>
          <w:tcPr>
            <w:tcW w:w="3230" w:type="dxa"/>
          </w:tcPr>
          <w:p w:rsidR="00456EEB" w:rsidRPr="0010552B" w:rsidRDefault="00456EEB" w:rsidP="00866871">
            <w:pPr>
              <w:spacing w:after="120"/>
              <w:rPr>
                <w:sz w:val="22"/>
                <w:szCs w:val="22"/>
              </w:rPr>
            </w:pPr>
            <w:r>
              <w:rPr>
                <w:sz w:val="22"/>
              </w:rPr>
              <w:t>formálne chyby vyplývajúce z</w:t>
            </w:r>
            <w:r w:rsidR="00866871">
              <w:rPr>
                <w:sz w:val="22"/>
              </w:rPr>
              <w:t> </w:t>
            </w:r>
            <w:r>
              <w:rPr>
                <w:sz w:val="22"/>
              </w:rPr>
              <w:t>testovania súladu</w:t>
            </w:r>
          </w:p>
        </w:tc>
        <w:tc>
          <w:tcPr>
            <w:tcW w:w="3260" w:type="dxa"/>
          </w:tcPr>
          <w:p w:rsidR="00456EEB" w:rsidRPr="0010552B" w:rsidRDefault="00456EEB" w:rsidP="001851D3">
            <w:pPr>
              <w:spacing w:after="120"/>
              <w:rPr>
                <w:sz w:val="22"/>
                <w:szCs w:val="22"/>
              </w:rPr>
            </w:pPr>
            <w:r>
              <w:rPr>
                <w:sz w:val="22"/>
              </w:rPr>
              <w:t>neuvádza sa</w:t>
            </w:r>
          </w:p>
        </w:tc>
      </w:tr>
      <w:tr w:rsidR="00F3310F" w:rsidRPr="0010552B" w:rsidTr="00124E8A">
        <w:trPr>
          <w:trHeight w:val="466"/>
        </w:trPr>
        <w:tc>
          <w:tcPr>
            <w:tcW w:w="1668" w:type="dxa"/>
            <w:vMerge w:val="restart"/>
          </w:tcPr>
          <w:p w:rsidR="00F3310F" w:rsidRPr="0010552B" w:rsidRDefault="00F3310F">
            <w:pPr>
              <w:spacing w:after="120"/>
              <w:rPr>
                <w:sz w:val="22"/>
                <w:szCs w:val="22"/>
              </w:rPr>
            </w:pPr>
            <w:r>
              <w:rPr>
                <w:sz w:val="22"/>
              </w:rPr>
              <w:t>Potvrdenie ročnej účtovnej závierky</w:t>
            </w:r>
          </w:p>
        </w:tc>
        <w:tc>
          <w:tcPr>
            <w:tcW w:w="3230" w:type="dxa"/>
          </w:tcPr>
          <w:p w:rsidR="00F3310F" w:rsidRPr="0010552B" w:rsidRDefault="00F3310F" w:rsidP="00866871">
            <w:pPr>
              <w:spacing w:after="120"/>
              <w:rPr>
                <w:sz w:val="22"/>
                <w:szCs w:val="22"/>
              </w:rPr>
            </w:pPr>
            <w:r>
              <w:rPr>
                <w:sz w:val="22"/>
              </w:rPr>
              <w:t>finančné chyby vyplývajúce z</w:t>
            </w:r>
            <w:r w:rsidR="00866871">
              <w:rPr>
                <w:sz w:val="22"/>
              </w:rPr>
              <w:t> </w:t>
            </w:r>
            <w:r>
              <w:rPr>
                <w:sz w:val="22"/>
              </w:rPr>
              <w:t xml:space="preserve">testovania vecnej správnosti – štatistický výber vzorky </w:t>
            </w:r>
          </w:p>
        </w:tc>
        <w:tc>
          <w:tcPr>
            <w:tcW w:w="3260" w:type="dxa"/>
          </w:tcPr>
          <w:p w:rsidR="00F3310F" w:rsidRPr="0010552B" w:rsidRDefault="00681207" w:rsidP="001851D3">
            <w:pPr>
              <w:spacing w:after="120"/>
              <w:rPr>
                <w:sz w:val="22"/>
                <w:szCs w:val="22"/>
              </w:rPr>
            </w:pPr>
            <w:r>
              <w:rPr>
                <w:sz w:val="22"/>
              </w:rPr>
              <w:t>najpravdepodobnejšie miery chybovosti (alebo predpokladané chybovosti) + známe chyby</w:t>
            </w:r>
          </w:p>
        </w:tc>
      </w:tr>
      <w:tr w:rsidR="00F3310F" w:rsidRPr="0010552B" w:rsidTr="00797D9F">
        <w:tc>
          <w:tcPr>
            <w:tcW w:w="1668" w:type="dxa"/>
            <w:vMerge/>
          </w:tcPr>
          <w:p w:rsidR="00F3310F" w:rsidRPr="0010552B" w:rsidRDefault="00F3310F" w:rsidP="001851D3">
            <w:pPr>
              <w:spacing w:after="120"/>
              <w:rPr>
                <w:sz w:val="22"/>
                <w:szCs w:val="22"/>
              </w:rPr>
            </w:pPr>
          </w:p>
        </w:tc>
        <w:tc>
          <w:tcPr>
            <w:tcW w:w="3230" w:type="dxa"/>
          </w:tcPr>
          <w:p w:rsidR="00F3310F" w:rsidRPr="0010552B" w:rsidRDefault="00F3310F" w:rsidP="00866871">
            <w:pPr>
              <w:spacing w:after="120"/>
              <w:rPr>
                <w:sz w:val="22"/>
                <w:szCs w:val="22"/>
              </w:rPr>
            </w:pPr>
            <w:r>
              <w:rPr>
                <w:sz w:val="22"/>
              </w:rPr>
              <w:t>finančné chyby vyplývajúce z</w:t>
            </w:r>
            <w:r w:rsidR="00866871">
              <w:rPr>
                <w:sz w:val="22"/>
              </w:rPr>
              <w:t> </w:t>
            </w:r>
            <w:r>
              <w:rPr>
                <w:sz w:val="22"/>
              </w:rPr>
              <w:t>testovania vecnej správnosti – neštatistický výber vzorky</w:t>
            </w:r>
          </w:p>
        </w:tc>
        <w:tc>
          <w:tcPr>
            <w:tcW w:w="3260" w:type="dxa"/>
          </w:tcPr>
          <w:p w:rsidR="00F3310F" w:rsidRPr="0010552B" w:rsidRDefault="00796570" w:rsidP="001851D3">
            <w:pPr>
              <w:spacing w:after="120"/>
              <w:rPr>
                <w:sz w:val="22"/>
                <w:szCs w:val="22"/>
              </w:rPr>
            </w:pPr>
            <w:r>
              <w:rPr>
                <w:sz w:val="22"/>
              </w:rPr>
              <w:t xml:space="preserve">extrapolovaná miera chybovosti (ekvivalent hornej hranice chybovosti) </w:t>
            </w:r>
          </w:p>
        </w:tc>
      </w:tr>
      <w:tr w:rsidR="00F3310F" w:rsidRPr="0010552B" w:rsidTr="00797D9F">
        <w:tc>
          <w:tcPr>
            <w:tcW w:w="1668" w:type="dxa"/>
            <w:vMerge/>
          </w:tcPr>
          <w:p w:rsidR="00F3310F" w:rsidRPr="0010552B" w:rsidRDefault="00F3310F" w:rsidP="001851D3">
            <w:pPr>
              <w:spacing w:after="120"/>
              <w:rPr>
                <w:sz w:val="22"/>
                <w:szCs w:val="22"/>
              </w:rPr>
            </w:pPr>
          </w:p>
        </w:tc>
        <w:tc>
          <w:tcPr>
            <w:tcW w:w="3230" w:type="dxa"/>
          </w:tcPr>
          <w:p w:rsidR="00F3310F" w:rsidRPr="0010552B" w:rsidRDefault="00F3310F" w:rsidP="001851D3">
            <w:pPr>
              <w:spacing w:after="120"/>
              <w:rPr>
                <w:sz w:val="22"/>
                <w:szCs w:val="22"/>
              </w:rPr>
            </w:pPr>
            <w:r>
              <w:rPr>
                <w:sz w:val="22"/>
              </w:rPr>
              <w:t>iné finančné chyby</w:t>
            </w:r>
          </w:p>
        </w:tc>
        <w:tc>
          <w:tcPr>
            <w:tcW w:w="3260" w:type="dxa"/>
          </w:tcPr>
          <w:p w:rsidR="00F3310F" w:rsidRPr="0010552B" w:rsidRDefault="00F3310F" w:rsidP="001851D3">
            <w:pPr>
              <w:spacing w:after="120"/>
              <w:rPr>
                <w:sz w:val="22"/>
                <w:szCs w:val="22"/>
              </w:rPr>
            </w:pPr>
            <w:r>
              <w:rPr>
                <w:sz w:val="22"/>
              </w:rPr>
              <w:t>neobvyklé chyby</w:t>
            </w:r>
          </w:p>
        </w:tc>
      </w:tr>
      <w:tr w:rsidR="00797D9F" w:rsidRPr="0010552B" w:rsidTr="00797D9F">
        <w:tc>
          <w:tcPr>
            <w:tcW w:w="1668" w:type="dxa"/>
          </w:tcPr>
          <w:p w:rsidR="00797D9F" w:rsidRPr="0010552B" w:rsidRDefault="00797D9F" w:rsidP="001851D3">
            <w:pPr>
              <w:spacing w:after="120"/>
              <w:rPr>
                <w:sz w:val="22"/>
                <w:szCs w:val="22"/>
              </w:rPr>
            </w:pPr>
            <w:r>
              <w:rPr>
                <w:sz w:val="22"/>
              </w:rPr>
              <w:t>Validácia účtov</w:t>
            </w:r>
          </w:p>
        </w:tc>
        <w:tc>
          <w:tcPr>
            <w:tcW w:w="3230" w:type="dxa"/>
          </w:tcPr>
          <w:p w:rsidR="00797D9F" w:rsidRPr="0010552B" w:rsidRDefault="00456EEB" w:rsidP="001851D3">
            <w:pPr>
              <w:spacing w:after="120"/>
              <w:rPr>
                <w:sz w:val="22"/>
                <w:szCs w:val="22"/>
              </w:rPr>
            </w:pPr>
            <w:r>
              <w:rPr>
                <w:sz w:val="22"/>
              </w:rPr>
              <w:t>finančné chyby zistené pri zosúhlasení</w:t>
            </w:r>
          </w:p>
        </w:tc>
        <w:tc>
          <w:tcPr>
            <w:tcW w:w="3260" w:type="dxa"/>
          </w:tcPr>
          <w:p w:rsidR="00797D9F" w:rsidRPr="0010552B" w:rsidRDefault="00F3310F" w:rsidP="001851D3">
            <w:pPr>
              <w:spacing w:after="120"/>
              <w:rPr>
                <w:sz w:val="22"/>
                <w:szCs w:val="22"/>
              </w:rPr>
            </w:pPr>
            <w:r>
              <w:rPr>
                <w:sz w:val="22"/>
              </w:rPr>
              <w:t>známe chyby</w:t>
            </w:r>
          </w:p>
        </w:tc>
      </w:tr>
      <w:tr w:rsidR="00F3310F" w:rsidRPr="0010552B" w:rsidTr="00124E8A">
        <w:tc>
          <w:tcPr>
            <w:tcW w:w="4898" w:type="dxa"/>
            <w:gridSpan w:val="2"/>
          </w:tcPr>
          <w:p w:rsidR="00F3310F" w:rsidRPr="0010552B" w:rsidRDefault="00F3310F" w:rsidP="001851D3">
            <w:pPr>
              <w:spacing w:after="120"/>
              <w:rPr>
                <w:b/>
                <w:sz w:val="22"/>
                <w:szCs w:val="22"/>
              </w:rPr>
            </w:pPr>
            <w:r>
              <w:rPr>
                <w:b/>
                <w:sz w:val="22"/>
              </w:rPr>
              <w:t>Celkový finančný vplyv</w:t>
            </w:r>
          </w:p>
        </w:tc>
        <w:tc>
          <w:tcPr>
            <w:tcW w:w="3260" w:type="dxa"/>
          </w:tcPr>
          <w:p w:rsidR="00F3310F" w:rsidRPr="0010552B" w:rsidRDefault="00F3310F" w:rsidP="00866871">
            <w:pPr>
              <w:spacing w:after="120"/>
              <w:rPr>
                <w:i/>
                <w:sz w:val="22"/>
                <w:szCs w:val="22"/>
              </w:rPr>
            </w:pPr>
            <w:r>
              <w:rPr>
                <w:i/>
                <w:sz w:val="22"/>
              </w:rPr>
              <w:t>(súčet uvedených chýb s</w:t>
            </w:r>
            <w:r w:rsidR="00866871">
              <w:rPr>
                <w:i/>
                <w:sz w:val="22"/>
              </w:rPr>
              <w:t> </w:t>
            </w:r>
            <w:r>
              <w:rPr>
                <w:i/>
                <w:sz w:val="22"/>
              </w:rPr>
              <w:t>finančným vplyvom)</w:t>
            </w:r>
          </w:p>
        </w:tc>
      </w:tr>
    </w:tbl>
    <w:p w:rsidR="00764CD6" w:rsidRPr="0010552B" w:rsidRDefault="00764CD6" w:rsidP="001851D3">
      <w:pPr>
        <w:spacing w:before="120" w:after="120"/>
      </w:pPr>
      <w:r>
        <w:t xml:space="preserve">Podrobnejšie informácie </w:t>
      </w:r>
      <w:r w:rsidR="002F2388">
        <w:t>sú u</w:t>
      </w:r>
      <w:r>
        <w:t>vedené v usmernení (pozri oddiel 9).</w:t>
      </w:r>
    </w:p>
    <w:p w:rsidR="00E53997" w:rsidRPr="0010552B" w:rsidRDefault="00E53997" w:rsidP="00E53997">
      <w:pPr>
        <w:pStyle w:val="Text1"/>
        <w:spacing w:after="120"/>
        <w:ind w:left="0"/>
        <w:rPr>
          <w:szCs w:val="24"/>
        </w:rPr>
      </w:pPr>
      <w:r>
        <w:t>Na vyjadrenie celkového stanoviska pre druhý cieľ auditu uvedený v usmernení (časť B) sa celková chyba zistená na úrovni fondu, ktorá sa berie do úvahy, skladá zo súčtu týchto chýb:</w:t>
      </w:r>
    </w:p>
    <w:p w:rsidR="003C307E" w:rsidRDefault="003C307E" w:rsidP="001851D3">
      <w:pPr>
        <w:spacing w:after="120"/>
      </w:pPr>
    </w:p>
    <w:p w:rsidR="00C36321" w:rsidRPr="0010552B" w:rsidRDefault="003C307E" w:rsidP="001851D3">
      <w:pPr>
        <w:spacing w:after="120"/>
      </w:pPr>
      <w:r>
        <w:br w:type="page"/>
      </w:r>
    </w:p>
    <w:tbl>
      <w:tblPr>
        <w:tblW w:w="0" w:type="auto"/>
        <w:tblInd w:w="5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68"/>
        <w:gridCol w:w="3230"/>
        <w:gridCol w:w="3260"/>
      </w:tblGrid>
      <w:tr w:rsidR="00E53997" w:rsidRPr="0010552B" w:rsidTr="0037269F">
        <w:tc>
          <w:tcPr>
            <w:tcW w:w="1668" w:type="dxa"/>
          </w:tcPr>
          <w:p w:rsidR="00E53997" w:rsidRPr="0010552B" w:rsidRDefault="00E53997" w:rsidP="0037269F">
            <w:pPr>
              <w:spacing w:after="120"/>
              <w:rPr>
                <w:b/>
                <w:sz w:val="22"/>
                <w:szCs w:val="22"/>
              </w:rPr>
            </w:pPr>
            <w:r>
              <w:rPr>
                <w:b/>
                <w:sz w:val="22"/>
              </w:rPr>
              <w:t>Kroky v rámci auditu</w:t>
            </w:r>
          </w:p>
        </w:tc>
        <w:tc>
          <w:tcPr>
            <w:tcW w:w="3230" w:type="dxa"/>
          </w:tcPr>
          <w:p w:rsidR="00E53997" w:rsidRPr="0010552B" w:rsidRDefault="00E53997" w:rsidP="0037269F">
            <w:pPr>
              <w:spacing w:after="120"/>
              <w:rPr>
                <w:b/>
                <w:sz w:val="22"/>
                <w:szCs w:val="22"/>
              </w:rPr>
            </w:pPr>
            <w:r>
              <w:rPr>
                <w:b/>
                <w:sz w:val="22"/>
              </w:rPr>
              <w:t>Súvislosť s hodnotením chýb</w:t>
            </w:r>
          </w:p>
        </w:tc>
        <w:tc>
          <w:tcPr>
            <w:tcW w:w="3260" w:type="dxa"/>
          </w:tcPr>
          <w:p w:rsidR="00E53997" w:rsidRPr="0010552B" w:rsidRDefault="00E53997" w:rsidP="0037269F">
            <w:pPr>
              <w:spacing w:after="120"/>
              <w:rPr>
                <w:b/>
                <w:sz w:val="22"/>
                <w:szCs w:val="22"/>
              </w:rPr>
            </w:pPr>
            <w:r>
              <w:rPr>
                <w:b/>
                <w:sz w:val="22"/>
              </w:rPr>
              <w:t>Výsledky, ktoré sa budú musieť zohľadniť v rámci celkovej chyby na úrovni fondu</w:t>
            </w:r>
          </w:p>
        </w:tc>
      </w:tr>
      <w:tr w:rsidR="00E53997" w:rsidRPr="0010552B" w:rsidTr="0037269F">
        <w:trPr>
          <w:trHeight w:val="561"/>
        </w:trPr>
        <w:tc>
          <w:tcPr>
            <w:tcW w:w="1668" w:type="dxa"/>
            <w:vMerge w:val="restart"/>
          </w:tcPr>
          <w:p w:rsidR="00E53997" w:rsidRPr="0010552B" w:rsidRDefault="00E53997" w:rsidP="0037269F">
            <w:pPr>
              <w:spacing w:after="120"/>
              <w:rPr>
                <w:sz w:val="22"/>
                <w:szCs w:val="22"/>
              </w:rPr>
            </w:pPr>
            <w:r>
              <w:rPr>
                <w:sz w:val="22"/>
              </w:rPr>
              <w:t>Preskúmanie systému vnútornej kontroly</w:t>
            </w:r>
          </w:p>
        </w:tc>
        <w:tc>
          <w:tcPr>
            <w:tcW w:w="3230" w:type="dxa"/>
          </w:tcPr>
          <w:p w:rsidR="00E53997" w:rsidRPr="0010552B" w:rsidRDefault="00E53997" w:rsidP="0037269F">
            <w:pPr>
              <w:spacing w:after="120"/>
              <w:rPr>
                <w:sz w:val="22"/>
                <w:szCs w:val="22"/>
              </w:rPr>
            </w:pPr>
            <w:r>
              <w:rPr>
                <w:sz w:val="22"/>
              </w:rPr>
              <w:t>akékoľvek finančné chyby vyplývajúce z testovania súladu</w:t>
            </w:r>
          </w:p>
        </w:tc>
        <w:tc>
          <w:tcPr>
            <w:tcW w:w="3260" w:type="dxa"/>
          </w:tcPr>
          <w:p w:rsidR="00E53997" w:rsidRPr="0010552B" w:rsidRDefault="00E53997" w:rsidP="0037269F">
            <w:pPr>
              <w:spacing w:after="120"/>
              <w:rPr>
                <w:sz w:val="22"/>
                <w:szCs w:val="22"/>
              </w:rPr>
            </w:pPr>
            <w:r>
              <w:rPr>
                <w:sz w:val="22"/>
              </w:rPr>
              <w:t>známe chyby</w:t>
            </w:r>
          </w:p>
        </w:tc>
      </w:tr>
      <w:tr w:rsidR="00E53997" w:rsidRPr="0010552B" w:rsidTr="0037269F">
        <w:trPr>
          <w:trHeight w:val="647"/>
        </w:trPr>
        <w:tc>
          <w:tcPr>
            <w:tcW w:w="1668" w:type="dxa"/>
            <w:vMerge/>
          </w:tcPr>
          <w:p w:rsidR="00E53997" w:rsidRPr="0010552B" w:rsidRDefault="00E53997" w:rsidP="0037269F">
            <w:pPr>
              <w:spacing w:after="120"/>
              <w:rPr>
                <w:sz w:val="22"/>
                <w:szCs w:val="22"/>
              </w:rPr>
            </w:pPr>
          </w:p>
        </w:tc>
        <w:tc>
          <w:tcPr>
            <w:tcW w:w="3230" w:type="dxa"/>
          </w:tcPr>
          <w:p w:rsidR="00E53997" w:rsidRPr="0010552B" w:rsidRDefault="00E53997" w:rsidP="0037269F">
            <w:pPr>
              <w:spacing w:after="120"/>
              <w:rPr>
                <w:sz w:val="22"/>
                <w:szCs w:val="22"/>
              </w:rPr>
            </w:pPr>
            <w:r>
              <w:rPr>
                <w:sz w:val="22"/>
              </w:rPr>
              <w:t>formálne chyby vyplývajúce z testovania súladu</w:t>
            </w:r>
          </w:p>
        </w:tc>
        <w:tc>
          <w:tcPr>
            <w:tcW w:w="3260" w:type="dxa"/>
          </w:tcPr>
          <w:p w:rsidR="00E53997" w:rsidRPr="0010552B" w:rsidRDefault="00E53997" w:rsidP="0037269F">
            <w:pPr>
              <w:spacing w:after="120"/>
              <w:rPr>
                <w:sz w:val="22"/>
                <w:szCs w:val="22"/>
              </w:rPr>
            </w:pPr>
            <w:r>
              <w:rPr>
                <w:sz w:val="22"/>
              </w:rPr>
              <w:t>neuvádza sa</w:t>
            </w:r>
          </w:p>
        </w:tc>
      </w:tr>
      <w:tr w:rsidR="00E53997" w:rsidRPr="0010552B" w:rsidTr="0037269F">
        <w:trPr>
          <w:trHeight w:val="466"/>
        </w:trPr>
        <w:tc>
          <w:tcPr>
            <w:tcW w:w="1668" w:type="dxa"/>
            <w:vMerge w:val="restart"/>
          </w:tcPr>
          <w:p w:rsidR="00E53997" w:rsidRPr="0010552B" w:rsidRDefault="00E53997">
            <w:pPr>
              <w:spacing w:after="120"/>
              <w:rPr>
                <w:sz w:val="22"/>
                <w:szCs w:val="22"/>
              </w:rPr>
            </w:pPr>
            <w:r>
              <w:rPr>
                <w:sz w:val="22"/>
              </w:rPr>
              <w:t>Potvrdenie zákonnosti a riadnosti</w:t>
            </w:r>
          </w:p>
        </w:tc>
        <w:tc>
          <w:tcPr>
            <w:tcW w:w="3230" w:type="dxa"/>
          </w:tcPr>
          <w:p w:rsidR="00E53997" w:rsidRPr="0010552B" w:rsidRDefault="00E53997" w:rsidP="0037269F">
            <w:pPr>
              <w:spacing w:after="120"/>
              <w:rPr>
                <w:sz w:val="22"/>
                <w:szCs w:val="22"/>
              </w:rPr>
            </w:pPr>
            <w:r>
              <w:rPr>
                <w:sz w:val="22"/>
              </w:rPr>
              <w:t xml:space="preserve">chyby vyplývajúce z testovania vecnej správnosti – štatistický výber vzorky </w:t>
            </w:r>
          </w:p>
        </w:tc>
        <w:tc>
          <w:tcPr>
            <w:tcW w:w="3260" w:type="dxa"/>
          </w:tcPr>
          <w:p w:rsidR="00E53997" w:rsidRPr="0010552B" w:rsidRDefault="00E53997">
            <w:pPr>
              <w:spacing w:after="120"/>
              <w:rPr>
                <w:sz w:val="22"/>
                <w:szCs w:val="22"/>
              </w:rPr>
            </w:pPr>
            <w:r>
              <w:rPr>
                <w:sz w:val="22"/>
              </w:rPr>
              <w:t>predpokladaná miera nesúladu + známe chyby</w:t>
            </w:r>
          </w:p>
        </w:tc>
      </w:tr>
      <w:tr w:rsidR="00E53997" w:rsidRPr="0010552B" w:rsidTr="0037269F">
        <w:tc>
          <w:tcPr>
            <w:tcW w:w="1668" w:type="dxa"/>
            <w:vMerge/>
          </w:tcPr>
          <w:p w:rsidR="00E53997" w:rsidRPr="0010552B" w:rsidRDefault="00E53997" w:rsidP="0037269F">
            <w:pPr>
              <w:spacing w:after="120"/>
              <w:rPr>
                <w:sz w:val="22"/>
                <w:szCs w:val="22"/>
              </w:rPr>
            </w:pPr>
          </w:p>
        </w:tc>
        <w:tc>
          <w:tcPr>
            <w:tcW w:w="3230" w:type="dxa"/>
          </w:tcPr>
          <w:p w:rsidR="00E53997" w:rsidRPr="0010552B" w:rsidRDefault="00E53997" w:rsidP="0037269F">
            <w:pPr>
              <w:spacing w:after="120"/>
              <w:rPr>
                <w:sz w:val="22"/>
                <w:szCs w:val="22"/>
              </w:rPr>
            </w:pPr>
            <w:r>
              <w:rPr>
                <w:sz w:val="22"/>
              </w:rPr>
              <w:t>iné finančné chyby</w:t>
            </w:r>
          </w:p>
        </w:tc>
        <w:tc>
          <w:tcPr>
            <w:tcW w:w="3260" w:type="dxa"/>
          </w:tcPr>
          <w:p w:rsidR="00E53997" w:rsidRPr="0010552B" w:rsidRDefault="00E53997" w:rsidP="0037269F">
            <w:pPr>
              <w:spacing w:after="120"/>
              <w:rPr>
                <w:sz w:val="22"/>
                <w:szCs w:val="22"/>
              </w:rPr>
            </w:pPr>
            <w:r>
              <w:rPr>
                <w:sz w:val="22"/>
              </w:rPr>
              <w:t>neobvyklé chyby</w:t>
            </w:r>
          </w:p>
        </w:tc>
      </w:tr>
      <w:tr w:rsidR="00E53997" w:rsidRPr="0010552B" w:rsidTr="0037269F">
        <w:tc>
          <w:tcPr>
            <w:tcW w:w="1668" w:type="dxa"/>
          </w:tcPr>
          <w:p w:rsidR="00E53997" w:rsidRPr="0010552B" w:rsidRDefault="00E53997">
            <w:pPr>
              <w:spacing w:after="120"/>
              <w:rPr>
                <w:sz w:val="22"/>
                <w:szCs w:val="22"/>
              </w:rPr>
            </w:pPr>
            <w:r>
              <w:rPr>
                <w:sz w:val="22"/>
              </w:rPr>
              <w:t>Potvrdenie kontrolných štatistík</w:t>
            </w:r>
          </w:p>
        </w:tc>
        <w:tc>
          <w:tcPr>
            <w:tcW w:w="3230" w:type="dxa"/>
          </w:tcPr>
          <w:p w:rsidR="00E53997" w:rsidRPr="0010552B" w:rsidRDefault="00E53997" w:rsidP="0037269F">
            <w:pPr>
              <w:spacing w:after="120"/>
              <w:rPr>
                <w:sz w:val="22"/>
                <w:szCs w:val="22"/>
              </w:rPr>
            </w:pPr>
            <w:r>
              <w:rPr>
                <w:sz w:val="22"/>
              </w:rPr>
              <w:t>finančné chyby zistené pri zosúhlasení</w:t>
            </w:r>
          </w:p>
        </w:tc>
        <w:tc>
          <w:tcPr>
            <w:tcW w:w="3260" w:type="dxa"/>
          </w:tcPr>
          <w:p w:rsidR="00E53997" w:rsidRPr="0010552B" w:rsidRDefault="00E53997" w:rsidP="0037269F">
            <w:pPr>
              <w:spacing w:after="120"/>
              <w:rPr>
                <w:sz w:val="22"/>
                <w:szCs w:val="22"/>
              </w:rPr>
            </w:pPr>
            <w:r>
              <w:rPr>
                <w:sz w:val="22"/>
              </w:rPr>
              <w:t>známe chyby</w:t>
            </w:r>
          </w:p>
        </w:tc>
      </w:tr>
      <w:tr w:rsidR="00E53997" w:rsidRPr="0010552B" w:rsidTr="0037269F">
        <w:tc>
          <w:tcPr>
            <w:tcW w:w="4898" w:type="dxa"/>
            <w:gridSpan w:val="2"/>
          </w:tcPr>
          <w:p w:rsidR="00E53997" w:rsidRPr="0010552B" w:rsidRDefault="00E53997" w:rsidP="0037269F">
            <w:pPr>
              <w:spacing w:after="120"/>
              <w:rPr>
                <w:b/>
                <w:sz w:val="22"/>
                <w:szCs w:val="22"/>
              </w:rPr>
            </w:pPr>
            <w:r>
              <w:rPr>
                <w:b/>
                <w:sz w:val="22"/>
              </w:rPr>
              <w:t>Celkový finančný vplyv</w:t>
            </w:r>
          </w:p>
        </w:tc>
        <w:tc>
          <w:tcPr>
            <w:tcW w:w="3260" w:type="dxa"/>
          </w:tcPr>
          <w:p w:rsidR="00E53997" w:rsidRPr="0010552B" w:rsidRDefault="00E53997" w:rsidP="00866871">
            <w:pPr>
              <w:spacing w:after="120"/>
              <w:rPr>
                <w:i/>
                <w:sz w:val="22"/>
                <w:szCs w:val="22"/>
              </w:rPr>
            </w:pPr>
            <w:r>
              <w:rPr>
                <w:i/>
                <w:sz w:val="22"/>
              </w:rPr>
              <w:t>(súčet uvedených chýb s</w:t>
            </w:r>
            <w:r w:rsidR="00866871">
              <w:rPr>
                <w:i/>
                <w:sz w:val="22"/>
              </w:rPr>
              <w:t> </w:t>
            </w:r>
            <w:r>
              <w:rPr>
                <w:i/>
                <w:sz w:val="22"/>
              </w:rPr>
              <w:t>finančným vplyvom)</w:t>
            </w:r>
          </w:p>
        </w:tc>
      </w:tr>
    </w:tbl>
    <w:p w:rsidR="00E53997" w:rsidRPr="0010552B" w:rsidRDefault="00E53997" w:rsidP="001851D3">
      <w:pPr>
        <w:spacing w:after="120"/>
      </w:pPr>
    </w:p>
    <w:p w:rsidR="00E53997" w:rsidRPr="0010552B" w:rsidRDefault="00E53997" w:rsidP="001851D3">
      <w:pPr>
        <w:spacing w:after="120"/>
      </w:pPr>
      <w:r>
        <w:t xml:space="preserve">Na vydanie stanoviska k tvrdeniam vo vyhlásení hospodáriaceho subjektu (a kontrolných štatistikách) sa musí použiť práca v rámci druhého cieľa, avšak na úrovni súboru, spolu so zosúhlaseniami štatistík. </w:t>
      </w:r>
    </w:p>
    <w:p w:rsidR="00AF0886" w:rsidRPr="0010552B" w:rsidRDefault="00AF0886" w:rsidP="001851D3">
      <w:pPr>
        <w:spacing w:after="120"/>
      </w:pPr>
    </w:p>
    <w:p w:rsidR="00AF0886" w:rsidRDefault="00AF0886" w:rsidP="001851D3">
      <w:pPr>
        <w:spacing w:after="120"/>
      </w:pPr>
      <w:r>
        <w:t>Príloha: Príloha 5.1 – Hodnotenie chýb</w:t>
      </w:r>
    </w:p>
    <w:p w:rsidR="00434FDF" w:rsidRDefault="007321C8" w:rsidP="00C419C2">
      <w:pPr>
        <w:spacing w:after="120"/>
      </w:pPr>
      <w:r>
        <w:object w:dxaOrig="1531" w:dyaOrig="990">
          <v:shape id="_x0000_i1032" type="#_x0000_t75" style="width:76.75pt;height:49.6pt" o:ole="">
            <v:imagedata r:id="rId19" o:title=""/>
          </v:shape>
          <o:OLEObject Type="Embed" ProgID="Excel.Sheet.12" ShapeID="_x0000_i1032" DrawAspect="Icon" ObjectID="_1565431415" r:id="rId20"/>
        </w:object>
      </w:r>
      <w:bookmarkStart w:id="0" w:name="_GoBack"/>
      <w:bookmarkEnd w:id="0"/>
    </w:p>
    <w:sectPr w:rsidR="00434FDF" w:rsidSect="005003D4">
      <w:pgSz w:w="11906" w:h="16838"/>
      <w:pgMar w:top="1020" w:right="1701" w:bottom="1020" w:left="1587" w:header="601" w:footer="107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4E74" w:rsidRDefault="00BF4E74">
      <w:r>
        <w:separator/>
      </w:r>
    </w:p>
  </w:endnote>
  <w:endnote w:type="continuationSeparator" w:id="0">
    <w:p w:rsidR="00BF4E74" w:rsidRDefault="00BF4E74">
      <w:r>
        <w:continuationSeparator/>
      </w:r>
    </w:p>
  </w:endnote>
  <w:endnote w:type="continuationNotice" w:id="1">
    <w:p w:rsidR="00BF4E74" w:rsidRDefault="00BF4E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E74" w:rsidRDefault="00BF4E74">
    <w:pPr>
      <w:pStyle w:val="Footer"/>
      <w:jc w:val="center"/>
    </w:pPr>
    <w:r>
      <w:fldChar w:fldCharType="begin"/>
    </w:r>
    <w:r>
      <w:instrText>PAGE</w:instrText>
    </w:r>
    <w:r>
      <w:fldChar w:fldCharType="separate"/>
    </w:r>
    <w:r w:rsidR="007321C8">
      <w:rPr>
        <w:noProof/>
      </w:rPr>
      <w:t>14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E74" w:rsidRDefault="00BF4E74">
    <w:pPr>
      <w:pStyle w:val="Footer"/>
      <w:rPr>
        <w:sz w:val="24"/>
        <w:szCs w:val="24"/>
      </w:rPr>
    </w:pPr>
  </w:p>
  <w:p w:rsidR="00BF4E74" w:rsidRDefault="00BF4E74" w:rsidP="001354CA">
    <w:pPr>
      <w:pStyle w:val="Footer"/>
    </w:pPr>
    <w:r>
      <w:br/>
    </w:r>
    <w:r>
      <w:br/>
    </w:r>
    <w:r>
      <w:br/>
    </w:r>
  </w:p>
  <w:p w:rsidR="00BF4E74" w:rsidRDefault="00BF4E74" w:rsidP="001354CA">
    <w:pPr>
      <w:pStyle w:val="Footer"/>
    </w:pPr>
    <w:r>
      <w:t>Commission européenne, B-1049 Bruxelles/Europese Commissie, B-1049 Brussel – Belgium. Telefón: +32 2 299 1111</w:t>
    </w:r>
  </w:p>
  <w:p w:rsidR="00BF4E74" w:rsidRPr="00266117" w:rsidRDefault="00BF4E74" w:rsidP="001354CA">
    <w:pPr>
      <w:pStyle w:val="Footer"/>
    </w:pPr>
    <w:r>
      <w:t>Funkčná e-mailová schránka: AGRI-FINANCIAL-AUDIT@ec.europa.eu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4E74" w:rsidRDefault="00BF4E74">
      <w:r>
        <w:separator/>
      </w:r>
    </w:p>
  </w:footnote>
  <w:footnote w:type="continuationSeparator" w:id="0">
    <w:p w:rsidR="00BF4E74" w:rsidRDefault="00BF4E74">
      <w:r>
        <w:continuationSeparator/>
      </w:r>
    </w:p>
  </w:footnote>
  <w:footnote w:type="continuationNotice" w:id="1">
    <w:p w:rsidR="00BF4E74" w:rsidRDefault="00BF4E74">
      <w:pPr>
        <w:spacing w:after="0"/>
      </w:pPr>
    </w:p>
  </w:footnote>
  <w:footnote w:id="2">
    <w:p w:rsidR="00BF4E74" w:rsidRPr="00C924E5" w:rsidRDefault="00BF4E74" w:rsidP="001354CA">
      <w:pPr>
        <w:pStyle w:val="FootnoteText"/>
      </w:pPr>
      <w:r>
        <w:rPr>
          <w:rStyle w:val="FootnoteReference"/>
        </w:rPr>
        <w:footnoteRef/>
      </w:r>
      <w:r>
        <w:t xml:space="preserve"> </w:t>
      </w:r>
      <w:r>
        <w:tab/>
        <w:t>Európske vykonávacie usmernenie k audítorským štandardom INTOSAI č. 21 „Hodnotenie vnútornej kontroly a test kontrol“.</w:t>
      </w:r>
    </w:p>
  </w:footnote>
  <w:footnote w:id="3">
    <w:p w:rsidR="00023C64" w:rsidRPr="003C307E" w:rsidRDefault="00023C64" w:rsidP="003C307E">
      <w:pPr>
        <w:pStyle w:val="Default"/>
        <w:rPr>
          <w:sz w:val="20"/>
          <w:szCs w:val="20"/>
        </w:rPr>
      </w:pPr>
      <w:r>
        <w:rPr>
          <w:rStyle w:val="FootnoteReference"/>
          <w:sz w:val="20"/>
        </w:rPr>
        <w:footnoteRef/>
      </w:r>
      <w:r>
        <w:rPr>
          <w:sz w:val="20"/>
        </w:rPr>
        <w:t xml:space="preserve"> </w:t>
      </w:r>
      <w:r>
        <w:rPr>
          <w:sz w:val="20"/>
        </w:rPr>
        <w:t>V súlade s Usmerneniami k predkladaniu kontrolných údajov a kontrolných štatistík týkajúcich sa režimov priamych platieb a opatrení na rozvoj vidieka na rok nároku 2017 predstavuje pole C559 hodnotu množstva zisteného na základe administratívnych kontrol a/alebo kontrol na mieste, a to pred zahrnutím pokút.</w:t>
      </w:r>
    </w:p>
  </w:footnote>
  <w:footnote w:id="4">
    <w:p w:rsidR="00BF4E74" w:rsidRDefault="00BF4E74" w:rsidP="00161F60">
      <w:pPr>
        <w:pStyle w:val="FootnoteText"/>
      </w:pPr>
      <w:r>
        <w:rPr>
          <w:rStyle w:val="FootnoteReference"/>
        </w:rPr>
        <w:footnoteRef/>
      </w:r>
      <w:r>
        <w:t xml:space="preserve"> </w:t>
      </w:r>
      <w:r>
        <w:t>Výška výdavkov určená po všetkých kontrolách vykonaných</w:t>
      </w:r>
      <w:r w:rsidR="00866871">
        <w:t xml:space="preserve"> platobnou agentúrou, uvedená v </w:t>
      </w:r>
      <w:r>
        <w:t>databáze/záznamoch a uhradená a) – C559.</w:t>
      </w:r>
    </w:p>
  </w:footnote>
  <w:footnote w:id="5">
    <w:p w:rsidR="00BF4E74" w:rsidRDefault="00BF4E74" w:rsidP="00B91480">
      <w:pPr>
        <w:pStyle w:val="FootnoteText"/>
      </w:pPr>
      <w:r>
        <w:rPr>
          <w:rStyle w:val="FootnoteReference"/>
        </w:rPr>
        <w:footnoteRef/>
      </w:r>
      <w:r>
        <w:t xml:space="preserve"> </w:t>
      </w:r>
      <w:r>
        <w:t>Výška výdavkov určená po všetkých kontrolách vykonaných</w:t>
      </w:r>
      <w:r w:rsidR="00866871">
        <w:t xml:space="preserve"> platobnou agentúrou, uvedená v </w:t>
      </w:r>
      <w:r>
        <w:t>databáze/záznamoch a uhradená a) – C559.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4E74" w:rsidRDefault="00BF4E74">
    <w:pPr>
      <w:pStyle w:val="Header"/>
      <w:spacing w:after="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13F"/>
      </v:shape>
    </w:pict>
  </w:numPicBullet>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7F"/>
    <w:multiLevelType w:val="singleLevel"/>
    <w:tmpl w:val="EF9A9C7C"/>
    <w:lvl w:ilvl="0">
      <w:start w:val="1"/>
      <w:numFmt w:val="decimal"/>
      <w:lvlText w:val="%1."/>
      <w:lvlJc w:val="left"/>
      <w:pPr>
        <w:tabs>
          <w:tab w:val="num" w:pos="643"/>
        </w:tabs>
        <w:ind w:left="643" w:hanging="360"/>
      </w:pPr>
    </w:lvl>
  </w:abstractNum>
  <w:abstractNum w:abstractNumId="2">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3">
    <w:nsid w:val="02A527B5"/>
    <w:multiLevelType w:val="hybridMultilevel"/>
    <w:tmpl w:val="C32CFC12"/>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B3A6DE6"/>
    <w:multiLevelType w:val="hybridMultilevel"/>
    <w:tmpl w:val="6368EFDA"/>
    <w:lvl w:ilvl="0" w:tplc="5C4E79B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BD92705"/>
    <w:multiLevelType w:val="multilevel"/>
    <w:tmpl w:val="B3C66522"/>
    <w:lvl w:ilvl="0">
      <w:start w:val="1"/>
      <w:numFmt w:val="decimal"/>
      <w:lvlText w:val="%1."/>
      <w:lvlJc w:val="left"/>
      <w:pPr>
        <w:tabs>
          <w:tab w:val="num" w:pos="480"/>
        </w:tabs>
        <w:ind w:left="480" w:hanging="480"/>
      </w:pPr>
      <w:rPr>
        <w:rFonts w:hint="default"/>
        <w:b/>
        <w:i w:val="0"/>
      </w:rPr>
    </w:lvl>
    <w:lvl w:ilvl="1">
      <w:start w:val="3"/>
      <w:numFmt w:val="decimal"/>
      <w:lvlText w:val="%1.%2."/>
      <w:lvlJc w:val="left"/>
      <w:pPr>
        <w:tabs>
          <w:tab w:val="num" w:pos="1080"/>
        </w:tabs>
        <w:ind w:left="1080" w:hanging="600"/>
      </w:pPr>
      <w:rPr>
        <w:rFonts w:hint="default"/>
        <w:b/>
      </w:rPr>
    </w:lvl>
    <w:lvl w:ilvl="2">
      <w:start w:val="10"/>
      <w:numFmt w:val="decimal"/>
      <w:lvlText w:val="%1.%2.%3."/>
      <w:lvlJc w:val="left"/>
      <w:pPr>
        <w:tabs>
          <w:tab w:val="num" w:pos="1407"/>
        </w:tabs>
        <w:ind w:left="1407" w:hanging="840"/>
      </w:pPr>
      <w:rPr>
        <w:rFonts w:hint="default"/>
        <w:b/>
      </w:rPr>
    </w:lvl>
    <w:lvl w:ilvl="3">
      <w:start w:val="4"/>
      <w:numFmt w:val="decimal"/>
      <w:lvlText w:val="%1.%2.%3.%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nsid w:val="19091510"/>
    <w:multiLevelType w:val="multilevel"/>
    <w:tmpl w:val="82C8A14A"/>
    <w:lvl w:ilvl="0">
      <w:start w:val="2"/>
      <w:numFmt w:val="decimal"/>
      <w:lvlText w:val="%1."/>
      <w:lvlJc w:val="left"/>
      <w:pPr>
        <w:tabs>
          <w:tab w:val="num" w:pos="480"/>
        </w:tabs>
        <w:ind w:left="480" w:hanging="480"/>
      </w:pPr>
      <w:rPr>
        <w:rFonts w:hint="default"/>
        <w:b/>
      </w:rPr>
    </w:lvl>
    <w:lvl w:ilvl="1">
      <w:start w:val="2"/>
      <w:numFmt w:val="decimal"/>
      <w:lvlText w:val="%1.%2."/>
      <w:lvlJc w:val="left"/>
      <w:pPr>
        <w:tabs>
          <w:tab w:val="num" w:pos="1080"/>
        </w:tabs>
        <w:ind w:left="1080" w:hanging="600"/>
      </w:pPr>
      <w:rPr>
        <w:rFonts w:hint="default"/>
        <w:b/>
      </w:rPr>
    </w:lvl>
    <w:lvl w:ilvl="2">
      <w:start w:val="1"/>
      <w:numFmt w:val="decimal"/>
      <w:lvlText w:val="%1.%2.%3."/>
      <w:lvlJc w:val="left"/>
      <w:pPr>
        <w:tabs>
          <w:tab w:val="num" w:pos="1407"/>
        </w:tabs>
        <w:ind w:left="1407" w:hanging="840"/>
      </w:pPr>
      <w:rPr>
        <w:rFonts w:hint="default"/>
        <w:b w:val="0"/>
      </w:rPr>
    </w:lvl>
    <w:lvl w:ilvl="3">
      <w:start w:val="1"/>
      <w:numFmt w:val="lowerLetter"/>
      <w:lvlText w:val="%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A3D4090"/>
    <w:multiLevelType w:val="hybridMultilevel"/>
    <w:tmpl w:val="42007C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BAE2762"/>
    <w:multiLevelType w:val="hybridMultilevel"/>
    <w:tmpl w:val="1ED89146"/>
    <w:lvl w:ilvl="0" w:tplc="08090001">
      <w:start w:val="1"/>
      <w:numFmt w:val="bullet"/>
      <w:lvlText w:val=""/>
      <w:lvlJc w:val="left"/>
      <w:pPr>
        <w:ind w:left="2175" w:hanging="360"/>
      </w:pPr>
      <w:rPr>
        <w:rFonts w:ascii="Symbol" w:hAnsi="Symbol" w:hint="default"/>
      </w:rPr>
    </w:lvl>
    <w:lvl w:ilvl="1" w:tplc="08090003" w:tentative="1">
      <w:start w:val="1"/>
      <w:numFmt w:val="bullet"/>
      <w:lvlText w:val="o"/>
      <w:lvlJc w:val="left"/>
      <w:pPr>
        <w:ind w:left="2895" w:hanging="360"/>
      </w:pPr>
      <w:rPr>
        <w:rFonts w:ascii="Courier New" w:hAnsi="Courier New" w:cs="Courier New" w:hint="default"/>
      </w:rPr>
    </w:lvl>
    <w:lvl w:ilvl="2" w:tplc="08090005" w:tentative="1">
      <w:start w:val="1"/>
      <w:numFmt w:val="bullet"/>
      <w:lvlText w:val=""/>
      <w:lvlJc w:val="left"/>
      <w:pPr>
        <w:ind w:left="3615" w:hanging="360"/>
      </w:pPr>
      <w:rPr>
        <w:rFonts w:ascii="Wingdings" w:hAnsi="Wingdings" w:hint="default"/>
      </w:rPr>
    </w:lvl>
    <w:lvl w:ilvl="3" w:tplc="08090001" w:tentative="1">
      <w:start w:val="1"/>
      <w:numFmt w:val="bullet"/>
      <w:lvlText w:val=""/>
      <w:lvlJc w:val="left"/>
      <w:pPr>
        <w:ind w:left="4335" w:hanging="360"/>
      </w:pPr>
      <w:rPr>
        <w:rFonts w:ascii="Symbol" w:hAnsi="Symbol" w:hint="default"/>
      </w:rPr>
    </w:lvl>
    <w:lvl w:ilvl="4" w:tplc="08090003" w:tentative="1">
      <w:start w:val="1"/>
      <w:numFmt w:val="bullet"/>
      <w:lvlText w:val="o"/>
      <w:lvlJc w:val="left"/>
      <w:pPr>
        <w:ind w:left="5055" w:hanging="360"/>
      </w:pPr>
      <w:rPr>
        <w:rFonts w:ascii="Courier New" w:hAnsi="Courier New" w:cs="Courier New" w:hint="default"/>
      </w:rPr>
    </w:lvl>
    <w:lvl w:ilvl="5" w:tplc="08090005" w:tentative="1">
      <w:start w:val="1"/>
      <w:numFmt w:val="bullet"/>
      <w:lvlText w:val=""/>
      <w:lvlJc w:val="left"/>
      <w:pPr>
        <w:ind w:left="5775" w:hanging="360"/>
      </w:pPr>
      <w:rPr>
        <w:rFonts w:ascii="Wingdings" w:hAnsi="Wingdings" w:hint="default"/>
      </w:rPr>
    </w:lvl>
    <w:lvl w:ilvl="6" w:tplc="08090001" w:tentative="1">
      <w:start w:val="1"/>
      <w:numFmt w:val="bullet"/>
      <w:lvlText w:val=""/>
      <w:lvlJc w:val="left"/>
      <w:pPr>
        <w:ind w:left="6495" w:hanging="360"/>
      </w:pPr>
      <w:rPr>
        <w:rFonts w:ascii="Symbol" w:hAnsi="Symbol" w:hint="default"/>
      </w:rPr>
    </w:lvl>
    <w:lvl w:ilvl="7" w:tplc="08090003" w:tentative="1">
      <w:start w:val="1"/>
      <w:numFmt w:val="bullet"/>
      <w:lvlText w:val="o"/>
      <w:lvlJc w:val="left"/>
      <w:pPr>
        <w:ind w:left="7215" w:hanging="360"/>
      </w:pPr>
      <w:rPr>
        <w:rFonts w:ascii="Courier New" w:hAnsi="Courier New" w:cs="Courier New" w:hint="default"/>
      </w:rPr>
    </w:lvl>
    <w:lvl w:ilvl="8" w:tplc="08090005" w:tentative="1">
      <w:start w:val="1"/>
      <w:numFmt w:val="bullet"/>
      <w:lvlText w:val=""/>
      <w:lvlJc w:val="left"/>
      <w:pPr>
        <w:ind w:left="7935" w:hanging="360"/>
      </w:pPr>
      <w:rPr>
        <w:rFonts w:ascii="Wingdings" w:hAnsi="Wingdings" w:hint="default"/>
      </w:rPr>
    </w:lvl>
  </w:abstractNum>
  <w:abstractNum w:abstractNumId="11">
    <w:nsid w:val="22164D69"/>
    <w:multiLevelType w:val="hybridMultilevel"/>
    <w:tmpl w:val="F7E488C2"/>
    <w:lvl w:ilvl="0" w:tplc="8B3AD32C">
      <w:start w:val="1"/>
      <w:numFmt w:val="bullet"/>
      <w:lvlText w:val="-"/>
      <w:lvlJc w:val="left"/>
      <w:pPr>
        <w:ind w:left="1440" w:hanging="360"/>
      </w:pPr>
      <w:rPr>
        <w:rFonts w:ascii="Courier New" w:hAnsi="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3">
    <w:nsid w:val="24E229C4"/>
    <w:multiLevelType w:val="hybridMultilevel"/>
    <w:tmpl w:val="167866CE"/>
    <w:lvl w:ilvl="0" w:tplc="2280FCE2">
      <w:start w:val="1"/>
      <w:numFmt w:val="bullet"/>
      <w:pStyle w:val="ListBullet3"/>
      <w:lvlText w:val=""/>
      <w:lvlJc w:val="left"/>
      <w:pPr>
        <w:tabs>
          <w:tab w:val="num" w:pos="2199"/>
        </w:tabs>
        <w:ind w:left="2199" w:hanging="283"/>
      </w:pPr>
      <w:rPr>
        <w:rFonts w:ascii="Symbol" w:hAnsi="Symbol"/>
      </w:rPr>
    </w:lvl>
    <w:lvl w:ilvl="1" w:tplc="0AA47BB2" w:tentative="1">
      <w:start w:val="1"/>
      <w:numFmt w:val="bullet"/>
      <w:lvlText w:val="o"/>
      <w:lvlJc w:val="left"/>
      <w:pPr>
        <w:tabs>
          <w:tab w:val="num" w:pos="1440"/>
        </w:tabs>
        <w:ind w:left="1440" w:hanging="360"/>
      </w:pPr>
      <w:rPr>
        <w:rFonts w:ascii="Courier New" w:hAnsi="Courier New" w:cs="Arial" w:hint="default"/>
      </w:rPr>
    </w:lvl>
    <w:lvl w:ilvl="2" w:tplc="E1BEF428" w:tentative="1">
      <w:start w:val="1"/>
      <w:numFmt w:val="bullet"/>
      <w:lvlText w:val=""/>
      <w:lvlJc w:val="left"/>
      <w:pPr>
        <w:tabs>
          <w:tab w:val="num" w:pos="2160"/>
        </w:tabs>
        <w:ind w:left="2160" w:hanging="360"/>
      </w:pPr>
      <w:rPr>
        <w:rFonts w:ascii="Wingdings" w:hAnsi="Wingdings" w:hint="default"/>
      </w:rPr>
    </w:lvl>
    <w:lvl w:ilvl="3" w:tplc="45149E0E" w:tentative="1">
      <w:start w:val="1"/>
      <w:numFmt w:val="bullet"/>
      <w:lvlText w:val=""/>
      <w:lvlJc w:val="left"/>
      <w:pPr>
        <w:tabs>
          <w:tab w:val="num" w:pos="2880"/>
        </w:tabs>
        <w:ind w:left="2880" w:hanging="360"/>
      </w:pPr>
      <w:rPr>
        <w:rFonts w:ascii="Symbol" w:hAnsi="Symbol" w:hint="default"/>
      </w:rPr>
    </w:lvl>
    <w:lvl w:ilvl="4" w:tplc="2FE6D634" w:tentative="1">
      <w:start w:val="1"/>
      <w:numFmt w:val="bullet"/>
      <w:lvlText w:val="o"/>
      <w:lvlJc w:val="left"/>
      <w:pPr>
        <w:tabs>
          <w:tab w:val="num" w:pos="3600"/>
        </w:tabs>
        <w:ind w:left="3600" w:hanging="360"/>
      </w:pPr>
      <w:rPr>
        <w:rFonts w:ascii="Courier New" w:hAnsi="Courier New" w:cs="Arial" w:hint="default"/>
      </w:rPr>
    </w:lvl>
    <w:lvl w:ilvl="5" w:tplc="357E77B6" w:tentative="1">
      <w:start w:val="1"/>
      <w:numFmt w:val="bullet"/>
      <w:lvlText w:val=""/>
      <w:lvlJc w:val="left"/>
      <w:pPr>
        <w:tabs>
          <w:tab w:val="num" w:pos="4320"/>
        </w:tabs>
        <w:ind w:left="4320" w:hanging="360"/>
      </w:pPr>
      <w:rPr>
        <w:rFonts w:ascii="Wingdings" w:hAnsi="Wingdings" w:hint="default"/>
      </w:rPr>
    </w:lvl>
    <w:lvl w:ilvl="6" w:tplc="22683514" w:tentative="1">
      <w:start w:val="1"/>
      <w:numFmt w:val="bullet"/>
      <w:lvlText w:val=""/>
      <w:lvlJc w:val="left"/>
      <w:pPr>
        <w:tabs>
          <w:tab w:val="num" w:pos="5040"/>
        </w:tabs>
        <w:ind w:left="5040" w:hanging="360"/>
      </w:pPr>
      <w:rPr>
        <w:rFonts w:ascii="Symbol" w:hAnsi="Symbol" w:hint="default"/>
      </w:rPr>
    </w:lvl>
    <w:lvl w:ilvl="7" w:tplc="AF26EFDC" w:tentative="1">
      <w:start w:val="1"/>
      <w:numFmt w:val="bullet"/>
      <w:lvlText w:val="o"/>
      <w:lvlJc w:val="left"/>
      <w:pPr>
        <w:tabs>
          <w:tab w:val="num" w:pos="5760"/>
        </w:tabs>
        <w:ind w:left="5760" w:hanging="360"/>
      </w:pPr>
      <w:rPr>
        <w:rFonts w:ascii="Courier New" w:hAnsi="Courier New" w:cs="Arial" w:hint="default"/>
      </w:rPr>
    </w:lvl>
    <w:lvl w:ilvl="8" w:tplc="668219DA" w:tentative="1">
      <w:start w:val="1"/>
      <w:numFmt w:val="bullet"/>
      <w:lvlText w:val=""/>
      <w:lvlJc w:val="left"/>
      <w:pPr>
        <w:tabs>
          <w:tab w:val="num" w:pos="6480"/>
        </w:tabs>
        <w:ind w:left="6480" w:hanging="360"/>
      </w:pPr>
      <w:rPr>
        <w:rFonts w:ascii="Wingdings" w:hAnsi="Wingdings" w:hint="default"/>
      </w:rPr>
    </w:lvl>
  </w:abstractNum>
  <w:abstractNum w:abstractNumId="14">
    <w:nsid w:val="257538FC"/>
    <w:multiLevelType w:val="multilevel"/>
    <w:tmpl w:val="FA264286"/>
    <w:lvl w:ilvl="0">
      <w:start w:val="3"/>
      <w:numFmt w:val="decimal"/>
      <w:lvlText w:val="%1."/>
      <w:lvlJc w:val="left"/>
      <w:pPr>
        <w:tabs>
          <w:tab w:val="num" w:pos="480"/>
        </w:tabs>
        <w:ind w:left="480" w:hanging="480"/>
      </w:pPr>
      <w:rPr>
        <w:rFonts w:hint="default"/>
        <w:b/>
      </w:rPr>
    </w:lvl>
    <w:lvl w:ilvl="1">
      <w:start w:val="1"/>
      <w:numFmt w:val="decimal"/>
      <w:lvlText w:val="%1.%2."/>
      <w:lvlJc w:val="left"/>
      <w:pPr>
        <w:tabs>
          <w:tab w:val="num" w:pos="1080"/>
        </w:tabs>
        <w:ind w:left="1080" w:hanging="600"/>
      </w:pPr>
      <w:rPr>
        <w:rFonts w:hint="default"/>
        <w:b/>
        <w:i w:val="0"/>
      </w:rPr>
    </w:lvl>
    <w:lvl w:ilvl="2">
      <w:start w:val="2"/>
      <w:numFmt w:val="decimal"/>
      <w:lvlText w:val="%1.%2.%3."/>
      <w:lvlJc w:val="left"/>
      <w:pPr>
        <w:tabs>
          <w:tab w:val="num" w:pos="1407"/>
        </w:tabs>
        <w:ind w:left="1407" w:hanging="840"/>
      </w:pPr>
      <w:rPr>
        <w:rFonts w:hint="default"/>
        <w:b/>
      </w:rPr>
    </w:lvl>
    <w:lvl w:ilvl="3">
      <w:start w:val="1"/>
      <w:numFmt w:val="decimal"/>
      <w:lvlText w:val="%1.%2.%3.%4."/>
      <w:lvlJc w:val="left"/>
      <w:pPr>
        <w:tabs>
          <w:tab w:val="num" w:pos="3229"/>
        </w:tabs>
        <w:ind w:left="3229" w:hanging="960"/>
      </w:pPr>
      <w:rPr>
        <w:rFonts w:hint="default"/>
        <w:b/>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577787F"/>
    <w:multiLevelType w:val="hybridMultilevel"/>
    <w:tmpl w:val="67408868"/>
    <w:lvl w:ilvl="0" w:tplc="8C10BD94">
      <w:start w:val="1"/>
      <w:numFmt w:val="bullet"/>
      <w:lvlText w:val=""/>
      <w:lvlJc w:val="left"/>
      <w:pPr>
        <w:ind w:left="1800" w:hanging="360"/>
      </w:pPr>
      <w:rPr>
        <w:rFonts w:ascii="Symbol" w:hAnsi="Symbol"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6">
    <w:nsid w:val="26D57B6D"/>
    <w:multiLevelType w:val="hybridMultilevel"/>
    <w:tmpl w:val="D32619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B6D33AC"/>
    <w:multiLevelType w:val="hybridMultilevel"/>
    <w:tmpl w:val="320440C2"/>
    <w:lvl w:ilvl="0" w:tplc="0809000D">
      <w:start w:val="1"/>
      <w:numFmt w:val="bullet"/>
      <w:lvlText w:val=""/>
      <w:lvlJc w:val="left"/>
      <w:pPr>
        <w:ind w:left="2171" w:hanging="360"/>
      </w:pPr>
      <w:rPr>
        <w:rFonts w:ascii="Wingdings" w:hAnsi="Wingdings" w:hint="default"/>
      </w:rPr>
    </w:lvl>
    <w:lvl w:ilvl="1" w:tplc="08090003" w:tentative="1">
      <w:start w:val="1"/>
      <w:numFmt w:val="bullet"/>
      <w:lvlText w:val="o"/>
      <w:lvlJc w:val="left"/>
      <w:pPr>
        <w:ind w:left="2891" w:hanging="360"/>
      </w:pPr>
      <w:rPr>
        <w:rFonts w:ascii="Courier New" w:hAnsi="Courier New" w:cs="Arial"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Arial"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Arial" w:hint="default"/>
      </w:rPr>
    </w:lvl>
    <w:lvl w:ilvl="8" w:tplc="08090005" w:tentative="1">
      <w:start w:val="1"/>
      <w:numFmt w:val="bullet"/>
      <w:lvlText w:val=""/>
      <w:lvlJc w:val="left"/>
      <w:pPr>
        <w:ind w:left="7931" w:hanging="360"/>
      </w:pPr>
      <w:rPr>
        <w:rFonts w:ascii="Wingdings" w:hAnsi="Wingdings" w:hint="default"/>
      </w:rPr>
    </w:lvl>
  </w:abstractNum>
  <w:abstractNum w:abstractNumId="18">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9">
    <w:nsid w:val="2DBD62E6"/>
    <w:multiLevelType w:val="hybridMultilevel"/>
    <w:tmpl w:val="3A623F02"/>
    <w:lvl w:ilvl="0" w:tplc="8C10BD94">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20">
    <w:nsid w:val="2DFF3FB6"/>
    <w:multiLevelType w:val="hybridMultilevel"/>
    <w:tmpl w:val="C32CFC12"/>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nsid w:val="2ED903EC"/>
    <w:multiLevelType w:val="hybridMultilevel"/>
    <w:tmpl w:val="6214286C"/>
    <w:lvl w:ilvl="0" w:tplc="08090001">
      <w:start w:val="1"/>
      <w:numFmt w:val="bullet"/>
      <w:lvlText w:val=""/>
      <w:lvlJc w:val="left"/>
      <w:pPr>
        <w:ind w:left="1797" w:hanging="360"/>
      </w:pPr>
      <w:rPr>
        <w:rFonts w:ascii="Symbol" w:hAnsi="Symbol" w:hint="default"/>
      </w:rPr>
    </w:lvl>
    <w:lvl w:ilvl="1" w:tplc="08090003" w:tentative="1">
      <w:start w:val="1"/>
      <w:numFmt w:val="bullet"/>
      <w:lvlText w:val="o"/>
      <w:lvlJc w:val="left"/>
      <w:pPr>
        <w:ind w:left="2517" w:hanging="360"/>
      </w:pPr>
      <w:rPr>
        <w:rFonts w:ascii="Courier New" w:hAnsi="Courier New" w:cs="Courier New"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22">
    <w:nsid w:val="33EB758C"/>
    <w:multiLevelType w:val="hybridMultilevel"/>
    <w:tmpl w:val="63902146"/>
    <w:lvl w:ilvl="0" w:tplc="08090017">
      <w:start w:val="1"/>
      <w:numFmt w:val="lowerLetter"/>
      <w:lvlText w:val="%1)"/>
      <w:lvlJc w:val="left"/>
      <w:pPr>
        <w:ind w:left="1451" w:hanging="360"/>
      </w:pPr>
    </w:lvl>
    <w:lvl w:ilvl="1" w:tplc="08090019" w:tentative="1">
      <w:start w:val="1"/>
      <w:numFmt w:val="lowerLetter"/>
      <w:lvlText w:val="%2."/>
      <w:lvlJc w:val="left"/>
      <w:pPr>
        <w:ind w:left="2171" w:hanging="360"/>
      </w:pPr>
    </w:lvl>
    <w:lvl w:ilvl="2" w:tplc="0809001B" w:tentative="1">
      <w:start w:val="1"/>
      <w:numFmt w:val="lowerRoman"/>
      <w:lvlText w:val="%3."/>
      <w:lvlJc w:val="right"/>
      <w:pPr>
        <w:ind w:left="2891" w:hanging="180"/>
      </w:pPr>
    </w:lvl>
    <w:lvl w:ilvl="3" w:tplc="0809000F" w:tentative="1">
      <w:start w:val="1"/>
      <w:numFmt w:val="decimal"/>
      <w:lvlText w:val="%4."/>
      <w:lvlJc w:val="left"/>
      <w:pPr>
        <w:ind w:left="3611" w:hanging="360"/>
      </w:pPr>
    </w:lvl>
    <w:lvl w:ilvl="4" w:tplc="08090019" w:tentative="1">
      <w:start w:val="1"/>
      <w:numFmt w:val="lowerLetter"/>
      <w:lvlText w:val="%5."/>
      <w:lvlJc w:val="left"/>
      <w:pPr>
        <w:ind w:left="4331" w:hanging="360"/>
      </w:pPr>
    </w:lvl>
    <w:lvl w:ilvl="5" w:tplc="0809001B" w:tentative="1">
      <w:start w:val="1"/>
      <w:numFmt w:val="lowerRoman"/>
      <w:lvlText w:val="%6."/>
      <w:lvlJc w:val="right"/>
      <w:pPr>
        <w:ind w:left="5051" w:hanging="180"/>
      </w:pPr>
    </w:lvl>
    <w:lvl w:ilvl="6" w:tplc="0809000F" w:tentative="1">
      <w:start w:val="1"/>
      <w:numFmt w:val="decimal"/>
      <w:lvlText w:val="%7."/>
      <w:lvlJc w:val="left"/>
      <w:pPr>
        <w:ind w:left="5771" w:hanging="360"/>
      </w:pPr>
    </w:lvl>
    <w:lvl w:ilvl="7" w:tplc="08090019" w:tentative="1">
      <w:start w:val="1"/>
      <w:numFmt w:val="lowerLetter"/>
      <w:lvlText w:val="%8."/>
      <w:lvlJc w:val="left"/>
      <w:pPr>
        <w:ind w:left="6491" w:hanging="360"/>
      </w:pPr>
    </w:lvl>
    <w:lvl w:ilvl="8" w:tplc="0809001B" w:tentative="1">
      <w:start w:val="1"/>
      <w:numFmt w:val="lowerRoman"/>
      <w:lvlText w:val="%9."/>
      <w:lvlJc w:val="right"/>
      <w:pPr>
        <w:ind w:left="7211" w:hanging="180"/>
      </w:pPr>
    </w:lvl>
  </w:abstractNum>
  <w:abstractNum w:abstractNumId="23">
    <w:nsid w:val="35320145"/>
    <w:multiLevelType w:val="hybridMultilevel"/>
    <w:tmpl w:val="876253D6"/>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8A310D7"/>
    <w:multiLevelType w:val="hybridMultilevel"/>
    <w:tmpl w:val="89867746"/>
    <w:lvl w:ilvl="0" w:tplc="8C10BD94">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Arial"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Arial"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Arial" w:hint="default"/>
      </w:rPr>
    </w:lvl>
    <w:lvl w:ilvl="8" w:tplc="08090005" w:tentative="1">
      <w:start w:val="1"/>
      <w:numFmt w:val="bullet"/>
      <w:lvlText w:val=""/>
      <w:lvlJc w:val="left"/>
      <w:pPr>
        <w:ind w:left="6540" w:hanging="360"/>
      </w:pPr>
      <w:rPr>
        <w:rFonts w:ascii="Wingdings" w:hAnsi="Wingdings" w:hint="default"/>
      </w:rPr>
    </w:lvl>
  </w:abstractNum>
  <w:abstractNum w:abstractNumId="25">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26">
    <w:nsid w:val="3BD4798E"/>
    <w:multiLevelType w:val="hybridMultilevel"/>
    <w:tmpl w:val="095A3A10"/>
    <w:lvl w:ilvl="0" w:tplc="0809000B">
      <w:start w:val="1"/>
      <w:numFmt w:val="bullet"/>
      <w:lvlText w:val=""/>
      <w:lvlJc w:val="left"/>
      <w:pPr>
        <w:ind w:left="1451" w:hanging="360"/>
      </w:pPr>
      <w:rPr>
        <w:rFonts w:ascii="Wingdings" w:hAnsi="Wingdings" w:hint="default"/>
      </w:rPr>
    </w:lvl>
    <w:lvl w:ilvl="1" w:tplc="08090003" w:tentative="1">
      <w:start w:val="1"/>
      <w:numFmt w:val="bullet"/>
      <w:lvlText w:val="o"/>
      <w:lvlJc w:val="left"/>
      <w:pPr>
        <w:ind w:left="2171" w:hanging="360"/>
      </w:pPr>
      <w:rPr>
        <w:rFonts w:ascii="Courier New" w:hAnsi="Courier New" w:cs="Arial" w:hint="default"/>
      </w:rPr>
    </w:lvl>
    <w:lvl w:ilvl="2" w:tplc="08090005" w:tentative="1">
      <w:start w:val="1"/>
      <w:numFmt w:val="bullet"/>
      <w:lvlText w:val=""/>
      <w:lvlJc w:val="left"/>
      <w:pPr>
        <w:ind w:left="2891" w:hanging="360"/>
      </w:pPr>
      <w:rPr>
        <w:rFonts w:ascii="Wingdings" w:hAnsi="Wingdings" w:hint="default"/>
      </w:rPr>
    </w:lvl>
    <w:lvl w:ilvl="3" w:tplc="08090001" w:tentative="1">
      <w:start w:val="1"/>
      <w:numFmt w:val="bullet"/>
      <w:lvlText w:val=""/>
      <w:lvlJc w:val="left"/>
      <w:pPr>
        <w:ind w:left="3611" w:hanging="360"/>
      </w:pPr>
      <w:rPr>
        <w:rFonts w:ascii="Symbol" w:hAnsi="Symbol" w:hint="default"/>
      </w:rPr>
    </w:lvl>
    <w:lvl w:ilvl="4" w:tplc="08090003" w:tentative="1">
      <w:start w:val="1"/>
      <w:numFmt w:val="bullet"/>
      <w:lvlText w:val="o"/>
      <w:lvlJc w:val="left"/>
      <w:pPr>
        <w:ind w:left="4331" w:hanging="360"/>
      </w:pPr>
      <w:rPr>
        <w:rFonts w:ascii="Courier New" w:hAnsi="Courier New" w:cs="Arial" w:hint="default"/>
      </w:rPr>
    </w:lvl>
    <w:lvl w:ilvl="5" w:tplc="08090005" w:tentative="1">
      <w:start w:val="1"/>
      <w:numFmt w:val="bullet"/>
      <w:lvlText w:val=""/>
      <w:lvlJc w:val="left"/>
      <w:pPr>
        <w:ind w:left="5051" w:hanging="360"/>
      </w:pPr>
      <w:rPr>
        <w:rFonts w:ascii="Wingdings" w:hAnsi="Wingdings" w:hint="default"/>
      </w:rPr>
    </w:lvl>
    <w:lvl w:ilvl="6" w:tplc="08090001" w:tentative="1">
      <w:start w:val="1"/>
      <w:numFmt w:val="bullet"/>
      <w:lvlText w:val=""/>
      <w:lvlJc w:val="left"/>
      <w:pPr>
        <w:ind w:left="5771" w:hanging="360"/>
      </w:pPr>
      <w:rPr>
        <w:rFonts w:ascii="Symbol" w:hAnsi="Symbol" w:hint="default"/>
      </w:rPr>
    </w:lvl>
    <w:lvl w:ilvl="7" w:tplc="08090003" w:tentative="1">
      <w:start w:val="1"/>
      <w:numFmt w:val="bullet"/>
      <w:lvlText w:val="o"/>
      <w:lvlJc w:val="left"/>
      <w:pPr>
        <w:ind w:left="6491" w:hanging="360"/>
      </w:pPr>
      <w:rPr>
        <w:rFonts w:ascii="Courier New" w:hAnsi="Courier New" w:cs="Arial" w:hint="default"/>
      </w:rPr>
    </w:lvl>
    <w:lvl w:ilvl="8" w:tplc="08090005" w:tentative="1">
      <w:start w:val="1"/>
      <w:numFmt w:val="bullet"/>
      <w:lvlText w:val=""/>
      <w:lvlJc w:val="left"/>
      <w:pPr>
        <w:ind w:left="7211" w:hanging="360"/>
      </w:pPr>
      <w:rPr>
        <w:rFonts w:ascii="Wingdings" w:hAnsi="Wingdings" w:hint="default"/>
      </w:rPr>
    </w:lvl>
  </w:abstractNum>
  <w:abstractNum w:abstractNumId="27">
    <w:nsid w:val="3CF2623B"/>
    <w:multiLevelType w:val="hybridMultilevel"/>
    <w:tmpl w:val="915AAC58"/>
    <w:lvl w:ilvl="0" w:tplc="05444212">
      <w:start w:val="1"/>
      <w:numFmt w:val="lowerLetter"/>
      <w:lvlText w:val="%1."/>
      <w:lvlJc w:val="left"/>
      <w:pPr>
        <w:tabs>
          <w:tab w:val="num" w:pos="1922"/>
        </w:tabs>
        <w:ind w:left="1922" w:hanging="360"/>
      </w:pPr>
      <w:rPr>
        <w:rFonts w:hint="default"/>
      </w:rPr>
    </w:lvl>
    <w:lvl w:ilvl="1" w:tplc="08090019">
      <w:start w:val="1"/>
      <w:numFmt w:val="lowerLetter"/>
      <w:lvlText w:val="%2."/>
      <w:lvlJc w:val="left"/>
      <w:pPr>
        <w:tabs>
          <w:tab w:val="num" w:pos="1922"/>
        </w:tabs>
        <w:ind w:left="1922" w:hanging="360"/>
      </w:pPr>
    </w:lvl>
    <w:lvl w:ilvl="2" w:tplc="56822C86">
      <w:start w:val="1"/>
      <w:numFmt w:val="lowerRoman"/>
      <w:lvlText w:val="%3)"/>
      <w:lvlJc w:val="right"/>
      <w:pPr>
        <w:tabs>
          <w:tab w:val="num" w:pos="2642"/>
        </w:tabs>
        <w:ind w:left="2642" w:hanging="180"/>
      </w:pPr>
      <w:rPr>
        <w:rFonts w:hint="default"/>
      </w:rPr>
    </w:lvl>
    <w:lvl w:ilvl="3" w:tplc="0809000F" w:tentative="1">
      <w:start w:val="1"/>
      <w:numFmt w:val="decimal"/>
      <w:lvlText w:val="%4."/>
      <w:lvlJc w:val="left"/>
      <w:pPr>
        <w:tabs>
          <w:tab w:val="num" w:pos="3362"/>
        </w:tabs>
        <w:ind w:left="3362" w:hanging="360"/>
      </w:pPr>
    </w:lvl>
    <w:lvl w:ilvl="4" w:tplc="08090019" w:tentative="1">
      <w:start w:val="1"/>
      <w:numFmt w:val="lowerLetter"/>
      <w:lvlText w:val="%5."/>
      <w:lvlJc w:val="left"/>
      <w:pPr>
        <w:tabs>
          <w:tab w:val="num" w:pos="4082"/>
        </w:tabs>
        <w:ind w:left="4082" w:hanging="360"/>
      </w:pPr>
    </w:lvl>
    <w:lvl w:ilvl="5" w:tplc="0809001B" w:tentative="1">
      <w:start w:val="1"/>
      <w:numFmt w:val="lowerRoman"/>
      <w:lvlText w:val="%6."/>
      <w:lvlJc w:val="right"/>
      <w:pPr>
        <w:tabs>
          <w:tab w:val="num" w:pos="4802"/>
        </w:tabs>
        <w:ind w:left="4802" w:hanging="180"/>
      </w:pPr>
    </w:lvl>
    <w:lvl w:ilvl="6" w:tplc="0809000F" w:tentative="1">
      <w:start w:val="1"/>
      <w:numFmt w:val="decimal"/>
      <w:lvlText w:val="%7."/>
      <w:lvlJc w:val="left"/>
      <w:pPr>
        <w:tabs>
          <w:tab w:val="num" w:pos="5522"/>
        </w:tabs>
        <w:ind w:left="5522" w:hanging="360"/>
      </w:pPr>
    </w:lvl>
    <w:lvl w:ilvl="7" w:tplc="08090019" w:tentative="1">
      <w:start w:val="1"/>
      <w:numFmt w:val="lowerLetter"/>
      <w:lvlText w:val="%8."/>
      <w:lvlJc w:val="left"/>
      <w:pPr>
        <w:tabs>
          <w:tab w:val="num" w:pos="6242"/>
        </w:tabs>
        <w:ind w:left="6242" w:hanging="360"/>
      </w:pPr>
    </w:lvl>
    <w:lvl w:ilvl="8" w:tplc="0809001B" w:tentative="1">
      <w:start w:val="1"/>
      <w:numFmt w:val="lowerRoman"/>
      <w:lvlText w:val="%9."/>
      <w:lvlJc w:val="right"/>
      <w:pPr>
        <w:tabs>
          <w:tab w:val="num" w:pos="6962"/>
        </w:tabs>
        <w:ind w:left="6962" w:hanging="180"/>
      </w:pPr>
    </w:lvl>
  </w:abstractNum>
  <w:abstractNum w:abstractNumId="28">
    <w:nsid w:val="4139761F"/>
    <w:multiLevelType w:val="hybridMultilevel"/>
    <w:tmpl w:val="841ED41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Aria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413B46FA"/>
    <w:multiLevelType w:val="hybridMultilevel"/>
    <w:tmpl w:val="76FC1F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438456EF"/>
    <w:multiLevelType w:val="hybridMultilevel"/>
    <w:tmpl w:val="8E46AF2C"/>
    <w:lvl w:ilvl="0" w:tplc="5C4E79B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45481EA4"/>
    <w:multiLevelType w:val="multilevel"/>
    <w:tmpl w:val="F710DC40"/>
    <w:lvl w:ilvl="0">
      <w:start w:val="1"/>
      <w:numFmt w:val="lowerRoman"/>
      <w:lvlText w:val="%1)"/>
      <w:lvlJc w:val="left"/>
      <w:pPr>
        <w:tabs>
          <w:tab w:val="num" w:pos="1437"/>
        </w:tabs>
        <w:ind w:left="1437" w:hanging="360"/>
      </w:pPr>
      <w:rPr>
        <w:rFonts w:hint="default"/>
      </w:r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45F75342"/>
    <w:multiLevelType w:val="hybridMultilevel"/>
    <w:tmpl w:val="A7A85612"/>
    <w:lvl w:ilvl="0" w:tplc="8C10BD94">
      <w:start w:val="1"/>
      <w:numFmt w:val="bullet"/>
      <w:lvlText w:val=""/>
      <w:lvlJc w:val="left"/>
      <w:pPr>
        <w:ind w:left="1500" w:hanging="360"/>
      </w:pPr>
      <w:rPr>
        <w:rFonts w:ascii="Symbol" w:hAnsi="Symbol" w:hint="default"/>
      </w:rPr>
    </w:lvl>
    <w:lvl w:ilvl="1" w:tplc="08090003" w:tentative="1">
      <w:start w:val="1"/>
      <w:numFmt w:val="bullet"/>
      <w:lvlText w:val="o"/>
      <w:lvlJc w:val="left"/>
      <w:pPr>
        <w:ind w:left="2220" w:hanging="360"/>
      </w:pPr>
      <w:rPr>
        <w:rFonts w:ascii="Courier New" w:hAnsi="Courier New" w:cs="Arial"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Arial"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Arial" w:hint="default"/>
      </w:rPr>
    </w:lvl>
    <w:lvl w:ilvl="8" w:tplc="08090005" w:tentative="1">
      <w:start w:val="1"/>
      <w:numFmt w:val="bullet"/>
      <w:lvlText w:val=""/>
      <w:lvlJc w:val="left"/>
      <w:pPr>
        <w:ind w:left="7260" w:hanging="360"/>
      </w:pPr>
      <w:rPr>
        <w:rFonts w:ascii="Wingdings" w:hAnsi="Wingdings" w:hint="default"/>
      </w:rPr>
    </w:lvl>
  </w:abstractNum>
  <w:abstractNum w:abstractNumId="34">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nsid w:val="4A432656"/>
    <w:multiLevelType w:val="multilevel"/>
    <w:tmpl w:val="2F505B64"/>
    <w:lvl w:ilvl="0">
      <w:start w:val="1"/>
      <w:numFmt w:val="decimal"/>
      <w:pStyle w:val="Heading1"/>
      <w:lvlText w:val="%1."/>
      <w:lvlJc w:val="left"/>
      <w:pPr>
        <w:tabs>
          <w:tab w:val="num" w:pos="480"/>
        </w:tabs>
        <w:ind w:left="480" w:hanging="480"/>
      </w:pPr>
      <w:rPr>
        <w:b/>
      </w:rPr>
    </w:lvl>
    <w:lvl w:ilvl="1">
      <w:start w:val="1"/>
      <w:numFmt w:val="decimal"/>
      <w:pStyle w:val="Heading2"/>
      <w:lvlText w:val="%1.%2."/>
      <w:lvlJc w:val="left"/>
      <w:pPr>
        <w:tabs>
          <w:tab w:val="num" w:pos="1080"/>
        </w:tabs>
        <w:ind w:left="1080" w:hanging="600"/>
      </w:pPr>
      <w:rPr>
        <w:b/>
      </w:r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094"/>
        </w:tabs>
        <w:ind w:left="2094"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4D796052"/>
    <w:multiLevelType w:val="hybridMultilevel"/>
    <w:tmpl w:val="F336F53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4F5E011C"/>
    <w:multiLevelType w:val="hybridMultilevel"/>
    <w:tmpl w:val="657E2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50C266D3"/>
    <w:multiLevelType w:val="multilevel"/>
    <w:tmpl w:val="D5CC9DA8"/>
    <w:lvl w:ilvl="0">
      <w:start w:val="2"/>
      <w:numFmt w:val="decimal"/>
      <w:lvlText w:val="%1."/>
      <w:lvlJc w:val="left"/>
      <w:pPr>
        <w:tabs>
          <w:tab w:val="num" w:pos="480"/>
        </w:tabs>
        <w:ind w:left="480" w:hanging="480"/>
      </w:pPr>
      <w:rPr>
        <w:rFonts w:hint="default"/>
        <w:b/>
      </w:rPr>
    </w:lvl>
    <w:lvl w:ilvl="1">
      <w:start w:val="1"/>
      <w:numFmt w:val="decimal"/>
      <w:lvlText w:val="%1.%2."/>
      <w:lvlJc w:val="left"/>
      <w:pPr>
        <w:tabs>
          <w:tab w:val="num" w:pos="1080"/>
        </w:tabs>
        <w:ind w:left="1080" w:hanging="600"/>
      </w:pPr>
      <w:rPr>
        <w:rFonts w:hint="default"/>
        <w:b/>
      </w:rPr>
    </w:lvl>
    <w:lvl w:ilvl="2">
      <w:start w:val="10"/>
      <w:numFmt w:val="decimal"/>
      <w:lvlText w:val="%1.%2.%3."/>
      <w:lvlJc w:val="left"/>
      <w:pPr>
        <w:tabs>
          <w:tab w:val="num" w:pos="1407"/>
        </w:tabs>
        <w:ind w:left="1407" w:hanging="840"/>
      </w:pPr>
      <w:rPr>
        <w:rFonts w:hint="default"/>
        <w:b/>
      </w:rPr>
    </w:lvl>
    <w:lvl w:ilvl="3">
      <w:start w:val="4"/>
      <w:numFmt w:val="decimal"/>
      <w:lvlText w:val="%1.%2.%3.%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52612C1C"/>
    <w:multiLevelType w:val="hybridMultilevel"/>
    <w:tmpl w:val="FEE434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2">
    <w:nsid w:val="597E7E05"/>
    <w:multiLevelType w:val="hybridMultilevel"/>
    <w:tmpl w:val="29CE3CAC"/>
    <w:lvl w:ilvl="0" w:tplc="08090011">
      <w:start w:val="1"/>
      <w:numFmt w:val="decimal"/>
      <w:lvlText w:val="%1)"/>
      <w:lvlJc w:val="left"/>
      <w:pPr>
        <w:ind w:left="1200" w:hanging="360"/>
      </w:p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43">
    <w:nsid w:val="5BA93F3A"/>
    <w:multiLevelType w:val="multilevel"/>
    <w:tmpl w:val="82C8A14A"/>
    <w:lvl w:ilvl="0">
      <w:start w:val="2"/>
      <w:numFmt w:val="decimal"/>
      <w:lvlText w:val="%1."/>
      <w:lvlJc w:val="left"/>
      <w:pPr>
        <w:tabs>
          <w:tab w:val="num" w:pos="480"/>
        </w:tabs>
        <w:ind w:left="480" w:hanging="480"/>
      </w:pPr>
      <w:rPr>
        <w:rFonts w:hint="default"/>
        <w:b/>
      </w:rPr>
    </w:lvl>
    <w:lvl w:ilvl="1">
      <w:start w:val="2"/>
      <w:numFmt w:val="decimal"/>
      <w:lvlText w:val="%1.%2."/>
      <w:lvlJc w:val="left"/>
      <w:pPr>
        <w:tabs>
          <w:tab w:val="num" w:pos="1080"/>
        </w:tabs>
        <w:ind w:left="1080" w:hanging="600"/>
      </w:pPr>
      <w:rPr>
        <w:rFonts w:hint="default"/>
        <w:b/>
      </w:rPr>
    </w:lvl>
    <w:lvl w:ilvl="2">
      <w:start w:val="1"/>
      <w:numFmt w:val="decimal"/>
      <w:lvlText w:val="%1.%2.%3."/>
      <w:lvlJc w:val="left"/>
      <w:pPr>
        <w:tabs>
          <w:tab w:val="num" w:pos="1407"/>
        </w:tabs>
        <w:ind w:left="1407" w:hanging="840"/>
      </w:pPr>
      <w:rPr>
        <w:rFonts w:hint="default"/>
        <w:b w:val="0"/>
      </w:rPr>
    </w:lvl>
    <w:lvl w:ilvl="3">
      <w:start w:val="1"/>
      <w:numFmt w:val="lowerLetter"/>
      <w:lvlText w:val="%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657213DB"/>
    <w:multiLevelType w:val="hybridMultilevel"/>
    <w:tmpl w:val="CC50AA5C"/>
    <w:lvl w:ilvl="0" w:tplc="08090001">
      <w:start w:val="1"/>
      <w:numFmt w:val="bullet"/>
      <w:lvlText w:val=""/>
      <w:lvlJc w:val="left"/>
      <w:pPr>
        <w:ind w:left="1202" w:hanging="360"/>
      </w:pPr>
      <w:rPr>
        <w:rFonts w:ascii="Symbol" w:hAnsi="Symbol" w:hint="default"/>
      </w:rPr>
    </w:lvl>
    <w:lvl w:ilvl="1" w:tplc="08090003" w:tentative="1">
      <w:start w:val="1"/>
      <w:numFmt w:val="bullet"/>
      <w:lvlText w:val="o"/>
      <w:lvlJc w:val="left"/>
      <w:pPr>
        <w:ind w:left="1922" w:hanging="360"/>
      </w:pPr>
      <w:rPr>
        <w:rFonts w:ascii="Courier New" w:hAnsi="Courier New" w:cs="Courier New"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Courier New"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Courier New" w:hint="default"/>
      </w:rPr>
    </w:lvl>
    <w:lvl w:ilvl="8" w:tplc="08090005" w:tentative="1">
      <w:start w:val="1"/>
      <w:numFmt w:val="bullet"/>
      <w:lvlText w:val=""/>
      <w:lvlJc w:val="left"/>
      <w:pPr>
        <w:ind w:left="6962" w:hanging="360"/>
      </w:pPr>
      <w:rPr>
        <w:rFonts w:ascii="Wingdings" w:hAnsi="Wingdings" w:hint="default"/>
      </w:rPr>
    </w:lvl>
  </w:abstractNum>
  <w:abstractNum w:abstractNumId="45">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8">
    <w:nsid w:val="6DAA613D"/>
    <w:multiLevelType w:val="multilevel"/>
    <w:tmpl w:val="FB48998A"/>
    <w:lvl w:ilvl="0">
      <w:start w:val="3"/>
      <w:numFmt w:val="decimal"/>
      <w:lvlText w:val="%1."/>
      <w:lvlJc w:val="left"/>
      <w:pPr>
        <w:tabs>
          <w:tab w:val="num" w:pos="480"/>
        </w:tabs>
        <w:ind w:left="480" w:hanging="480"/>
      </w:pPr>
      <w:rPr>
        <w:rFonts w:hint="default"/>
        <w:b/>
      </w:rPr>
    </w:lvl>
    <w:lvl w:ilvl="1">
      <w:start w:val="1"/>
      <w:numFmt w:val="decimal"/>
      <w:lvlText w:val="%1.%2."/>
      <w:lvlJc w:val="left"/>
      <w:pPr>
        <w:tabs>
          <w:tab w:val="num" w:pos="1080"/>
        </w:tabs>
        <w:ind w:left="1080" w:hanging="600"/>
      </w:pPr>
      <w:rPr>
        <w:rFonts w:hint="default"/>
        <w:b/>
        <w:i w:val="0"/>
      </w:rPr>
    </w:lvl>
    <w:lvl w:ilvl="2">
      <w:start w:val="1"/>
      <w:numFmt w:val="decimal"/>
      <w:lvlText w:val="%1.%2.%3."/>
      <w:lvlJc w:val="left"/>
      <w:pPr>
        <w:tabs>
          <w:tab w:val="num" w:pos="1407"/>
        </w:tabs>
        <w:ind w:left="1407" w:hanging="840"/>
      </w:pPr>
      <w:rPr>
        <w:rFonts w:hint="default"/>
        <w:b/>
      </w:rPr>
    </w:lvl>
    <w:lvl w:ilvl="3">
      <w:start w:val="4"/>
      <w:numFmt w:val="decimal"/>
      <w:lvlText w:val="%1.%2.%3.%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nsid w:val="6E435E38"/>
    <w:multiLevelType w:val="hybridMultilevel"/>
    <w:tmpl w:val="E2184CF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51">
    <w:nsid w:val="7E3228C6"/>
    <w:multiLevelType w:val="hybridMultilevel"/>
    <w:tmpl w:val="FEBADF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7FED7E0C"/>
    <w:multiLevelType w:val="multilevel"/>
    <w:tmpl w:val="5B985C1C"/>
    <w:lvl w:ilvl="0">
      <w:start w:val="3"/>
      <w:numFmt w:val="decimal"/>
      <w:lvlText w:val="%1."/>
      <w:lvlJc w:val="left"/>
      <w:pPr>
        <w:tabs>
          <w:tab w:val="num" w:pos="480"/>
        </w:tabs>
        <w:ind w:left="480" w:hanging="480"/>
      </w:pPr>
      <w:rPr>
        <w:rFonts w:hint="default"/>
        <w:b/>
      </w:rPr>
    </w:lvl>
    <w:lvl w:ilvl="1">
      <w:start w:val="1"/>
      <w:numFmt w:val="decimal"/>
      <w:lvlText w:val="%1.%2."/>
      <w:lvlJc w:val="left"/>
      <w:pPr>
        <w:tabs>
          <w:tab w:val="num" w:pos="1080"/>
        </w:tabs>
        <w:ind w:left="1080" w:hanging="600"/>
      </w:pPr>
      <w:rPr>
        <w:rFonts w:hint="default"/>
        <w:b/>
        <w:i w:val="0"/>
      </w:rPr>
    </w:lvl>
    <w:lvl w:ilvl="2">
      <w:start w:val="10"/>
      <w:numFmt w:val="decimal"/>
      <w:lvlText w:val="%1.%2.%3."/>
      <w:lvlJc w:val="left"/>
      <w:pPr>
        <w:tabs>
          <w:tab w:val="num" w:pos="1407"/>
        </w:tabs>
        <w:ind w:left="1407" w:hanging="840"/>
      </w:pPr>
      <w:rPr>
        <w:rFonts w:hint="default"/>
        <w:b/>
      </w:rPr>
    </w:lvl>
    <w:lvl w:ilvl="3">
      <w:start w:val="4"/>
      <w:numFmt w:val="decimal"/>
      <w:lvlText w:val="%1.%2.%3.%4."/>
      <w:lvlJc w:val="left"/>
      <w:pPr>
        <w:tabs>
          <w:tab w:val="num" w:pos="3229"/>
        </w:tabs>
        <w:ind w:left="3229" w:hanging="960"/>
      </w:pPr>
      <w:rPr>
        <w:rFonts w:hint="default"/>
        <w:b w:val="0"/>
        <w:i w:val="0"/>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2"/>
  </w:num>
  <w:num w:numId="2">
    <w:abstractNumId w:val="0"/>
  </w:num>
  <w:num w:numId="3">
    <w:abstractNumId w:val="36"/>
  </w:num>
  <w:num w:numId="4">
    <w:abstractNumId w:val="41"/>
  </w:num>
  <w:num w:numId="5">
    <w:abstractNumId w:val="25"/>
  </w:num>
  <w:num w:numId="6">
    <w:abstractNumId w:val="18"/>
  </w:num>
  <w:num w:numId="7">
    <w:abstractNumId w:val="7"/>
  </w:num>
  <w:num w:numId="8">
    <w:abstractNumId w:val="45"/>
  </w:num>
  <w:num w:numId="9">
    <w:abstractNumId w:val="47"/>
  </w:num>
  <w:num w:numId="10">
    <w:abstractNumId w:val="46"/>
  </w:num>
  <w:num w:numId="11">
    <w:abstractNumId w:val="50"/>
  </w:num>
  <w:num w:numId="12">
    <w:abstractNumId w:val="12"/>
  </w:num>
  <w:num w:numId="13">
    <w:abstractNumId w:val="30"/>
  </w:num>
  <w:num w:numId="14">
    <w:abstractNumId w:val="34"/>
  </w:num>
  <w:num w:numId="15">
    <w:abstractNumId w:val="32"/>
  </w:num>
  <w:num w:numId="16">
    <w:abstractNumId w:val="4"/>
  </w:num>
  <w:num w:numId="17">
    <w:abstractNumId w:val="35"/>
  </w:num>
  <w:num w:numId="18">
    <w:abstractNumId w:val="13"/>
  </w:num>
  <w:num w:numId="19">
    <w:abstractNumId w:val="6"/>
  </w:num>
  <w:num w:numId="20">
    <w:abstractNumId w:val="27"/>
  </w:num>
  <w:num w:numId="2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39"/>
  </w:num>
  <w:num w:numId="24">
    <w:abstractNumId w:val="43"/>
  </w:num>
  <w:num w:numId="25">
    <w:abstractNumId w:val="33"/>
  </w:num>
  <w:num w:numId="26">
    <w:abstractNumId w:val="15"/>
  </w:num>
  <w:num w:numId="27">
    <w:abstractNumId w:val="24"/>
  </w:num>
  <w:num w:numId="28">
    <w:abstractNumId w:val="37"/>
  </w:num>
  <w:num w:numId="29">
    <w:abstractNumId w:val="22"/>
  </w:num>
  <w:num w:numId="30">
    <w:abstractNumId w:val="26"/>
  </w:num>
  <w:num w:numId="31">
    <w:abstractNumId w:val="17"/>
  </w:num>
  <w:num w:numId="32">
    <w:abstractNumId w:val="49"/>
  </w:num>
  <w:num w:numId="33">
    <w:abstractNumId w:val="3"/>
  </w:num>
  <w:num w:numId="34">
    <w:abstractNumId w:val="20"/>
  </w:num>
  <w:num w:numId="35">
    <w:abstractNumId w:val="44"/>
  </w:num>
  <w:num w:numId="36">
    <w:abstractNumId w:val="1"/>
  </w:num>
  <w:num w:numId="37">
    <w:abstractNumId w:val="38"/>
  </w:num>
  <w:num w:numId="38">
    <w:abstractNumId w:val="47"/>
  </w:num>
  <w:num w:numId="39">
    <w:abstractNumId w:val="52"/>
  </w:num>
  <w:num w:numId="40">
    <w:abstractNumId w:val="48"/>
  </w:num>
  <w:num w:numId="41">
    <w:abstractNumId w:val="42"/>
  </w:num>
  <w:num w:numId="42">
    <w:abstractNumId w:val="14"/>
  </w:num>
  <w:num w:numId="43">
    <w:abstractNumId w:val="23"/>
  </w:num>
  <w:num w:numId="44">
    <w:abstractNumId w:val="29"/>
  </w:num>
  <w:num w:numId="45">
    <w:abstractNumId w:val="5"/>
  </w:num>
  <w:num w:numId="46">
    <w:abstractNumId w:val="19"/>
  </w:num>
  <w:num w:numId="47">
    <w:abstractNumId w:val="31"/>
  </w:num>
  <w:num w:numId="48">
    <w:abstractNumId w:val="47"/>
  </w:num>
  <w:num w:numId="49">
    <w:abstractNumId w:val="8"/>
  </w:num>
  <w:num w:numId="50">
    <w:abstractNumId w:val="16"/>
  </w:num>
  <w:num w:numId="51">
    <w:abstractNumId w:val="21"/>
  </w:num>
  <w:num w:numId="52">
    <w:abstractNumId w:val="11"/>
  </w:num>
  <w:num w:numId="53">
    <w:abstractNumId w:val="9"/>
  </w:num>
  <w:num w:numId="54">
    <w:abstractNumId w:val="51"/>
  </w:num>
  <w:num w:numId="55">
    <w:abstractNumId w:val="10"/>
  </w:num>
  <w:num w:numId="56">
    <w:abstractNumId w:val="4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ya Ilieva">
    <w15:presenceInfo w15:providerId="Windows Live" w15:userId="034db1a13aefe4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LW_DocType" w:val="NOT"/>
  </w:docVars>
  <w:rsids>
    <w:rsidRoot w:val="00E329FF"/>
    <w:rsid w:val="000061FE"/>
    <w:rsid w:val="000138C5"/>
    <w:rsid w:val="00014154"/>
    <w:rsid w:val="00016D24"/>
    <w:rsid w:val="00023C64"/>
    <w:rsid w:val="00037F62"/>
    <w:rsid w:val="00043C40"/>
    <w:rsid w:val="00044A06"/>
    <w:rsid w:val="000501C0"/>
    <w:rsid w:val="000508FC"/>
    <w:rsid w:val="00051257"/>
    <w:rsid w:val="00053AC6"/>
    <w:rsid w:val="0006396B"/>
    <w:rsid w:val="00066394"/>
    <w:rsid w:val="00072F4C"/>
    <w:rsid w:val="00084731"/>
    <w:rsid w:val="000878AD"/>
    <w:rsid w:val="00091609"/>
    <w:rsid w:val="00097EE0"/>
    <w:rsid w:val="000B55F5"/>
    <w:rsid w:val="000C30A9"/>
    <w:rsid w:val="000C3F2C"/>
    <w:rsid w:val="000E10B9"/>
    <w:rsid w:val="000E2C7B"/>
    <w:rsid w:val="000F14BA"/>
    <w:rsid w:val="000F6EF9"/>
    <w:rsid w:val="0010116E"/>
    <w:rsid w:val="001016E7"/>
    <w:rsid w:val="00103A0D"/>
    <w:rsid w:val="0010552B"/>
    <w:rsid w:val="0011043F"/>
    <w:rsid w:val="0011265B"/>
    <w:rsid w:val="001138A1"/>
    <w:rsid w:val="0011407B"/>
    <w:rsid w:val="00116209"/>
    <w:rsid w:val="00124E8A"/>
    <w:rsid w:val="00125B7D"/>
    <w:rsid w:val="0013421E"/>
    <w:rsid w:val="001354CA"/>
    <w:rsid w:val="00136F45"/>
    <w:rsid w:val="00136F80"/>
    <w:rsid w:val="00140C6A"/>
    <w:rsid w:val="00140FEC"/>
    <w:rsid w:val="0014612D"/>
    <w:rsid w:val="001479BA"/>
    <w:rsid w:val="001614D6"/>
    <w:rsid w:val="00161610"/>
    <w:rsid w:val="00161F60"/>
    <w:rsid w:val="00161FDB"/>
    <w:rsid w:val="001653DC"/>
    <w:rsid w:val="001851D3"/>
    <w:rsid w:val="00187DF7"/>
    <w:rsid w:val="00191E96"/>
    <w:rsid w:val="00195CAC"/>
    <w:rsid w:val="001A384F"/>
    <w:rsid w:val="001B0698"/>
    <w:rsid w:val="001E2D3A"/>
    <w:rsid w:val="001E2E50"/>
    <w:rsid w:val="001E489A"/>
    <w:rsid w:val="001F00C7"/>
    <w:rsid w:val="001F38CA"/>
    <w:rsid w:val="002007D4"/>
    <w:rsid w:val="0020444C"/>
    <w:rsid w:val="00206DF7"/>
    <w:rsid w:val="00207962"/>
    <w:rsid w:val="00210FBC"/>
    <w:rsid w:val="00223744"/>
    <w:rsid w:val="00227029"/>
    <w:rsid w:val="00230FFD"/>
    <w:rsid w:val="002336B6"/>
    <w:rsid w:val="002345B4"/>
    <w:rsid w:val="0023561F"/>
    <w:rsid w:val="00240B4C"/>
    <w:rsid w:val="00247ED9"/>
    <w:rsid w:val="00252A20"/>
    <w:rsid w:val="002530F3"/>
    <w:rsid w:val="002624BC"/>
    <w:rsid w:val="00280617"/>
    <w:rsid w:val="002950D9"/>
    <w:rsid w:val="002A2744"/>
    <w:rsid w:val="002B1B7F"/>
    <w:rsid w:val="002C74FE"/>
    <w:rsid w:val="002F2388"/>
    <w:rsid w:val="002F4779"/>
    <w:rsid w:val="0030086F"/>
    <w:rsid w:val="00303EE2"/>
    <w:rsid w:val="0031217E"/>
    <w:rsid w:val="003123B3"/>
    <w:rsid w:val="00316CDA"/>
    <w:rsid w:val="003212B4"/>
    <w:rsid w:val="00326C76"/>
    <w:rsid w:val="00355D51"/>
    <w:rsid w:val="0036085A"/>
    <w:rsid w:val="00364EDB"/>
    <w:rsid w:val="003660C1"/>
    <w:rsid w:val="00366628"/>
    <w:rsid w:val="0037269F"/>
    <w:rsid w:val="00381D77"/>
    <w:rsid w:val="00381ED8"/>
    <w:rsid w:val="00392223"/>
    <w:rsid w:val="003C307E"/>
    <w:rsid w:val="003C5215"/>
    <w:rsid w:val="003C5C23"/>
    <w:rsid w:val="003D0954"/>
    <w:rsid w:val="003D0955"/>
    <w:rsid w:val="003D0D55"/>
    <w:rsid w:val="003D13D0"/>
    <w:rsid w:val="003D2814"/>
    <w:rsid w:val="003E0217"/>
    <w:rsid w:val="003E766D"/>
    <w:rsid w:val="00406B33"/>
    <w:rsid w:val="004212A2"/>
    <w:rsid w:val="00423674"/>
    <w:rsid w:val="00430A10"/>
    <w:rsid w:val="00433E94"/>
    <w:rsid w:val="00434FDF"/>
    <w:rsid w:val="004557FA"/>
    <w:rsid w:val="00456EEB"/>
    <w:rsid w:val="0046271F"/>
    <w:rsid w:val="00464838"/>
    <w:rsid w:val="00470C56"/>
    <w:rsid w:val="004A49DD"/>
    <w:rsid w:val="004C55E6"/>
    <w:rsid w:val="004D2D3D"/>
    <w:rsid w:val="004E418D"/>
    <w:rsid w:val="004E4480"/>
    <w:rsid w:val="005003D4"/>
    <w:rsid w:val="00501E5A"/>
    <w:rsid w:val="00503C6C"/>
    <w:rsid w:val="00505B08"/>
    <w:rsid w:val="005112D8"/>
    <w:rsid w:val="00511EDA"/>
    <w:rsid w:val="00517DD6"/>
    <w:rsid w:val="00522FDF"/>
    <w:rsid w:val="0052741C"/>
    <w:rsid w:val="00546EC4"/>
    <w:rsid w:val="005632E6"/>
    <w:rsid w:val="00574D96"/>
    <w:rsid w:val="005756CA"/>
    <w:rsid w:val="005825A3"/>
    <w:rsid w:val="005915F9"/>
    <w:rsid w:val="005A1871"/>
    <w:rsid w:val="005A2B9E"/>
    <w:rsid w:val="005A79C7"/>
    <w:rsid w:val="005B587B"/>
    <w:rsid w:val="005B73A1"/>
    <w:rsid w:val="005C46D1"/>
    <w:rsid w:val="005E4CDF"/>
    <w:rsid w:val="005E4E16"/>
    <w:rsid w:val="005F20CD"/>
    <w:rsid w:val="005F3E80"/>
    <w:rsid w:val="005F4C80"/>
    <w:rsid w:val="00605F08"/>
    <w:rsid w:val="0061573B"/>
    <w:rsid w:val="006312B2"/>
    <w:rsid w:val="006335AD"/>
    <w:rsid w:val="00651A25"/>
    <w:rsid w:val="006565C6"/>
    <w:rsid w:val="006611D9"/>
    <w:rsid w:val="006646B7"/>
    <w:rsid w:val="00665830"/>
    <w:rsid w:val="006712DA"/>
    <w:rsid w:val="00680AC5"/>
    <w:rsid w:val="00681207"/>
    <w:rsid w:val="00690863"/>
    <w:rsid w:val="00695B41"/>
    <w:rsid w:val="00695DA3"/>
    <w:rsid w:val="006A18D7"/>
    <w:rsid w:val="006A7683"/>
    <w:rsid w:val="006B0CE4"/>
    <w:rsid w:val="006F272E"/>
    <w:rsid w:val="006F315F"/>
    <w:rsid w:val="006F6E69"/>
    <w:rsid w:val="00712E85"/>
    <w:rsid w:val="007146A4"/>
    <w:rsid w:val="007321C8"/>
    <w:rsid w:val="007416C5"/>
    <w:rsid w:val="00752870"/>
    <w:rsid w:val="00764CD6"/>
    <w:rsid w:val="00765851"/>
    <w:rsid w:val="00773E50"/>
    <w:rsid w:val="007906C5"/>
    <w:rsid w:val="00790885"/>
    <w:rsid w:val="00792F8D"/>
    <w:rsid w:val="00796570"/>
    <w:rsid w:val="00796CFC"/>
    <w:rsid w:val="00797D9F"/>
    <w:rsid w:val="007A7CB7"/>
    <w:rsid w:val="007A7D17"/>
    <w:rsid w:val="007B0C2A"/>
    <w:rsid w:val="007C1F24"/>
    <w:rsid w:val="007D3D81"/>
    <w:rsid w:val="007E30B5"/>
    <w:rsid w:val="007E414C"/>
    <w:rsid w:val="007E75F5"/>
    <w:rsid w:val="007F3A35"/>
    <w:rsid w:val="00823259"/>
    <w:rsid w:val="00831FAD"/>
    <w:rsid w:val="00832723"/>
    <w:rsid w:val="00834601"/>
    <w:rsid w:val="00836670"/>
    <w:rsid w:val="008421C9"/>
    <w:rsid w:val="008437DC"/>
    <w:rsid w:val="00846DEE"/>
    <w:rsid w:val="00851B65"/>
    <w:rsid w:val="00860929"/>
    <w:rsid w:val="00866871"/>
    <w:rsid w:val="008731B9"/>
    <w:rsid w:val="00886089"/>
    <w:rsid w:val="008A601A"/>
    <w:rsid w:val="008B251A"/>
    <w:rsid w:val="008C2812"/>
    <w:rsid w:val="008C5B69"/>
    <w:rsid w:val="008D1022"/>
    <w:rsid w:val="008F2872"/>
    <w:rsid w:val="008F322C"/>
    <w:rsid w:val="008F3499"/>
    <w:rsid w:val="0090244A"/>
    <w:rsid w:val="009165BE"/>
    <w:rsid w:val="009504F1"/>
    <w:rsid w:val="009510E4"/>
    <w:rsid w:val="0096411B"/>
    <w:rsid w:val="0096419A"/>
    <w:rsid w:val="009727C5"/>
    <w:rsid w:val="009857A8"/>
    <w:rsid w:val="00986687"/>
    <w:rsid w:val="00992405"/>
    <w:rsid w:val="009B46F5"/>
    <w:rsid w:val="009C0678"/>
    <w:rsid w:val="009C47B3"/>
    <w:rsid w:val="009C6447"/>
    <w:rsid w:val="009D790D"/>
    <w:rsid w:val="009E12DC"/>
    <w:rsid w:val="009E1C83"/>
    <w:rsid w:val="009E5A73"/>
    <w:rsid w:val="009E7DCC"/>
    <w:rsid w:val="009F2434"/>
    <w:rsid w:val="00A01D84"/>
    <w:rsid w:val="00A15BB0"/>
    <w:rsid w:val="00A2187D"/>
    <w:rsid w:val="00A37774"/>
    <w:rsid w:val="00A37EFC"/>
    <w:rsid w:val="00A41448"/>
    <w:rsid w:val="00A53EE5"/>
    <w:rsid w:val="00A646F0"/>
    <w:rsid w:val="00A66B21"/>
    <w:rsid w:val="00A72E14"/>
    <w:rsid w:val="00A91DCC"/>
    <w:rsid w:val="00AA6D9D"/>
    <w:rsid w:val="00AB19C2"/>
    <w:rsid w:val="00AC09A9"/>
    <w:rsid w:val="00AD1295"/>
    <w:rsid w:val="00AD4669"/>
    <w:rsid w:val="00AD7F4D"/>
    <w:rsid w:val="00AE40AC"/>
    <w:rsid w:val="00AF0886"/>
    <w:rsid w:val="00B04481"/>
    <w:rsid w:val="00B07D32"/>
    <w:rsid w:val="00B23166"/>
    <w:rsid w:val="00B33FBE"/>
    <w:rsid w:val="00B509F9"/>
    <w:rsid w:val="00B71119"/>
    <w:rsid w:val="00B750F6"/>
    <w:rsid w:val="00B91480"/>
    <w:rsid w:val="00B94431"/>
    <w:rsid w:val="00BA0CF5"/>
    <w:rsid w:val="00BC204F"/>
    <w:rsid w:val="00BD5B6D"/>
    <w:rsid w:val="00BD67A5"/>
    <w:rsid w:val="00BE5C58"/>
    <w:rsid w:val="00BE683A"/>
    <w:rsid w:val="00BE76A9"/>
    <w:rsid w:val="00BF4E74"/>
    <w:rsid w:val="00BF5721"/>
    <w:rsid w:val="00C014D9"/>
    <w:rsid w:val="00C177CC"/>
    <w:rsid w:val="00C27289"/>
    <w:rsid w:val="00C31CC7"/>
    <w:rsid w:val="00C336FA"/>
    <w:rsid w:val="00C33AC1"/>
    <w:rsid w:val="00C36321"/>
    <w:rsid w:val="00C419C2"/>
    <w:rsid w:val="00C41D03"/>
    <w:rsid w:val="00C42A73"/>
    <w:rsid w:val="00C56A65"/>
    <w:rsid w:val="00C726A3"/>
    <w:rsid w:val="00C82ACA"/>
    <w:rsid w:val="00C927A7"/>
    <w:rsid w:val="00C9498D"/>
    <w:rsid w:val="00CA0BD1"/>
    <w:rsid w:val="00CA4C4E"/>
    <w:rsid w:val="00CA7BC2"/>
    <w:rsid w:val="00CA7C46"/>
    <w:rsid w:val="00CB512D"/>
    <w:rsid w:val="00CC10BB"/>
    <w:rsid w:val="00CC19EB"/>
    <w:rsid w:val="00CD4573"/>
    <w:rsid w:val="00CE11DC"/>
    <w:rsid w:val="00CE1EA8"/>
    <w:rsid w:val="00CE54D8"/>
    <w:rsid w:val="00D07442"/>
    <w:rsid w:val="00D07712"/>
    <w:rsid w:val="00D144D3"/>
    <w:rsid w:val="00D20CD5"/>
    <w:rsid w:val="00D21B76"/>
    <w:rsid w:val="00D331FC"/>
    <w:rsid w:val="00D378B3"/>
    <w:rsid w:val="00D42091"/>
    <w:rsid w:val="00D55BF3"/>
    <w:rsid w:val="00D56AB3"/>
    <w:rsid w:val="00D6322D"/>
    <w:rsid w:val="00D709BF"/>
    <w:rsid w:val="00D8010C"/>
    <w:rsid w:val="00D842EB"/>
    <w:rsid w:val="00D855D6"/>
    <w:rsid w:val="00D92899"/>
    <w:rsid w:val="00DA515B"/>
    <w:rsid w:val="00DA5E90"/>
    <w:rsid w:val="00DC4CE7"/>
    <w:rsid w:val="00DC6454"/>
    <w:rsid w:val="00DC7150"/>
    <w:rsid w:val="00DD756B"/>
    <w:rsid w:val="00DE18DA"/>
    <w:rsid w:val="00DE3B8A"/>
    <w:rsid w:val="00DF1620"/>
    <w:rsid w:val="00DF24C1"/>
    <w:rsid w:val="00DF541B"/>
    <w:rsid w:val="00E05FAF"/>
    <w:rsid w:val="00E1174E"/>
    <w:rsid w:val="00E131FF"/>
    <w:rsid w:val="00E140EA"/>
    <w:rsid w:val="00E175EC"/>
    <w:rsid w:val="00E278E0"/>
    <w:rsid w:val="00E329FF"/>
    <w:rsid w:val="00E3339C"/>
    <w:rsid w:val="00E33959"/>
    <w:rsid w:val="00E47AF3"/>
    <w:rsid w:val="00E53997"/>
    <w:rsid w:val="00E540E2"/>
    <w:rsid w:val="00E574B3"/>
    <w:rsid w:val="00E65D58"/>
    <w:rsid w:val="00E81983"/>
    <w:rsid w:val="00EA396E"/>
    <w:rsid w:val="00EC247C"/>
    <w:rsid w:val="00EC5581"/>
    <w:rsid w:val="00ED38B7"/>
    <w:rsid w:val="00ED5635"/>
    <w:rsid w:val="00ED752E"/>
    <w:rsid w:val="00EE2CE9"/>
    <w:rsid w:val="00F02167"/>
    <w:rsid w:val="00F02E64"/>
    <w:rsid w:val="00F063C4"/>
    <w:rsid w:val="00F0799A"/>
    <w:rsid w:val="00F22AB2"/>
    <w:rsid w:val="00F23C7E"/>
    <w:rsid w:val="00F26EEF"/>
    <w:rsid w:val="00F301AE"/>
    <w:rsid w:val="00F3310F"/>
    <w:rsid w:val="00F44D9D"/>
    <w:rsid w:val="00F470E4"/>
    <w:rsid w:val="00F559BB"/>
    <w:rsid w:val="00F55A9A"/>
    <w:rsid w:val="00F5689E"/>
    <w:rsid w:val="00F56CA8"/>
    <w:rsid w:val="00F57C21"/>
    <w:rsid w:val="00F6520E"/>
    <w:rsid w:val="00F65F16"/>
    <w:rsid w:val="00F75D9D"/>
    <w:rsid w:val="00F77100"/>
    <w:rsid w:val="00F8697A"/>
    <w:rsid w:val="00F877D0"/>
    <w:rsid w:val="00FA63D4"/>
    <w:rsid w:val="00FB54C1"/>
    <w:rsid w:val="00FB55C2"/>
    <w:rsid w:val="00FD044F"/>
    <w:rsid w:val="00FD22E8"/>
    <w:rsid w:val="00FD2493"/>
    <w:rsid w:val="00FF54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E77A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9DD"/>
    <w:pPr>
      <w:spacing w:after="240"/>
      <w:jc w:val="both"/>
    </w:pPr>
    <w:rPr>
      <w:sz w:val="24"/>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tabs>
        <w:tab w:val="clear" w:pos="2094"/>
        <w:tab w:val="num" w:pos="2880"/>
      </w:tabs>
      <w:ind w:left="2880"/>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18"/>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tabs>
        <w:tab w:val="clear" w:pos="2160"/>
      </w:tabs>
      <w:ind w:left="0"/>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rsid w:val="004A49DD"/>
    <w:pPr>
      <w:tabs>
        <w:tab w:val="right" w:leader="dot" w:pos="8640"/>
      </w:tabs>
      <w:spacing w:before="120" w:after="120"/>
      <w:ind w:left="482" w:right="720" w:hanging="482"/>
    </w:pPr>
    <w:rPr>
      <w:caps/>
    </w:rPr>
  </w:style>
  <w:style w:type="paragraph" w:styleId="TOC2">
    <w:name w:val="toc 2"/>
    <w:basedOn w:val="Normal"/>
    <w:next w:val="Normal"/>
    <w:rsid w:val="004A49DD"/>
    <w:pPr>
      <w:tabs>
        <w:tab w:val="right" w:leader="dot" w:pos="8640"/>
      </w:tabs>
      <w:spacing w:before="60" w:after="60"/>
      <w:ind w:left="1077" w:right="720" w:hanging="595"/>
    </w:pPr>
  </w:style>
  <w:style w:type="paragraph" w:styleId="TOC3">
    <w:name w:val="toc 3"/>
    <w:basedOn w:val="Normal"/>
    <w:next w:val="Normal"/>
    <w:rsid w:val="004A49DD"/>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TOCHeading1">
    <w:name w:val="TOC Heading1"/>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E329FF"/>
    <w:pPr>
      <w:widowControl w:val="0"/>
      <w:autoSpaceDE w:val="0"/>
      <w:autoSpaceDN w:val="0"/>
      <w:spacing w:after="0"/>
      <w:ind w:right="85"/>
    </w:pPr>
    <w:rPr>
      <w:rFonts w:ascii="Arial" w:hAnsi="Arial" w:cs="Arial"/>
      <w:szCs w:val="24"/>
    </w:rPr>
  </w:style>
  <w:style w:type="paragraph" w:customStyle="1" w:styleId="ZDGName">
    <w:name w:val="Z_DGName"/>
    <w:basedOn w:val="Normal"/>
    <w:uiPriority w:val="99"/>
    <w:rsid w:val="00E329FF"/>
    <w:pPr>
      <w:widowControl w:val="0"/>
      <w:autoSpaceDE w:val="0"/>
      <w:autoSpaceDN w:val="0"/>
      <w:spacing w:after="0"/>
      <w:ind w:right="85"/>
      <w:jc w:val="left"/>
    </w:pPr>
    <w:rPr>
      <w:rFonts w:ascii="Arial" w:hAnsi="Arial" w:cs="Arial"/>
      <w:sz w:val="16"/>
      <w:szCs w:val="16"/>
    </w:rPr>
  </w:style>
  <w:style w:type="character" w:styleId="FootnoteReference">
    <w:name w:val="footnote reference"/>
    <w:semiHidden/>
    <w:rsid w:val="00297784"/>
    <w:rPr>
      <w:rFonts w:ascii="Arial" w:hAnsi="Arial"/>
      <w:b/>
      <w:vertAlign w:val="superscript"/>
    </w:rPr>
  </w:style>
  <w:style w:type="table" w:styleId="TableGrid">
    <w:name w:val="Table Grid"/>
    <w:basedOn w:val="TableNormal"/>
    <w:rsid w:val="00236974"/>
    <w:pPr>
      <w:spacing w:after="24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4183E"/>
    <w:pPr>
      <w:spacing w:before="100" w:beforeAutospacing="1" w:after="100" w:afterAutospacing="1"/>
      <w:jc w:val="left"/>
    </w:pPr>
    <w:rPr>
      <w:szCs w:val="24"/>
    </w:rPr>
  </w:style>
  <w:style w:type="paragraph" w:customStyle="1" w:styleId="CharCharCharChar">
    <w:name w:val="Char Char Char Char"/>
    <w:basedOn w:val="Normal"/>
    <w:rsid w:val="00E961B5"/>
    <w:pPr>
      <w:spacing w:after="160" w:line="240" w:lineRule="exact"/>
      <w:jc w:val="left"/>
    </w:pPr>
    <w:rPr>
      <w:rFonts w:ascii="Tahoma" w:hAnsi="Tahoma"/>
      <w:sz w:val="20"/>
    </w:rPr>
  </w:style>
  <w:style w:type="paragraph" w:styleId="BalloonText">
    <w:name w:val="Balloon Text"/>
    <w:basedOn w:val="Normal"/>
    <w:semiHidden/>
    <w:rsid w:val="00B50408"/>
    <w:rPr>
      <w:rFonts w:ascii="Tahoma" w:hAnsi="Tahoma" w:cs="Tahoma"/>
      <w:sz w:val="16"/>
      <w:szCs w:val="16"/>
    </w:rPr>
  </w:style>
  <w:style w:type="paragraph" w:customStyle="1" w:styleId="CharCharCharCharCharCharCharCharChar">
    <w:name w:val="Char Char Char Char Char Char Char Char Char"/>
    <w:basedOn w:val="Normal"/>
    <w:rsid w:val="00901E2A"/>
    <w:pPr>
      <w:spacing w:after="160" w:line="240" w:lineRule="exact"/>
      <w:jc w:val="left"/>
    </w:pPr>
    <w:rPr>
      <w:rFonts w:ascii="Tahoma" w:hAnsi="Tahoma"/>
      <w:sz w:val="20"/>
    </w:rPr>
  </w:style>
  <w:style w:type="character" w:customStyle="1" w:styleId="DateChar">
    <w:name w:val="Date Char"/>
    <w:link w:val="Date"/>
    <w:rsid w:val="00FB0227"/>
    <w:rPr>
      <w:sz w:val="24"/>
      <w:lang w:val="sk-SK" w:eastAsia="sk-SK"/>
    </w:rPr>
  </w:style>
  <w:style w:type="character" w:customStyle="1" w:styleId="Heading3Char">
    <w:name w:val="Heading 3 Char"/>
    <w:link w:val="Heading3"/>
    <w:rsid w:val="007C6A03"/>
    <w:rPr>
      <w:i/>
      <w:sz w:val="24"/>
      <w:lang w:eastAsia="sk-SK"/>
    </w:rPr>
  </w:style>
  <w:style w:type="character" w:customStyle="1" w:styleId="Text1Char">
    <w:name w:val="Text 1 Char"/>
    <w:link w:val="Text1"/>
    <w:rsid w:val="00876744"/>
    <w:rPr>
      <w:sz w:val="24"/>
      <w:lang w:val="sk-SK" w:eastAsia="sk-SK" w:bidi="sk-SK"/>
    </w:rPr>
  </w:style>
  <w:style w:type="character" w:customStyle="1" w:styleId="CharacterStyle1">
    <w:name w:val="Character Style 1"/>
    <w:rsid w:val="00B26081"/>
    <w:rPr>
      <w:sz w:val="24"/>
      <w:szCs w:val="24"/>
    </w:rPr>
  </w:style>
  <w:style w:type="paragraph" w:customStyle="1" w:styleId="ColorfulList-Accent11">
    <w:name w:val="Colorful List - Accent 11"/>
    <w:basedOn w:val="Normal"/>
    <w:uiPriority w:val="34"/>
    <w:qFormat/>
    <w:rsid w:val="00A44C81"/>
    <w:pPr>
      <w:spacing w:after="0"/>
      <w:ind w:left="720"/>
      <w:contextualSpacing/>
      <w:jc w:val="left"/>
    </w:pPr>
    <w:rPr>
      <w:szCs w:val="24"/>
    </w:rPr>
  </w:style>
  <w:style w:type="paragraph" w:styleId="ListParagraph">
    <w:name w:val="List Paragraph"/>
    <w:basedOn w:val="Normal"/>
    <w:uiPriority w:val="34"/>
    <w:qFormat/>
    <w:rsid w:val="002950D9"/>
    <w:pPr>
      <w:ind w:left="720"/>
    </w:pPr>
  </w:style>
  <w:style w:type="paragraph" w:styleId="Revision">
    <w:name w:val="Revision"/>
    <w:hidden/>
    <w:uiPriority w:val="99"/>
    <w:semiHidden/>
    <w:rsid w:val="006312B2"/>
    <w:rPr>
      <w:sz w:val="24"/>
    </w:rPr>
  </w:style>
  <w:style w:type="character" w:styleId="Hyperlink">
    <w:name w:val="Hyperlink"/>
    <w:uiPriority w:val="99"/>
    <w:unhideWhenUsed/>
    <w:rsid w:val="00BE76A9"/>
    <w:rPr>
      <w:color w:val="0000FF"/>
      <w:u w:val="single"/>
    </w:rPr>
  </w:style>
  <w:style w:type="character" w:styleId="CommentReference">
    <w:name w:val="annotation reference"/>
    <w:rsid w:val="00136F45"/>
    <w:rPr>
      <w:sz w:val="16"/>
      <w:szCs w:val="16"/>
    </w:rPr>
  </w:style>
  <w:style w:type="paragraph" w:styleId="CommentSubject">
    <w:name w:val="annotation subject"/>
    <w:basedOn w:val="CommentText"/>
    <w:next w:val="CommentText"/>
    <w:link w:val="CommentSubjectChar"/>
    <w:rsid w:val="00136F45"/>
    <w:rPr>
      <w:b/>
      <w:bCs/>
    </w:rPr>
  </w:style>
  <w:style w:type="character" w:customStyle="1" w:styleId="CommentTextChar">
    <w:name w:val="Comment Text Char"/>
    <w:link w:val="CommentText"/>
    <w:semiHidden/>
    <w:rsid w:val="00136F45"/>
    <w:rPr>
      <w:lang w:eastAsia="sk-SK"/>
    </w:rPr>
  </w:style>
  <w:style w:type="character" w:customStyle="1" w:styleId="CommentSubjectChar">
    <w:name w:val="Comment Subject Char"/>
    <w:link w:val="CommentSubject"/>
    <w:rsid w:val="00136F45"/>
    <w:rPr>
      <w:b/>
      <w:bCs/>
      <w:lang w:eastAsia="sk-SK"/>
    </w:rPr>
  </w:style>
  <w:style w:type="paragraph" w:customStyle="1" w:styleId="Default">
    <w:name w:val="Default"/>
    <w:rsid w:val="00023C64"/>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w:semiHidden="0" w:unhideWhenUsed="0"/>
    <w:lsdException w:name="List 2" w:semiHidden="0" w:unhideWhenUsed="0"/>
    <w:lsdException w:name="List 3" w:semiHidden="0" w:unhideWhenUsed="0"/>
    <w:lsdException w:name="Title" w:semiHidden="0" w:unhideWhenUsed="0" w:qFormat="1"/>
    <w:lsdException w:name="List Continue 5" w:semiHidden="0" w:unhideWhenUsed="0"/>
    <w:lsdException w:name="Message Header" w:semiHidden="0" w:unhideWhenUsed="0"/>
    <w:lsdException w:name="Subtitle" w:semiHidden="0" w:unhideWhenUsed="0" w:qFormat="1"/>
    <w:lsdException w:name="Salutation"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49DD"/>
    <w:pPr>
      <w:spacing w:after="240"/>
      <w:jc w:val="both"/>
    </w:pPr>
    <w:rPr>
      <w:sz w:val="24"/>
    </w:rPr>
  </w:style>
  <w:style w:type="paragraph" w:styleId="Heading1">
    <w:name w:val="heading 1"/>
    <w:basedOn w:val="Normal"/>
    <w:next w:val="Text1"/>
    <w:qFormat/>
    <w:pPr>
      <w:keepNext/>
      <w:numPr>
        <w:numId w:val="3"/>
      </w:numPr>
      <w:spacing w:before="240"/>
      <w:outlineLvl w:val="0"/>
    </w:pPr>
    <w:rPr>
      <w:b/>
      <w:smallCaps/>
    </w:rPr>
  </w:style>
  <w:style w:type="paragraph" w:styleId="Heading2">
    <w:name w:val="heading 2"/>
    <w:basedOn w:val="Normal"/>
    <w:next w:val="Text2"/>
    <w:qFormat/>
    <w:pPr>
      <w:keepNext/>
      <w:numPr>
        <w:ilvl w:val="1"/>
        <w:numId w:val="3"/>
      </w:numPr>
      <w:outlineLvl w:val="1"/>
    </w:pPr>
    <w:rPr>
      <w:b/>
    </w:rPr>
  </w:style>
  <w:style w:type="paragraph" w:styleId="Heading3">
    <w:name w:val="heading 3"/>
    <w:basedOn w:val="Normal"/>
    <w:next w:val="Text3"/>
    <w:link w:val="Heading3Char"/>
    <w:qFormat/>
    <w:pPr>
      <w:keepNext/>
      <w:numPr>
        <w:ilvl w:val="2"/>
        <w:numId w:val="3"/>
      </w:numPr>
      <w:outlineLvl w:val="2"/>
    </w:pPr>
    <w:rPr>
      <w:i/>
    </w:rPr>
  </w:style>
  <w:style w:type="paragraph" w:styleId="Heading4">
    <w:name w:val="heading 4"/>
    <w:basedOn w:val="Normal"/>
    <w:next w:val="Text4"/>
    <w:qFormat/>
    <w:pPr>
      <w:keepNext/>
      <w:numPr>
        <w:ilvl w:val="3"/>
        <w:numId w:val="3"/>
      </w:numPr>
      <w:tabs>
        <w:tab w:val="clear" w:pos="2094"/>
        <w:tab w:val="num" w:pos="2880"/>
      </w:tabs>
      <w:ind w:left="2880"/>
      <w:outlineLvl w:val="3"/>
    </w:pPr>
  </w:style>
  <w:style w:type="paragraph" w:styleId="Heading5">
    <w:name w:val="heading 5"/>
    <w:basedOn w:val="Normal"/>
    <w:next w:val="Normal"/>
    <w:qFormat/>
    <w:pPr>
      <w:spacing w:before="240" w:after="60"/>
      <w:ind w:left="3332" w:hanging="708"/>
      <w:outlineLvl w:val="4"/>
    </w:pPr>
    <w:rPr>
      <w:rFonts w:ascii="Arial" w:hAnsi="Arial"/>
      <w:sz w:val="22"/>
    </w:rPr>
  </w:style>
  <w:style w:type="paragraph" w:styleId="Heading6">
    <w:name w:val="heading 6"/>
    <w:basedOn w:val="Normal"/>
    <w:next w:val="Normal"/>
    <w:qFormat/>
    <w:pPr>
      <w:spacing w:before="240" w:after="60"/>
      <w:ind w:left="4040" w:hanging="708"/>
      <w:outlineLvl w:val="5"/>
    </w:pPr>
    <w:rPr>
      <w:rFonts w:ascii="Arial" w:hAnsi="Arial"/>
      <w:i/>
      <w:sz w:val="22"/>
    </w:rPr>
  </w:style>
  <w:style w:type="paragraph" w:styleId="Heading7">
    <w:name w:val="heading 7"/>
    <w:basedOn w:val="Normal"/>
    <w:next w:val="Normal"/>
    <w:qFormat/>
    <w:pPr>
      <w:spacing w:before="240" w:after="60"/>
      <w:ind w:left="4748" w:hanging="708"/>
      <w:outlineLvl w:val="6"/>
    </w:pPr>
    <w:rPr>
      <w:rFonts w:ascii="Arial" w:hAnsi="Arial"/>
      <w:sz w:val="20"/>
    </w:rPr>
  </w:style>
  <w:style w:type="paragraph" w:styleId="Heading8">
    <w:name w:val="heading 8"/>
    <w:basedOn w:val="Normal"/>
    <w:next w:val="Normal"/>
    <w:qFormat/>
    <w:pPr>
      <w:spacing w:before="240" w:after="60"/>
      <w:ind w:left="5456" w:hanging="708"/>
      <w:outlineLvl w:val="7"/>
    </w:pPr>
    <w:rPr>
      <w:rFonts w:ascii="Arial" w:hAnsi="Arial"/>
      <w:i/>
      <w:sz w:val="20"/>
    </w:rPr>
  </w:style>
  <w:style w:type="paragraph" w:styleId="Heading9">
    <w:name w:val="heading 9"/>
    <w:basedOn w:val="Normal"/>
    <w:next w:val="Normal"/>
    <w:qFormat/>
    <w:pPr>
      <w:spacing w:before="240" w:after="60"/>
      <w:ind w:left="6164" w:hanging="708"/>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pPr>
      <w:ind w:left="482"/>
    </w:pPr>
  </w:style>
  <w:style w:type="paragraph" w:customStyle="1" w:styleId="Text2">
    <w:name w:val="Text 2"/>
    <w:basedOn w:val="Normal"/>
    <w:pPr>
      <w:tabs>
        <w:tab w:val="left" w:pos="2160"/>
      </w:tabs>
      <w:ind w:left="1077"/>
    </w:pPr>
  </w:style>
  <w:style w:type="paragraph" w:customStyle="1" w:styleId="Text3">
    <w:name w:val="Text 3"/>
    <w:basedOn w:val="Normal"/>
    <w:pPr>
      <w:tabs>
        <w:tab w:val="left" w:pos="2302"/>
      </w:tabs>
      <w:ind w:left="1916"/>
    </w:pPr>
  </w:style>
  <w:style w:type="paragraph" w:customStyle="1" w:styleId="Text4">
    <w:name w:val="Text 4"/>
    <w:basedOn w:val="Normal"/>
    <w:pPr>
      <w:ind w:left="2880"/>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style>
  <w:style w:type="paragraph" w:customStyle="1" w:styleId="Enclosures">
    <w:name w:val="Enclosures"/>
    <w:basedOn w:val="Normal"/>
    <w:next w:val="Participants"/>
    <w:pPr>
      <w:keepNext/>
      <w:keepLines/>
      <w:tabs>
        <w:tab w:val="left" w:pos="5670"/>
      </w:tabs>
      <w:spacing w:before="480" w:after="0"/>
      <w:ind w:left="1985" w:hanging="1985"/>
      <w:jc w:val="left"/>
    </w:pPr>
  </w:style>
  <w:style w:type="paragraph" w:customStyle="1" w:styleId="Participants">
    <w:name w:val="Participants"/>
    <w:basedOn w:val="Normal"/>
    <w:next w:val="Copies"/>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Pr>
      <w:sz w:val="20"/>
    </w:rPr>
  </w:style>
  <w:style w:type="paragraph" w:styleId="Date">
    <w:name w:val="Date"/>
    <w:basedOn w:val="Normal"/>
    <w:next w:val="References"/>
    <w:link w:val="DateChar"/>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Contact"/>
    <w:pPr>
      <w:tabs>
        <w:tab w:val="left" w:pos="5103"/>
      </w:tabs>
      <w:spacing w:before="1200" w:after="0"/>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pPr>
      <w:numPr>
        <w:numId w:val="4"/>
      </w:numPr>
    </w:pPr>
  </w:style>
  <w:style w:type="paragraph" w:styleId="ListBullet2">
    <w:name w:val="List Bullet 2"/>
    <w:basedOn w:val="Text2"/>
    <w:pPr>
      <w:numPr>
        <w:numId w:val="6"/>
      </w:numPr>
      <w:tabs>
        <w:tab w:val="clear" w:pos="2160"/>
      </w:tabs>
    </w:pPr>
  </w:style>
  <w:style w:type="paragraph" w:styleId="ListBullet3">
    <w:name w:val="List Bullet 3"/>
    <w:basedOn w:val="Text3"/>
    <w:pPr>
      <w:numPr>
        <w:numId w:val="18"/>
      </w:numPr>
      <w:tabs>
        <w:tab w:val="clear" w:pos="2302"/>
      </w:tabs>
    </w:pPr>
  </w:style>
  <w:style w:type="paragraph" w:styleId="ListBullet4">
    <w:name w:val="List Bullet 4"/>
    <w:basedOn w:val="Text4"/>
    <w:pPr>
      <w:numPr>
        <w:numId w:val="7"/>
      </w:numPr>
    </w:p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13"/>
      </w:numPr>
    </w:pPr>
  </w:style>
  <w:style w:type="paragraph" w:styleId="ListNumber2">
    <w:name w:val="List Number 2"/>
    <w:basedOn w:val="Text2"/>
    <w:pPr>
      <w:tabs>
        <w:tab w:val="clear" w:pos="2160"/>
      </w:tabs>
      <w:ind w:left="0"/>
    </w:pPr>
  </w:style>
  <w:style w:type="paragraph" w:styleId="ListNumber3">
    <w:name w:val="List Number 3"/>
    <w:basedOn w:val="Text3"/>
    <w:pPr>
      <w:numPr>
        <w:numId w:val="16"/>
      </w:numPr>
      <w:tabs>
        <w:tab w:val="clear" w:pos="2302"/>
      </w:tabs>
    </w:pPr>
  </w:style>
  <w:style w:type="paragraph" w:styleId="ListNumber4">
    <w:name w:val="List Number 4"/>
    <w:basedOn w:val="Text4"/>
    <w:pPr>
      <w:numPr>
        <w:numId w:val="17"/>
      </w:numPr>
    </w:p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qFormat/>
    <w:pPr>
      <w:spacing w:before="240" w:after="60"/>
      <w:jc w:val="center"/>
      <w:outlineLvl w:val="0"/>
    </w:pPr>
    <w:rPr>
      <w:rFonts w:ascii="Arial" w:hAnsi="Arial"/>
      <w:b/>
      <w:kern w:val="28"/>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rsid w:val="004A49DD"/>
    <w:pPr>
      <w:tabs>
        <w:tab w:val="right" w:leader="dot" w:pos="8640"/>
      </w:tabs>
      <w:spacing w:before="120" w:after="120"/>
      <w:ind w:left="482" w:right="720" w:hanging="482"/>
    </w:pPr>
    <w:rPr>
      <w:caps/>
    </w:rPr>
  </w:style>
  <w:style w:type="paragraph" w:styleId="TOC2">
    <w:name w:val="toc 2"/>
    <w:basedOn w:val="Normal"/>
    <w:next w:val="Normal"/>
    <w:rsid w:val="004A49DD"/>
    <w:pPr>
      <w:tabs>
        <w:tab w:val="right" w:leader="dot" w:pos="8640"/>
      </w:tabs>
      <w:spacing w:before="60" w:after="60"/>
      <w:ind w:left="1077" w:right="720" w:hanging="595"/>
    </w:pPr>
  </w:style>
  <w:style w:type="paragraph" w:styleId="TOC3">
    <w:name w:val="toc 3"/>
    <w:basedOn w:val="Normal"/>
    <w:next w:val="Normal"/>
    <w:rsid w:val="004A49DD"/>
    <w:pPr>
      <w:tabs>
        <w:tab w:val="right" w:leader="dot" w:pos="8640"/>
      </w:tabs>
      <w:spacing w:before="60" w:after="60"/>
      <w:ind w:left="1916" w:right="720" w:hanging="839"/>
    </w:pPr>
  </w:style>
  <w:style w:type="paragraph" w:styleId="TOC4">
    <w:name w:val="toc 4"/>
    <w:basedOn w:val="Normal"/>
    <w:next w:val="Normal"/>
    <w:semiHidden/>
    <w:pPr>
      <w:tabs>
        <w:tab w:val="right" w:leader="dot" w:pos="8641"/>
      </w:tabs>
      <w:spacing w:before="60" w:after="60"/>
      <w:ind w:left="2880" w:right="720" w:hanging="964"/>
    </w:pPr>
  </w:style>
  <w:style w:type="paragraph" w:styleId="TOC5">
    <w:name w:val="toc 5"/>
    <w:basedOn w:val="Normal"/>
    <w:next w:val="Normal"/>
    <w:semiHidden/>
    <w:pPr>
      <w:tabs>
        <w:tab w:val="right" w:leader="dot" w:pos="8641"/>
      </w:tabs>
      <w:spacing w:before="240" w:after="120"/>
      <w:ind w:right="720"/>
    </w:pPr>
    <w:rPr>
      <w:cap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5"/>
      </w:numPr>
    </w:pPr>
  </w:style>
  <w:style w:type="paragraph" w:customStyle="1" w:styleId="ListDash">
    <w:name w:val="List Dash"/>
    <w:basedOn w:val="Normal"/>
    <w:pPr>
      <w:numPr>
        <w:numId w:val="8"/>
      </w:numPr>
    </w:pPr>
  </w:style>
  <w:style w:type="paragraph" w:customStyle="1" w:styleId="ListDash1">
    <w:name w:val="List Dash 1"/>
    <w:basedOn w:val="Text1"/>
    <w:pPr>
      <w:numPr>
        <w:numId w:val="9"/>
      </w:numPr>
    </w:pPr>
  </w:style>
  <w:style w:type="paragraph" w:customStyle="1" w:styleId="ListDash2">
    <w:name w:val="List Dash 2"/>
    <w:basedOn w:val="Text2"/>
    <w:pPr>
      <w:numPr>
        <w:numId w:val="10"/>
      </w:numPr>
      <w:tabs>
        <w:tab w:val="clear" w:pos="2160"/>
      </w:tabs>
    </w:pPr>
  </w:style>
  <w:style w:type="paragraph" w:customStyle="1" w:styleId="ListDash3">
    <w:name w:val="List Dash 3"/>
    <w:basedOn w:val="Text3"/>
    <w:pPr>
      <w:numPr>
        <w:numId w:val="11"/>
      </w:numPr>
      <w:tabs>
        <w:tab w:val="clear" w:pos="2302"/>
      </w:tabs>
    </w:pPr>
  </w:style>
  <w:style w:type="paragraph" w:customStyle="1" w:styleId="ListDash4">
    <w:name w:val="List Dash 4"/>
    <w:basedOn w:val="Text4"/>
    <w:pPr>
      <w:numPr>
        <w:numId w:val="12"/>
      </w:numPr>
    </w:pPr>
  </w:style>
  <w:style w:type="paragraph" w:customStyle="1" w:styleId="ListNumberLevel2">
    <w:name w:val="List Number (Level 2)"/>
    <w:basedOn w:val="Normal"/>
    <w:pPr>
      <w:numPr>
        <w:ilvl w:val="1"/>
        <w:numId w:val="13"/>
      </w:numPr>
    </w:pPr>
  </w:style>
  <w:style w:type="paragraph" w:customStyle="1" w:styleId="ListNumberLevel3">
    <w:name w:val="List Number (Level 3)"/>
    <w:basedOn w:val="Normal"/>
    <w:pPr>
      <w:numPr>
        <w:ilvl w:val="2"/>
        <w:numId w:val="13"/>
      </w:numPr>
    </w:pPr>
  </w:style>
  <w:style w:type="paragraph" w:customStyle="1" w:styleId="ListNumberLevel4">
    <w:name w:val="List Number (Level 4)"/>
    <w:basedOn w:val="Normal"/>
    <w:pPr>
      <w:numPr>
        <w:ilvl w:val="3"/>
        <w:numId w:val="13"/>
      </w:numPr>
    </w:pPr>
  </w:style>
  <w:style w:type="paragraph" w:customStyle="1" w:styleId="ListNumber1">
    <w:name w:val="List Number 1"/>
    <w:basedOn w:val="Text1"/>
    <w:pPr>
      <w:numPr>
        <w:numId w:val="14"/>
      </w:numPr>
    </w:pPr>
  </w:style>
  <w:style w:type="paragraph" w:customStyle="1" w:styleId="ListNumber1Level2">
    <w:name w:val="List Number 1 (Level 2)"/>
    <w:basedOn w:val="Text1"/>
    <w:pPr>
      <w:numPr>
        <w:ilvl w:val="1"/>
        <w:numId w:val="14"/>
      </w:numPr>
    </w:pPr>
  </w:style>
  <w:style w:type="paragraph" w:customStyle="1" w:styleId="ListNumber1Level3">
    <w:name w:val="List Number 1 (Level 3)"/>
    <w:basedOn w:val="Text1"/>
    <w:pPr>
      <w:numPr>
        <w:ilvl w:val="2"/>
        <w:numId w:val="14"/>
      </w:numPr>
    </w:pPr>
  </w:style>
  <w:style w:type="paragraph" w:customStyle="1" w:styleId="ListNumber1Level4">
    <w:name w:val="List Number 1 (Level 4)"/>
    <w:basedOn w:val="Text1"/>
    <w:pPr>
      <w:numPr>
        <w:ilvl w:val="3"/>
        <w:numId w:val="14"/>
      </w:numPr>
    </w:pPr>
  </w:style>
  <w:style w:type="paragraph" w:customStyle="1" w:styleId="ListNumber2Level2">
    <w:name w:val="List Number 2 (Level 2)"/>
    <w:basedOn w:val="Text2"/>
    <w:pPr>
      <w:numPr>
        <w:ilvl w:val="1"/>
        <w:numId w:val="15"/>
      </w:numPr>
      <w:tabs>
        <w:tab w:val="clear" w:pos="2160"/>
      </w:tabs>
    </w:pPr>
  </w:style>
  <w:style w:type="paragraph" w:customStyle="1" w:styleId="ListNumber2Level3">
    <w:name w:val="List Number 2 (Level 3)"/>
    <w:basedOn w:val="Text2"/>
    <w:pPr>
      <w:numPr>
        <w:ilvl w:val="2"/>
        <w:numId w:val="15"/>
      </w:numPr>
      <w:tabs>
        <w:tab w:val="clear" w:pos="2160"/>
      </w:tabs>
    </w:pPr>
  </w:style>
  <w:style w:type="paragraph" w:customStyle="1" w:styleId="ListNumber2Level4">
    <w:name w:val="List Number 2 (Level 4)"/>
    <w:basedOn w:val="Text2"/>
    <w:pPr>
      <w:numPr>
        <w:ilvl w:val="3"/>
        <w:numId w:val="15"/>
      </w:numPr>
      <w:tabs>
        <w:tab w:val="clear" w:pos="2160"/>
      </w:tabs>
    </w:pPr>
  </w:style>
  <w:style w:type="paragraph" w:customStyle="1" w:styleId="ListNumber3Level2">
    <w:name w:val="List Number 3 (Level 2)"/>
    <w:basedOn w:val="Text3"/>
    <w:pPr>
      <w:numPr>
        <w:ilvl w:val="1"/>
        <w:numId w:val="16"/>
      </w:numPr>
      <w:tabs>
        <w:tab w:val="clear" w:pos="2302"/>
      </w:tabs>
    </w:pPr>
  </w:style>
  <w:style w:type="paragraph" w:customStyle="1" w:styleId="ListNumber3Level3">
    <w:name w:val="List Number 3 (Level 3)"/>
    <w:basedOn w:val="Text3"/>
    <w:pPr>
      <w:numPr>
        <w:ilvl w:val="2"/>
        <w:numId w:val="16"/>
      </w:numPr>
      <w:tabs>
        <w:tab w:val="clear" w:pos="2302"/>
      </w:tabs>
    </w:pPr>
  </w:style>
  <w:style w:type="paragraph" w:customStyle="1" w:styleId="ListNumber3Level4">
    <w:name w:val="List Number 3 (Level 4)"/>
    <w:basedOn w:val="Text3"/>
    <w:pPr>
      <w:numPr>
        <w:ilvl w:val="3"/>
        <w:numId w:val="16"/>
      </w:numPr>
      <w:tabs>
        <w:tab w:val="clear" w:pos="2302"/>
      </w:tabs>
    </w:pPr>
  </w:style>
  <w:style w:type="paragraph" w:customStyle="1" w:styleId="ListNumber4Level2">
    <w:name w:val="List Number 4 (Level 2)"/>
    <w:basedOn w:val="Text4"/>
    <w:pPr>
      <w:numPr>
        <w:ilvl w:val="1"/>
        <w:numId w:val="17"/>
      </w:numPr>
    </w:pPr>
  </w:style>
  <w:style w:type="paragraph" w:customStyle="1" w:styleId="ListNumber4Level3">
    <w:name w:val="List Number 4 (Level 3)"/>
    <w:basedOn w:val="Text4"/>
    <w:pPr>
      <w:numPr>
        <w:ilvl w:val="2"/>
        <w:numId w:val="17"/>
      </w:numPr>
    </w:pPr>
  </w:style>
  <w:style w:type="paragraph" w:customStyle="1" w:styleId="ListNumber4Level4">
    <w:name w:val="List Number 4 (Level 4)"/>
    <w:basedOn w:val="Text4"/>
    <w:pPr>
      <w:numPr>
        <w:ilvl w:val="3"/>
        <w:numId w:val="17"/>
      </w:numPr>
    </w:pPr>
  </w:style>
  <w:style w:type="paragraph" w:customStyle="1" w:styleId="TOCHeading1">
    <w:name w:val="TOC Heading1"/>
    <w:basedOn w:val="Normal"/>
    <w:next w:val="Normal"/>
    <w:qFormat/>
    <w:pPr>
      <w:keepNext/>
      <w:spacing w:before="240"/>
      <w:jc w:val="center"/>
    </w:pPr>
    <w:rPr>
      <w:b/>
    </w:rPr>
  </w:style>
  <w:style w:type="paragraph" w:customStyle="1" w:styleId="Contact">
    <w:name w:val="Contact"/>
    <w:basedOn w:val="Normal"/>
    <w:next w:val="Enclosures"/>
    <w:pPr>
      <w:spacing w:before="480" w:after="0"/>
      <w:ind w:left="567" w:hanging="567"/>
      <w:jc w:val="left"/>
    </w:pPr>
  </w:style>
  <w:style w:type="paragraph" w:customStyle="1" w:styleId="DisclaimerNotice">
    <w:name w:val="Disclaimer Notice"/>
    <w:basedOn w:val="Normal"/>
    <w:next w:val="AddressTR"/>
    <w:pPr>
      <w:ind w:left="5103"/>
      <w:jc w:val="left"/>
    </w:pPr>
    <w:rPr>
      <w:i/>
      <w:sz w:val="20"/>
    </w:rPr>
  </w:style>
  <w:style w:type="paragraph" w:customStyle="1" w:styleId="Disclaimer">
    <w:name w:val="Disclaimer"/>
    <w:basedOn w:val="Normal"/>
    <w:pPr>
      <w:keepLines/>
      <w:pBdr>
        <w:top w:val="single" w:sz="4" w:space="1" w:color="auto"/>
      </w:pBdr>
      <w:spacing w:before="480" w:after="0"/>
    </w:pPr>
    <w:rPr>
      <w:i/>
    </w:rPr>
  </w:style>
  <w:style w:type="character" w:styleId="FollowedHyperlink">
    <w:name w:val="FollowedHyperlink"/>
    <w:rPr>
      <w:color w:val="800080"/>
      <w:u w:val="single"/>
    </w:rPr>
  </w:style>
  <w:style w:type="paragraph" w:customStyle="1" w:styleId="DisclaimerSJ">
    <w:name w:val="Disclaimer_SJ"/>
    <w:basedOn w:val="Normal"/>
    <w:next w:val="Normal"/>
    <w:pPr>
      <w:spacing w:after="0"/>
    </w:pPr>
    <w:rPr>
      <w:rFonts w:ascii="Arial" w:hAnsi="Arial"/>
      <w:b/>
      <w:sz w:val="16"/>
    </w:rPr>
  </w:style>
  <w:style w:type="paragraph" w:customStyle="1" w:styleId="ZCom">
    <w:name w:val="Z_Com"/>
    <w:basedOn w:val="Normal"/>
    <w:next w:val="ZDGName"/>
    <w:rsid w:val="00E329FF"/>
    <w:pPr>
      <w:widowControl w:val="0"/>
      <w:autoSpaceDE w:val="0"/>
      <w:autoSpaceDN w:val="0"/>
      <w:spacing w:after="0"/>
      <w:ind w:right="85"/>
    </w:pPr>
    <w:rPr>
      <w:rFonts w:ascii="Arial" w:hAnsi="Arial" w:cs="Arial"/>
      <w:szCs w:val="24"/>
    </w:rPr>
  </w:style>
  <w:style w:type="paragraph" w:customStyle="1" w:styleId="ZDGName">
    <w:name w:val="Z_DGName"/>
    <w:basedOn w:val="Normal"/>
    <w:uiPriority w:val="99"/>
    <w:rsid w:val="00E329FF"/>
    <w:pPr>
      <w:widowControl w:val="0"/>
      <w:autoSpaceDE w:val="0"/>
      <w:autoSpaceDN w:val="0"/>
      <w:spacing w:after="0"/>
      <w:ind w:right="85"/>
      <w:jc w:val="left"/>
    </w:pPr>
    <w:rPr>
      <w:rFonts w:ascii="Arial" w:hAnsi="Arial" w:cs="Arial"/>
      <w:sz w:val="16"/>
      <w:szCs w:val="16"/>
    </w:rPr>
  </w:style>
  <w:style w:type="character" w:styleId="FootnoteReference">
    <w:name w:val="footnote reference"/>
    <w:semiHidden/>
    <w:rsid w:val="00297784"/>
    <w:rPr>
      <w:rFonts w:ascii="Arial" w:hAnsi="Arial"/>
      <w:b/>
      <w:vertAlign w:val="superscript"/>
    </w:rPr>
  </w:style>
  <w:style w:type="table" w:styleId="TableGrid">
    <w:name w:val="Table Grid"/>
    <w:basedOn w:val="TableNormal"/>
    <w:rsid w:val="00236974"/>
    <w:pPr>
      <w:spacing w:after="240"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74183E"/>
    <w:pPr>
      <w:spacing w:before="100" w:beforeAutospacing="1" w:after="100" w:afterAutospacing="1"/>
      <w:jc w:val="left"/>
    </w:pPr>
    <w:rPr>
      <w:szCs w:val="24"/>
    </w:rPr>
  </w:style>
  <w:style w:type="paragraph" w:customStyle="1" w:styleId="CharCharCharChar">
    <w:name w:val="Char Char Char Char"/>
    <w:basedOn w:val="Normal"/>
    <w:rsid w:val="00E961B5"/>
    <w:pPr>
      <w:spacing w:after="160" w:line="240" w:lineRule="exact"/>
      <w:jc w:val="left"/>
    </w:pPr>
    <w:rPr>
      <w:rFonts w:ascii="Tahoma" w:hAnsi="Tahoma"/>
      <w:sz w:val="20"/>
    </w:rPr>
  </w:style>
  <w:style w:type="paragraph" w:styleId="BalloonText">
    <w:name w:val="Balloon Text"/>
    <w:basedOn w:val="Normal"/>
    <w:semiHidden/>
    <w:rsid w:val="00B50408"/>
    <w:rPr>
      <w:rFonts w:ascii="Tahoma" w:hAnsi="Tahoma" w:cs="Tahoma"/>
      <w:sz w:val="16"/>
      <w:szCs w:val="16"/>
    </w:rPr>
  </w:style>
  <w:style w:type="paragraph" w:customStyle="1" w:styleId="CharCharCharCharCharCharCharCharChar">
    <w:name w:val="Char Char Char Char Char Char Char Char Char"/>
    <w:basedOn w:val="Normal"/>
    <w:rsid w:val="00901E2A"/>
    <w:pPr>
      <w:spacing w:after="160" w:line="240" w:lineRule="exact"/>
      <w:jc w:val="left"/>
    </w:pPr>
    <w:rPr>
      <w:rFonts w:ascii="Tahoma" w:hAnsi="Tahoma"/>
      <w:sz w:val="20"/>
    </w:rPr>
  </w:style>
  <w:style w:type="character" w:customStyle="1" w:styleId="DateChar">
    <w:name w:val="Date Char"/>
    <w:link w:val="Date"/>
    <w:rsid w:val="00FB0227"/>
    <w:rPr>
      <w:sz w:val="24"/>
      <w:lang w:val="sk-SK" w:eastAsia="sk-SK"/>
    </w:rPr>
  </w:style>
  <w:style w:type="character" w:customStyle="1" w:styleId="Heading3Char">
    <w:name w:val="Heading 3 Char"/>
    <w:link w:val="Heading3"/>
    <w:rsid w:val="007C6A03"/>
    <w:rPr>
      <w:i/>
      <w:sz w:val="24"/>
      <w:lang w:eastAsia="sk-SK"/>
    </w:rPr>
  </w:style>
  <w:style w:type="character" w:customStyle="1" w:styleId="Text1Char">
    <w:name w:val="Text 1 Char"/>
    <w:link w:val="Text1"/>
    <w:rsid w:val="00876744"/>
    <w:rPr>
      <w:sz w:val="24"/>
      <w:lang w:val="sk-SK" w:eastAsia="sk-SK" w:bidi="sk-SK"/>
    </w:rPr>
  </w:style>
  <w:style w:type="character" w:customStyle="1" w:styleId="CharacterStyle1">
    <w:name w:val="Character Style 1"/>
    <w:rsid w:val="00B26081"/>
    <w:rPr>
      <w:sz w:val="24"/>
      <w:szCs w:val="24"/>
    </w:rPr>
  </w:style>
  <w:style w:type="paragraph" w:customStyle="1" w:styleId="ColorfulList-Accent11">
    <w:name w:val="Colorful List - Accent 11"/>
    <w:basedOn w:val="Normal"/>
    <w:uiPriority w:val="34"/>
    <w:qFormat/>
    <w:rsid w:val="00A44C81"/>
    <w:pPr>
      <w:spacing w:after="0"/>
      <w:ind w:left="720"/>
      <w:contextualSpacing/>
      <w:jc w:val="left"/>
    </w:pPr>
    <w:rPr>
      <w:szCs w:val="24"/>
    </w:rPr>
  </w:style>
  <w:style w:type="paragraph" w:styleId="ListParagraph">
    <w:name w:val="List Paragraph"/>
    <w:basedOn w:val="Normal"/>
    <w:uiPriority w:val="34"/>
    <w:qFormat/>
    <w:rsid w:val="002950D9"/>
    <w:pPr>
      <w:ind w:left="720"/>
    </w:pPr>
  </w:style>
  <w:style w:type="paragraph" w:styleId="Revision">
    <w:name w:val="Revision"/>
    <w:hidden/>
    <w:uiPriority w:val="99"/>
    <w:semiHidden/>
    <w:rsid w:val="006312B2"/>
    <w:rPr>
      <w:sz w:val="24"/>
    </w:rPr>
  </w:style>
  <w:style w:type="character" w:styleId="Hyperlink">
    <w:name w:val="Hyperlink"/>
    <w:uiPriority w:val="99"/>
    <w:unhideWhenUsed/>
    <w:rsid w:val="00BE76A9"/>
    <w:rPr>
      <w:color w:val="0000FF"/>
      <w:u w:val="single"/>
    </w:rPr>
  </w:style>
  <w:style w:type="character" w:styleId="CommentReference">
    <w:name w:val="annotation reference"/>
    <w:rsid w:val="00136F45"/>
    <w:rPr>
      <w:sz w:val="16"/>
      <w:szCs w:val="16"/>
    </w:rPr>
  </w:style>
  <w:style w:type="paragraph" w:styleId="CommentSubject">
    <w:name w:val="annotation subject"/>
    <w:basedOn w:val="CommentText"/>
    <w:next w:val="CommentText"/>
    <w:link w:val="CommentSubjectChar"/>
    <w:rsid w:val="00136F45"/>
    <w:rPr>
      <w:b/>
      <w:bCs/>
    </w:rPr>
  </w:style>
  <w:style w:type="character" w:customStyle="1" w:styleId="CommentTextChar">
    <w:name w:val="Comment Text Char"/>
    <w:link w:val="CommentText"/>
    <w:semiHidden/>
    <w:rsid w:val="00136F45"/>
    <w:rPr>
      <w:lang w:eastAsia="sk-SK"/>
    </w:rPr>
  </w:style>
  <w:style w:type="character" w:customStyle="1" w:styleId="CommentSubjectChar">
    <w:name w:val="Comment Subject Char"/>
    <w:link w:val="CommentSubject"/>
    <w:rsid w:val="00136F45"/>
    <w:rPr>
      <w:b/>
      <w:bCs/>
      <w:lang w:eastAsia="sk-SK"/>
    </w:rPr>
  </w:style>
  <w:style w:type="paragraph" w:customStyle="1" w:styleId="Default">
    <w:name w:val="Default"/>
    <w:rsid w:val="00023C64"/>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5015811">
      <w:bodyDiv w:val="1"/>
      <w:marLeft w:val="0"/>
      <w:marRight w:val="0"/>
      <w:marTop w:val="0"/>
      <w:marBottom w:val="0"/>
      <w:divBdr>
        <w:top w:val="none" w:sz="0" w:space="0" w:color="auto"/>
        <w:left w:val="none" w:sz="0" w:space="0" w:color="auto"/>
        <w:bottom w:val="none" w:sz="0" w:space="0" w:color="auto"/>
        <w:right w:val="none" w:sz="0" w:space="0" w:color="auto"/>
      </w:divBdr>
    </w:div>
    <w:div w:id="436288679">
      <w:bodyDiv w:val="1"/>
      <w:marLeft w:val="0"/>
      <w:marRight w:val="0"/>
      <w:marTop w:val="0"/>
      <w:marBottom w:val="0"/>
      <w:divBdr>
        <w:top w:val="none" w:sz="0" w:space="0" w:color="auto"/>
        <w:left w:val="none" w:sz="0" w:space="0" w:color="auto"/>
        <w:bottom w:val="none" w:sz="0" w:space="0" w:color="auto"/>
        <w:right w:val="none" w:sz="0" w:space="0" w:color="auto"/>
      </w:divBdr>
    </w:div>
    <w:div w:id="452946289">
      <w:bodyDiv w:val="1"/>
      <w:marLeft w:val="0"/>
      <w:marRight w:val="0"/>
      <w:marTop w:val="0"/>
      <w:marBottom w:val="0"/>
      <w:divBdr>
        <w:top w:val="none" w:sz="0" w:space="0" w:color="auto"/>
        <w:left w:val="none" w:sz="0" w:space="0" w:color="auto"/>
        <w:bottom w:val="none" w:sz="0" w:space="0" w:color="auto"/>
        <w:right w:val="none" w:sz="0" w:space="0" w:color="auto"/>
      </w:divBdr>
    </w:div>
    <w:div w:id="844563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oleObject" Target="embeddings/oleObject3.bin"/><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wmf"/><Relationship Id="rId10" Type="http://schemas.openxmlformats.org/officeDocument/2006/relationships/footer" Target="footer1.xml"/><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4E7FF-55C3-464B-8761-BE81C7780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168</TotalTime>
  <Pages>14</Pages>
  <Words>3589</Words>
  <Characters>22525</Characters>
  <Application>Microsoft Office Word</Application>
  <DocSecurity>0</DocSecurity>
  <PresentationFormat>Microsoft Word 11.0</PresentationFormat>
  <Lines>703</Lines>
  <Paragraphs>303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ILIEVA Mariya (AGRI)</dc:creator>
  <cp:keywords>EL4</cp:keywords>
  <cp:lastModifiedBy>ZUZIOVA Veronika (DGT)</cp:lastModifiedBy>
  <cp:revision>19</cp:revision>
  <cp:lastPrinted>2017-07-19T12:10:00Z</cp:lastPrinted>
  <dcterms:created xsi:type="dcterms:W3CDTF">2017-07-19T11:46:00Z</dcterms:created>
  <dcterms:modified xsi:type="dcterms:W3CDTF">2017-08-28T11:16:00Z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Kittel Gilles</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_NewReviewCycle">
    <vt:lpwstr/>
  </property>
  <property fmtid="{D5CDD505-2E9C-101B-9397-08002B2CF9AE}" pid="13" name="ELDocType">
    <vt:lpwstr>not.dot</vt:lpwstr>
  </property>
</Properties>
</file>