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C5" w:rsidRDefault="004370B9" w:rsidP="00D77B47">
      <w:pPr>
        <w:spacing w:after="83" w:line="258" w:lineRule="auto"/>
        <w:ind w:left="-5"/>
      </w:pPr>
      <w:r>
        <w:rPr>
          <w:b/>
          <w:sz w:val="24"/>
        </w:rPr>
        <w:t>OPIS PREDMETU ZÁ</w:t>
      </w:r>
      <w:r w:rsidR="00D77B47">
        <w:rPr>
          <w:b/>
          <w:sz w:val="24"/>
        </w:rPr>
        <w:t xml:space="preserve">KAZKY O POSKYTOVANÍ SLUŽIEB PRE </w:t>
      </w:r>
      <w:r w:rsidR="00840AB4">
        <w:rPr>
          <w:b/>
          <w:sz w:val="24"/>
        </w:rPr>
        <w:t>TECHNICKÉ VYBAVENIE</w:t>
      </w:r>
    </w:p>
    <w:p w:rsidR="00C707C5" w:rsidRDefault="004370B9">
      <w:pPr>
        <w:spacing w:after="207" w:line="258" w:lineRule="auto"/>
        <w:ind w:left="-15" w:firstLine="360"/>
      </w:pPr>
      <w:r>
        <w:rPr>
          <w:b/>
          <w:sz w:val="24"/>
        </w:rPr>
        <w:t>Predmetom zákazky je poskytnutie služby pre technické vybavenie formou na vyžiadanie, ktoré predstavujú poskytnutie expertných služieb riadenia incidentov kybernetickej bezpečnosti na účely eliminácie bezpečnostných incidentov v súlade s požiadavkami zákona č. 69/2018 Z. z. o kybernetickej bezpečnosti a o zmene a doplnení niektorých zákonov počas trvania Rámcovej dohody</w:t>
      </w:r>
      <w:r w:rsidR="00187181">
        <w:rPr>
          <w:b/>
          <w:sz w:val="24"/>
        </w:rPr>
        <w:t xml:space="preserve"> </w:t>
      </w:r>
      <w:bookmarkStart w:id="0" w:name="_GoBack"/>
      <w:r w:rsidR="00187181" w:rsidRPr="00187181">
        <w:rPr>
          <w:b/>
          <w:color w:val="FF0000"/>
          <w:sz w:val="24"/>
        </w:rPr>
        <w:t>– 12 mesiacov</w:t>
      </w:r>
      <w:bookmarkEnd w:id="0"/>
      <w:r>
        <w:rPr>
          <w:b/>
          <w:sz w:val="24"/>
        </w:rPr>
        <w:t xml:space="preserve">. </w:t>
      </w:r>
      <w:r>
        <w:rPr>
          <w:sz w:val="24"/>
        </w:rPr>
        <w:t xml:space="preserve"> </w:t>
      </w:r>
    </w:p>
    <w:p w:rsidR="00C707C5" w:rsidRDefault="004370B9">
      <w:pPr>
        <w:spacing w:after="207" w:line="258" w:lineRule="auto"/>
        <w:ind w:left="-5"/>
      </w:pPr>
      <w:r>
        <w:rPr>
          <w:b/>
          <w:sz w:val="24"/>
        </w:rPr>
        <w:t xml:space="preserve">Verejný obstarávateľ preto v oblasti riadenia incidentov kybernetickej bezpečnosti požaduje poskytnutie služby pre technické vybavenie formou na vyžiadanie v nasledovnom rozsahu: </w:t>
      </w:r>
      <w:r>
        <w:rPr>
          <w:sz w:val="24"/>
        </w:rPr>
        <w:t xml:space="preserve"> </w:t>
      </w:r>
    </w:p>
    <w:p w:rsidR="00C707C5" w:rsidRDefault="004370B9">
      <w:pPr>
        <w:numPr>
          <w:ilvl w:val="0"/>
          <w:numId w:val="8"/>
        </w:numPr>
        <w:spacing w:after="125" w:line="288" w:lineRule="auto"/>
        <w:ind w:hanging="355"/>
      </w:pPr>
      <w:r>
        <w:rPr>
          <w:sz w:val="24"/>
        </w:rPr>
        <w:t xml:space="preserve">služby detekcie a evidencie kybernetických bezpečnostných incidentov prostredníctvom nepretržitého bezpečnostného monitorovania IT prostredia, </w:t>
      </w:r>
    </w:p>
    <w:p w:rsidR="00C707C5" w:rsidRDefault="004370B9">
      <w:pPr>
        <w:numPr>
          <w:ilvl w:val="0"/>
          <w:numId w:val="8"/>
        </w:numPr>
        <w:spacing w:after="137" w:line="288" w:lineRule="auto"/>
        <w:ind w:hanging="355"/>
      </w:pPr>
      <w:r>
        <w:rPr>
          <w:sz w:val="24"/>
        </w:rPr>
        <w:t xml:space="preserve">služby asistencie pri riešení kybernetických bezpečnostných hrozieb a incidentov, </w:t>
      </w:r>
    </w:p>
    <w:p w:rsidR="00C707C5" w:rsidRDefault="004370B9">
      <w:pPr>
        <w:numPr>
          <w:ilvl w:val="0"/>
          <w:numId w:val="8"/>
        </w:numPr>
        <w:spacing w:after="131" w:line="288" w:lineRule="auto"/>
        <w:ind w:hanging="355"/>
      </w:pPr>
      <w:r>
        <w:rPr>
          <w:sz w:val="24"/>
        </w:rPr>
        <w:t xml:space="preserve">špecializované služby digitálnych </w:t>
      </w:r>
      <w:proofErr w:type="spellStart"/>
      <w:r>
        <w:rPr>
          <w:sz w:val="24"/>
        </w:rPr>
        <w:t>forenzných</w:t>
      </w:r>
      <w:proofErr w:type="spellEnd"/>
      <w:r>
        <w:rPr>
          <w:sz w:val="24"/>
        </w:rPr>
        <w:t xml:space="preserve"> analýz, </w:t>
      </w:r>
    </w:p>
    <w:p w:rsidR="00C707C5" w:rsidRDefault="004370B9">
      <w:pPr>
        <w:numPr>
          <w:ilvl w:val="0"/>
          <w:numId w:val="8"/>
        </w:numPr>
        <w:spacing w:after="131" w:line="288" w:lineRule="auto"/>
        <w:ind w:hanging="355"/>
      </w:pPr>
      <w:r>
        <w:rPr>
          <w:sz w:val="24"/>
        </w:rPr>
        <w:t xml:space="preserve">špecializované služby testovania a hodnotenia zraniteľnosti informačných systémov prevádzkovaných verejným obstarávateľom, </w:t>
      </w:r>
    </w:p>
    <w:p w:rsidR="00C707C5" w:rsidRDefault="004370B9">
      <w:pPr>
        <w:numPr>
          <w:ilvl w:val="0"/>
          <w:numId w:val="8"/>
        </w:numPr>
        <w:spacing w:after="132" w:line="288" w:lineRule="auto"/>
        <w:ind w:hanging="355"/>
      </w:pPr>
      <w:r>
        <w:rPr>
          <w:sz w:val="24"/>
        </w:rPr>
        <w:t>špecializované služby „</w:t>
      </w:r>
      <w:proofErr w:type="spellStart"/>
      <w:r>
        <w:rPr>
          <w:sz w:val="24"/>
        </w:rPr>
        <w:t>threat</w:t>
      </w:r>
      <w:proofErr w:type="spellEnd"/>
      <w:r>
        <w:rPr>
          <w:sz w:val="24"/>
        </w:rPr>
        <w:t xml:space="preserve"> </w:t>
      </w:r>
      <w:proofErr w:type="spellStart"/>
      <w:r>
        <w:rPr>
          <w:sz w:val="24"/>
        </w:rPr>
        <w:t>hunting</w:t>
      </w:r>
      <w:proofErr w:type="spellEnd"/>
      <w:r>
        <w:rPr>
          <w:sz w:val="24"/>
        </w:rPr>
        <w:t>“ a „</w:t>
      </w:r>
      <w:proofErr w:type="spellStart"/>
      <w:r>
        <w:rPr>
          <w:sz w:val="24"/>
        </w:rPr>
        <w:t>threat</w:t>
      </w:r>
      <w:proofErr w:type="spellEnd"/>
      <w:r>
        <w:rPr>
          <w:sz w:val="24"/>
        </w:rPr>
        <w:t xml:space="preserve"> </w:t>
      </w:r>
      <w:proofErr w:type="spellStart"/>
      <w:r>
        <w:rPr>
          <w:sz w:val="24"/>
        </w:rPr>
        <w:t>inteligence</w:t>
      </w:r>
      <w:proofErr w:type="spellEnd"/>
      <w:r>
        <w:rPr>
          <w:sz w:val="24"/>
        </w:rPr>
        <w:t xml:space="preserve">“, </w:t>
      </w:r>
    </w:p>
    <w:p w:rsidR="00C707C5" w:rsidRDefault="004370B9">
      <w:pPr>
        <w:numPr>
          <w:ilvl w:val="0"/>
          <w:numId w:val="8"/>
        </w:numPr>
        <w:spacing w:after="140" w:line="288" w:lineRule="auto"/>
        <w:ind w:hanging="355"/>
      </w:pPr>
      <w:r>
        <w:rPr>
          <w:sz w:val="24"/>
        </w:rPr>
        <w:t xml:space="preserve">služby asistencie pri riešení kybernetických  incidentov na mieste v rozsahu: </w:t>
      </w:r>
    </w:p>
    <w:p w:rsidR="00C707C5" w:rsidRDefault="004370B9">
      <w:pPr>
        <w:numPr>
          <w:ilvl w:val="1"/>
          <w:numId w:val="8"/>
        </w:numPr>
        <w:spacing w:after="11" w:line="288" w:lineRule="auto"/>
        <w:ind w:hanging="360"/>
      </w:pPr>
      <w:r>
        <w:rPr>
          <w:sz w:val="24"/>
        </w:rPr>
        <w:t xml:space="preserve">služieb  poradenskej a konzultačnej podpory, vypracovania bezpečnostných politík, koncepcií a návrhu postupov pre riadenie informačnej bezpečnosti v súlade so zákonom  č. 95/2019 Z. z. o informačných technológiách vo verejnej správe a o zmene a doplnení niektorých zákonov, zákonom č. 69/2018 Z. z. o kybernetickej bezpečnosti a o zmene a doplnení niektorých zákonov a vyhláškou č. 362/2018 Z. z., ktorou sa ustanovuje obsah bezpečnostných opatrení, obsah a štruktúra bezpečnostnej dokumentácie a rozsah všeobecných bezpečnostných opatrení, </w:t>
      </w:r>
    </w:p>
    <w:p w:rsidR="00C707C5" w:rsidRDefault="004370B9">
      <w:pPr>
        <w:numPr>
          <w:ilvl w:val="1"/>
          <w:numId w:val="8"/>
        </w:numPr>
        <w:spacing w:after="11" w:line="288" w:lineRule="auto"/>
        <w:ind w:hanging="360"/>
      </w:pPr>
      <w:r>
        <w:rPr>
          <w:sz w:val="24"/>
        </w:rPr>
        <w:t xml:space="preserve">služieb „business </w:t>
      </w:r>
      <w:proofErr w:type="spellStart"/>
      <w:r>
        <w:rPr>
          <w:sz w:val="24"/>
        </w:rPr>
        <w:t>continuity</w:t>
      </w:r>
      <w:proofErr w:type="spellEnd"/>
      <w:r>
        <w:rPr>
          <w:sz w:val="24"/>
        </w:rPr>
        <w:t xml:space="preserve"> management“ - BCM – a to v rozsahu tvorby procesov pre riadenie kontinuity činnosti upravujúcich postupy, základné zodpovednosti a právomoci pri tvorbe dokumentácie BCM a počas havarijnej </w:t>
      </w:r>
    </w:p>
    <w:p w:rsidR="00C707C5" w:rsidRDefault="004370B9">
      <w:pPr>
        <w:spacing w:after="11" w:line="288" w:lineRule="auto"/>
        <w:ind w:left="1440" w:firstLine="0"/>
      </w:pPr>
      <w:r>
        <w:rPr>
          <w:sz w:val="24"/>
        </w:rPr>
        <w:t xml:space="preserve">situácie, </w:t>
      </w:r>
    </w:p>
    <w:p w:rsidR="00C707C5" w:rsidRDefault="004370B9">
      <w:pPr>
        <w:numPr>
          <w:ilvl w:val="1"/>
          <w:numId w:val="8"/>
        </w:numPr>
        <w:spacing w:after="11" w:line="288" w:lineRule="auto"/>
        <w:ind w:hanging="360"/>
      </w:pPr>
      <w:r>
        <w:rPr>
          <w:sz w:val="24"/>
        </w:rPr>
        <w:t xml:space="preserve">vypracovanie analýz dopadov BIA – a to najmä analytické činnosti na vyhodnotenie dopadov na inštitúciu pri narušení alebo prerušení procesov, určenie kritických procesov a špecifikácií pre ich obnovu, tvorbu a vyhodnocovanie dotazníkov, spracovanie analytických výstupov, prenos spracovaných údajov do plánov, </w:t>
      </w:r>
    </w:p>
    <w:p w:rsidR="00C707C5" w:rsidRDefault="004370B9">
      <w:pPr>
        <w:numPr>
          <w:ilvl w:val="1"/>
          <w:numId w:val="8"/>
        </w:numPr>
        <w:spacing w:after="11" w:line="288" w:lineRule="auto"/>
        <w:ind w:hanging="360"/>
      </w:pPr>
      <w:r>
        <w:rPr>
          <w:sz w:val="24"/>
        </w:rPr>
        <w:t xml:space="preserve">vypracovanie analýzy rizík – najmä analytické činnosti na definovanie a vyhodnotenie rizík pôsobiacich na IKT podporujúce kritické procesy a návrh opatrení na ich eliminovanie alebo zníženie, </w:t>
      </w:r>
    </w:p>
    <w:p w:rsidR="00C707C5" w:rsidRDefault="004370B9">
      <w:pPr>
        <w:numPr>
          <w:ilvl w:val="1"/>
          <w:numId w:val="8"/>
        </w:numPr>
        <w:spacing w:after="11" w:line="288" w:lineRule="auto"/>
        <w:ind w:hanging="360"/>
      </w:pPr>
      <w:r>
        <w:rPr>
          <w:sz w:val="24"/>
        </w:rPr>
        <w:t xml:space="preserve">vypracovanie stratégie kontinuity  - najmä vypracovanie návrhov alternatívnych metód na udržanie kontinuity procesov verejného obstarávateľa, návrhov na </w:t>
      </w:r>
      <w:r>
        <w:rPr>
          <w:sz w:val="24"/>
        </w:rPr>
        <w:lastRenderedPageBreak/>
        <w:t xml:space="preserve">zaistenie dostupnosti informácií a informačných služieb pre kritické procesy v prípade výskytu havárie, </w:t>
      </w:r>
    </w:p>
    <w:p w:rsidR="00C707C5" w:rsidRDefault="004370B9">
      <w:pPr>
        <w:numPr>
          <w:ilvl w:val="1"/>
          <w:numId w:val="8"/>
        </w:numPr>
        <w:spacing w:after="11" w:line="288" w:lineRule="auto"/>
        <w:ind w:hanging="360"/>
      </w:pPr>
      <w:r>
        <w:rPr>
          <w:sz w:val="24"/>
        </w:rPr>
        <w:t xml:space="preserve">vypracovanie plánov kontinuity činnosti BCP  - t. j. alternatívnych postupov na obnovu kritických procesov a IKT po havárii, ktoré budú zahŕňať návrh štruktúry plánov, naviazanie tabuľkových a textových údajov k štruktúre plánov a vytvorenie výstupov, </w:t>
      </w:r>
    </w:p>
    <w:p w:rsidR="00C707C5" w:rsidRDefault="004370B9">
      <w:pPr>
        <w:numPr>
          <w:ilvl w:val="1"/>
          <w:numId w:val="8"/>
        </w:numPr>
        <w:spacing w:after="11" w:line="288" w:lineRule="auto"/>
        <w:ind w:hanging="360"/>
      </w:pPr>
      <w:r>
        <w:rPr>
          <w:sz w:val="24"/>
        </w:rPr>
        <w:t xml:space="preserve">prípravu návrhu a realizácie testov BCP  - overenie kvality plánov na základe testovacieho scenára, ktorý zahrňuje výber plánu, personálne zabezpečenie, vyhodnotenie plánu a generovanie správy z testovania, </w:t>
      </w:r>
    </w:p>
    <w:p w:rsidR="00C707C5" w:rsidRDefault="004370B9">
      <w:pPr>
        <w:numPr>
          <w:ilvl w:val="1"/>
          <w:numId w:val="8"/>
        </w:numPr>
        <w:spacing w:after="11" w:line="288" w:lineRule="auto"/>
        <w:ind w:hanging="360"/>
      </w:pPr>
      <w:r>
        <w:rPr>
          <w:sz w:val="24"/>
        </w:rPr>
        <w:t xml:space="preserve">služieb integrácie plánov kontinuity činnosti BCP  so systémom bezpečnostného a technologického monitoringu na účely zabezpečenia trvalej dôvernosti, integrity, dostupnosti a odolnosti systémov spracúvajúce osobné údaje, ako aj zaistenia schopnosti včas obnoviť dostupnosť osobných údajov a prístup k nim v prípade fyzického alebo technického incidentu. </w:t>
      </w:r>
    </w:p>
    <w:p w:rsidR="00C707C5" w:rsidRDefault="004370B9">
      <w:pPr>
        <w:spacing w:after="87" w:line="288" w:lineRule="auto"/>
        <w:ind w:left="720" w:firstLine="0"/>
      </w:pPr>
      <w:r>
        <w:rPr>
          <w:sz w:val="24"/>
        </w:rPr>
        <w:t xml:space="preserve">Verejný obstarávateľ pod pojmom asistencia rozumie: „Asistencia predstavuje realizáciu takých úkonov a činností počas riešenia kybernetických bezpečnostných hrozieb a incidentov, ktoré nevyžadujú priame zásahy do prostredia, kde boli hrozby alebo incidenty odhalené. Asistencia spočíva v kooperácii tímu na strane NCZI a dodávateľa tejto služby, pričom dodávateľ poskytuje expertné služby pre analýzu, odhaľovanie, navrhuje kroky na získanie ďalších podkladov k analýze a navrhuje aj opatrenie na zamedzenie šírenia, zastavenie a odstránenie hrozieb alebo dočasné pozastavenie dotknutých služieb“. </w:t>
      </w:r>
    </w:p>
    <w:p w:rsidR="00C707C5" w:rsidRDefault="004370B9">
      <w:pPr>
        <w:spacing w:after="115" w:line="288" w:lineRule="auto"/>
        <w:ind w:left="720" w:firstLine="0"/>
      </w:pPr>
      <w:r>
        <w:rPr>
          <w:sz w:val="24"/>
        </w:rPr>
        <w:t xml:space="preserve">Integrálnou súčasťou poskytovania služieb musí byť aj vypracovanie návrhu dokumentácie pre riadenie kybernetickej bezpečnosti v súlade s požiadavkami zákona č. 69/2018 Z. z.  o kybernetickej bezpečnosti. Riadiaca dokumentácia musí obsahovať minimálne: </w:t>
      </w:r>
    </w:p>
    <w:p w:rsidR="00C707C5" w:rsidRDefault="004370B9">
      <w:pPr>
        <w:numPr>
          <w:ilvl w:val="0"/>
          <w:numId w:val="9"/>
        </w:numPr>
        <w:spacing w:after="38" w:line="288" w:lineRule="auto"/>
        <w:ind w:hanging="737"/>
      </w:pPr>
      <w:r>
        <w:rPr>
          <w:sz w:val="24"/>
        </w:rPr>
        <w:t xml:space="preserve">Bezpečnostnú politiku kybernetickej bezpečnosti, ktorá stanoví základné ciele a zodpovednosti v oblasti riadenia identifikácie a riešenia kybernetických bezpečnostných incidentov. </w:t>
      </w:r>
    </w:p>
    <w:p w:rsidR="00C707C5" w:rsidRDefault="004370B9">
      <w:pPr>
        <w:numPr>
          <w:ilvl w:val="0"/>
          <w:numId w:val="9"/>
        </w:numPr>
        <w:spacing w:after="39" w:line="288" w:lineRule="auto"/>
        <w:ind w:hanging="737"/>
      </w:pPr>
      <w:r>
        <w:rPr>
          <w:sz w:val="24"/>
        </w:rPr>
        <w:t xml:space="preserve">Klasifikáciu informácií a kategorizáciu sietí a informačných systémov, ktorá pre každú informáciu, sieť a informačný systém stanoví jeho klasifikáciu. </w:t>
      </w:r>
    </w:p>
    <w:p w:rsidR="00C707C5" w:rsidRDefault="004370B9">
      <w:pPr>
        <w:numPr>
          <w:ilvl w:val="0"/>
          <w:numId w:val="9"/>
        </w:numPr>
        <w:spacing w:after="11" w:line="288" w:lineRule="auto"/>
        <w:ind w:hanging="737"/>
      </w:pPr>
      <w:r>
        <w:rPr>
          <w:sz w:val="24"/>
        </w:rPr>
        <w:t xml:space="preserve">Smernicu pre riadenie informačnej bezpečnosti, ktorá stanoví základné postupy pre riadenie informačnej bezpečnosti v rozsahu PDCA cyklu v súlade so štandardom STN ISO/IEC 27001:2014 a vyhláškou NBÚ o bezpečnostných opatreniach. </w:t>
      </w:r>
    </w:p>
    <w:p w:rsidR="00C707C5" w:rsidRDefault="004370B9">
      <w:pPr>
        <w:numPr>
          <w:ilvl w:val="0"/>
          <w:numId w:val="9"/>
        </w:numPr>
        <w:spacing w:after="155" w:line="288" w:lineRule="auto"/>
        <w:ind w:hanging="737"/>
      </w:pPr>
      <w:r>
        <w:rPr>
          <w:sz w:val="24"/>
        </w:rPr>
        <w:t xml:space="preserve">Smernicu o bezpečnej prevádzke, ktorá ustanoví základné zodpovednosti a povinnosti jednotlivých zamestnancov pre zabezpečenie prevádzky technologickej infraštruktúry v súlade so zákonom o kybernetickej bezpečnosti. Táto smernica musí opisovať relevantné administratívne opatrenia vyplývajúce z analýzy rizík a zákona o kybernetickej bezpečnosti. </w:t>
      </w:r>
    </w:p>
    <w:p w:rsidR="00C707C5" w:rsidRDefault="004370B9">
      <w:pPr>
        <w:spacing w:after="11" w:line="288" w:lineRule="auto"/>
        <w:ind w:left="708" w:firstLine="0"/>
      </w:pPr>
      <w:r>
        <w:rPr>
          <w:sz w:val="24"/>
        </w:rPr>
        <w:t xml:space="preserve">Bezpečnostná dokumentácia musí byť vypracovaná pre celú infraštruktúru IKT, aplikačnú architektúru, bezpečnostnú architektúru, implementované bezpečnostné opatrenia, </w:t>
      </w:r>
      <w:r>
        <w:rPr>
          <w:sz w:val="24"/>
        </w:rPr>
        <w:lastRenderedPageBreak/>
        <w:t xml:space="preserve">organizačné jednotky v súlade s požiadavkami vyhlášky o bezpečnostných opatreniach pre MZ SR. </w:t>
      </w:r>
    </w:p>
    <w:p w:rsidR="00C707C5" w:rsidRDefault="004370B9">
      <w:pPr>
        <w:spacing w:after="238" w:line="259" w:lineRule="auto"/>
        <w:ind w:left="0" w:firstLine="0"/>
        <w:jc w:val="left"/>
      </w:pPr>
      <w:r>
        <w:rPr>
          <w:color w:val="FF0000"/>
        </w:rPr>
        <w:t xml:space="preserve"> </w:t>
      </w:r>
    </w:p>
    <w:p w:rsidR="00C707C5" w:rsidRDefault="004370B9">
      <w:pPr>
        <w:pStyle w:val="Nadpis2"/>
        <w:spacing w:after="43" w:line="259" w:lineRule="auto"/>
        <w:ind w:left="118" w:right="80"/>
        <w:jc w:val="center"/>
      </w:pPr>
      <w:r>
        <w:t>2.2</w:t>
      </w:r>
      <w:r>
        <w:rPr>
          <w:rFonts w:ascii="Arial" w:eastAsia="Arial" w:hAnsi="Arial" w:cs="Arial"/>
        </w:rPr>
        <w:t xml:space="preserve"> </w:t>
      </w:r>
      <w:r>
        <w:t xml:space="preserve">Poskytnutie služby pre technické vybavenie formou na vyžiadanie  pre zabezpečenie podpory prevádzky a zabezpečenia funkčností CSIRT </w:t>
      </w:r>
    </w:p>
    <w:p w:rsidR="00C707C5" w:rsidRDefault="004370B9">
      <w:pPr>
        <w:spacing w:after="201" w:line="259" w:lineRule="auto"/>
        <w:ind w:left="708" w:firstLine="0"/>
        <w:jc w:val="left"/>
      </w:pPr>
      <w:r>
        <w:t xml:space="preserve"> </w:t>
      </w:r>
    </w:p>
    <w:p w:rsidR="00C707C5" w:rsidRDefault="004370B9">
      <w:pPr>
        <w:ind w:left="-15" w:firstLine="708"/>
      </w:pPr>
      <w:r>
        <w:t xml:space="preserve"> Verejný obstarávateľ požaduje poskytnutie služieb pre technické vybavenie formou na vyžiadanie pre riadenie incidentov kybernetickej bezpečnosti v nasledovných oblastiach: </w:t>
      </w:r>
    </w:p>
    <w:tbl>
      <w:tblPr>
        <w:tblStyle w:val="TableGrid"/>
        <w:tblW w:w="10008" w:type="dxa"/>
        <w:tblInd w:w="-491" w:type="dxa"/>
        <w:tblCellMar>
          <w:top w:w="7" w:type="dxa"/>
          <w:left w:w="107" w:type="dxa"/>
          <w:right w:w="85" w:type="dxa"/>
        </w:tblCellMar>
        <w:tblLook w:val="04A0" w:firstRow="1" w:lastRow="0" w:firstColumn="1" w:lastColumn="0" w:noHBand="0" w:noVBand="1"/>
      </w:tblPr>
      <w:tblGrid>
        <w:gridCol w:w="4495"/>
        <w:gridCol w:w="1620"/>
        <w:gridCol w:w="1440"/>
        <w:gridCol w:w="2453"/>
      </w:tblGrid>
      <w:tr w:rsidR="00C707C5">
        <w:trPr>
          <w:trHeight w:val="431"/>
        </w:trPr>
        <w:tc>
          <w:tcPr>
            <w:tcW w:w="10008" w:type="dxa"/>
            <w:gridSpan w:val="4"/>
            <w:tcBorders>
              <w:top w:val="single" w:sz="4" w:space="0" w:color="000000"/>
              <w:left w:val="single" w:sz="4" w:space="0" w:color="000000"/>
              <w:bottom w:val="single" w:sz="4" w:space="0" w:color="000000"/>
              <w:right w:val="single" w:sz="4" w:space="0" w:color="000000"/>
            </w:tcBorders>
            <w:shd w:val="clear" w:color="auto" w:fill="BFBFBF"/>
          </w:tcPr>
          <w:p w:rsidR="00C707C5" w:rsidRDefault="004370B9">
            <w:pPr>
              <w:spacing w:after="0" w:line="259" w:lineRule="auto"/>
              <w:ind w:left="0" w:right="20" w:firstLine="0"/>
              <w:jc w:val="center"/>
            </w:pPr>
            <w:r>
              <w:rPr>
                <w:b/>
              </w:rPr>
              <w:t xml:space="preserve">Služby pre podporu prevádzky a zabezpečenia funkčnosti CSIRT </w:t>
            </w:r>
          </w:p>
        </w:tc>
      </w:tr>
      <w:tr w:rsidR="00C707C5">
        <w:trPr>
          <w:trHeight w:val="469"/>
        </w:trPr>
        <w:tc>
          <w:tcPr>
            <w:tcW w:w="449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707C5" w:rsidRDefault="004370B9">
            <w:pPr>
              <w:spacing w:after="0" w:line="259" w:lineRule="auto"/>
              <w:ind w:left="0" w:right="27" w:firstLine="0"/>
              <w:jc w:val="center"/>
            </w:pPr>
            <w:r>
              <w:rPr>
                <w:b/>
                <w:sz w:val="20"/>
              </w:rPr>
              <w:t xml:space="preserve">Služba </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rsidR="00C707C5" w:rsidRDefault="004370B9">
            <w:pPr>
              <w:spacing w:after="0" w:line="259" w:lineRule="auto"/>
              <w:ind w:left="0" w:firstLine="0"/>
              <w:jc w:val="center"/>
            </w:pPr>
            <w:r>
              <w:rPr>
                <w:b/>
                <w:sz w:val="20"/>
              </w:rPr>
              <w:t xml:space="preserve">Požadované parametre </w:t>
            </w:r>
          </w:p>
        </w:tc>
        <w:tc>
          <w:tcPr>
            <w:tcW w:w="14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707C5" w:rsidRDefault="004370B9">
            <w:pPr>
              <w:spacing w:after="0" w:line="259" w:lineRule="auto"/>
              <w:ind w:left="0" w:right="26" w:firstLine="0"/>
              <w:jc w:val="center"/>
            </w:pPr>
            <w:r>
              <w:rPr>
                <w:b/>
                <w:sz w:val="20"/>
              </w:rPr>
              <w:t xml:space="preserve">ÁNO/NIE </w:t>
            </w:r>
          </w:p>
        </w:tc>
        <w:tc>
          <w:tcPr>
            <w:tcW w:w="2452" w:type="dxa"/>
            <w:tcBorders>
              <w:top w:val="single" w:sz="4" w:space="0" w:color="000000"/>
              <w:left w:val="single" w:sz="4" w:space="0" w:color="000000"/>
              <w:bottom w:val="single" w:sz="4" w:space="0" w:color="000000"/>
              <w:right w:val="single" w:sz="4" w:space="0" w:color="000000"/>
            </w:tcBorders>
            <w:shd w:val="clear" w:color="auto" w:fill="F2F2F2"/>
          </w:tcPr>
          <w:p w:rsidR="00C707C5" w:rsidRDefault="004370B9">
            <w:pPr>
              <w:spacing w:after="0" w:line="259" w:lineRule="auto"/>
              <w:ind w:left="0" w:firstLine="0"/>
              <w:jc w:val="center"/>
            </w:pPr>
            <w:r>
              <w:rPr>
                <w:b/>
                <w:sz w:val="20"/>
              </w:rPr>
              <w:t xml:space="preserve">Ponuka uchádzača (poznámka) </w:t>
            </w:r>
          </w:p>
        </w:tc>
      </w:tr>
      <w:tr w:rsidR="00C707C5">
        <w:trPr>
          <w:trHeight w:val="931"/>
        </w:trPr>
        <w:tc>
          <w:tcPr>
            <w:tcW w:w="44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detekcie a evidencie kybernetických bezpečnostných incidentov prostredníctvom nepretržitého bezpečnostného monitorovania IT prostredia </w:t>
            </w:r>
          </w:p>
        </w:tc>
        <w:tc>
          <w:tcPr>
            <w:tcW w:w="162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 w:right="184" w:firstLine="0"/>
              <w:jc w:val="left"/>
            </w:pPr>
            <w:r>
              <w:rPr>
                <w:sz w:val="20"/>
              </w:rPr>
              <w:t xml:space="preserve">definované v kapitole 2.2.1 </w:t>
            </w:r>
          </w:p>
        </w:tc>
        <w:tc>
          <w:tcPr>
            <w:tcW w:w="14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8" w:firstLine="0"/>
              <w:jc w:val="center"/>
            </w:pPr>
            <w:r>
              <w:rPr>
                <w:i/>
                <w:sz w:val="20"/>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9" w:firstLine="0"/>
              <w:jc w:val="center"/>
            </w:pPr>
            <w:r>
              <w:rPr>
                <w:i/>
                <w:sz w:val="20"/>
              </w:rPr>
              <w:t xml:space="preserve"> </w:t>
            </w:r>
          </w:p>
        </w:tc>
      </w:tr>
      <w:tr w:rsidR="00C707C5">
        <w:trPr>
          <w:trHeight w:val="470"/>
        </w:trPr>
        <w:tc>
          <w:tcPr>
            <w:tcW w:w="44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asistencie pri riešení kybernetických bezpečnostných hrozieb a incidentov </w:t>
            </w:r>
          </w:p>
        </w:tc>
        <w:tc>
          <w:tcPr>
            <w:tcW w:w="162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 w:right="184" w:firstLine="0"/>
              <w:jc w:val="left"/>
            </w:pPr>
            <w:r>
              <w:rPr>
                <w:sz w:val="20"/>
              </w:rPr>
              <w:t xml:space="preserve">definované v kapitole 2.2.2 </w:t>
            </w:r>
          </w:p>
        </w:tc>
        <w:tc>
          <w:tcPr>
            <w:tcW w:w="14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8" w:firstLine="0"/>
              <w:jc w:val="center"/>
            </w:pPr>
            <w:r>
              <w:rPr>
                <w:i/>
                <w:sz w:val="20"/>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9" w:firstLine="0"/>
              <w:jc w:val="center"/>
            </w:pPr>
            <w:r>
              <w:rPr>
                <w:i/>
                <w:sz w:val="20"/>
              </w:rPr>
              <w:t xml:space="preserve"> </w:t>
            </w:r>
          </w:p>
        </w:tc>
      </w:tr>
      <w:tr w:rsidR="00C707C5">
        <w:trPr>
          <w:trHeight w:val="470"/>
        </w:trPr>
        <w:tc>
          <w:tcPr>
            <w:tcW w:w="44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Špecializované služby digitálnych </w:t>
            </w:r>
            <w:proofErr w:type="spellStart"/>
            <w:r>
              <w:rPr>
                <w:sz w:val="20"/>
              </w:rPr>
              <w:t>forenzných</w:t>
            </w:r>
            <w:proofErr w:type="spellEnd"/>
            <w:r>
              <w:rPr>
                <w:sz w:val="20"/>
              </w:rPr>
              <w:t xml:space="preserve"> analýz </w:t>
            </w:r>
          </w:p>
        </w:tc>
        <w:tc>
          <w:tcPr>
            <w:tcW w:w="162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 w:right="184" w:firstLine="0"/>
              <w:jc w:val="left"/>
            </w:pPr>
            <w:r>
              <w:rPr>
                <w:sz w:val="20"/>
              </w:rPr>
              <w:t xml:space="preserve">definované v kapitole 2.2.3 </w:t>
            </w:r>
          </w:p>
        </w:tc>
        <w:tc>
          <w:tcPr>
            <w:tcW w:w="14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8" w:firstLine="0"/>
              <w:jc w:val="center"/>
            </w:pPr>
            <w:r>
              <w:rPr>
                <w:i/>
                <w:sz w:val="20"/>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9" w:firstLine="0"/>
              <w:jc w:val="center"/>
            </w:pPr>
            <w:r>
              <w:rPr>
                <w:i/>
                <w:sz w:val="20"/>
              </w:rPr>
              <w:t xml:space="preserve"> </w:t>
            </w:r>
          </w:p>
        </w:tc>
      </w:tr>
      <w:tr w:rsidR="00C707C5">
        <w:trPr>
          <w:trHeight w:val="698"/>
        </w:trPr>
        <w:tc>
          <w:tcPr>
            <w:tcW w:w="44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584" w:firstLine="0"/>
            </w:pPr>
            <w:r>
              <w:rPr>
                <w:sz w:val="20"/>
              </w:rPr>
              <w:t xml:space="preserve">Špecializované služby testovania a hodnotenia zraniteľnosti informačných systémov prevádzkovaných verejným obstarávateľom </w:t>
            </w:r>
          </w:p>
        </w:tc>
        <w:tc>
          <w:tcPr>
            <w:tcW w:w="162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 w:right="184" w:firstLine="0"/>
              <w:jc w:val="left"/>
            </w:pPr>
            <w:r>
              <w:rPr>
                <w:sz w:val="20"/>
              </w:rPr>
              <w:t xml:space="preserve">definované v kapitole 2.2.4 </w:t>
            </w:r>
          </w:p>
        </w:tc>
        <w:tc>
          <w:tcPr>
            <w:tcW w:w="14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8" w:firstLine="0"/>
              <w:jc w:val="center"/>
            </w:pPr>
            <w:r>
              <w:rPr>
                <w:i/>
                <w:sz w:val="20"/>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9" w:firstLine="0"/>
              <w:jc w:val="center"/>
            </w:pPr>
            <w:r>
              <w:rPr>
                <w:i/>
                <w:sz w:val="20"/>
              </w:rPr>
              <w:t xml:space="preserve"> </w:t>
            </w:r>
          </w:p>
        </w:tc>
      </w:tr>
      <w:tr w:rsidR="00C707C5">
        <w:trPr>
          <w:trHeight w:val="470"/>
        </w:trPr>
        <w:tc>
          <w:tcPr>
            <w:tcW w:w="44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Špeciálnych služieb „</w:t>
            </w:r>
            <w:proofErr w:type="spellStart"/>
            <w:r>
              <w:rPr>
                <w:sz w:val="20"/>
              </w:rPr>
              <w:t>threat</w:t>
            </w:r>
            <w:proofErr w:type="spellEnd"/>
            <w:r>
              <w:rPr>
                <w:sz w:val="20"/>
              </w:rPr>
              <w:t xml:space="preserve"> </w:t>
            </w:r>
            <w:proofErr w:type="spellStart"/>
            <w:r>
              <w:rPr>
                <w:sz w:val="20"/>
              </w:rPr>
              <w:t>hunting</w:t>
            </w:r>
            <w:proofErr w:type="spellEnd"/>
            <w:r>
              <w:rPr>
                <w:sz w:val="20"/>
              </w:rPr>
              <w:t>“ a „</w:t>
            </w:r>
            <w:proofErr w:type="spellStart"/>
            <w:r>
              <w:rPr>
                <w:sz w:val="20"/>
              </w:rPr>
              <w:t>threat</w:t>
            </w:r>
            <w:proofErr w:type="spellEnd"/>
            <w:r>
              <w:rPr>
                <w:sz w:val="20"/>
              </w:rPr>
              <w:t xml:space="preserve"> </w:t>
            </w:r>
            <w:proofErr w:type="spellStart"/>
            <w:r>
              <w:rPr>
                <w:sz w:val="20"/>
              </w:rPr>
              <w:t>inteligence</w:t>
            </w:r>
            <w:proofErr w:type="spellEnd"/>
            <w:r>
              <w:rPr>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 w:right="184" w:firstLine="0"/>
              <w:jc w:val="left"/>
            </w:pPr>
            <w:r>
              <w:rPr>
                <w:sz w:val="20"/>
              </w:rPr>
              <w:t xml:space="preserve">definované v kapitole 2.2.5 </w:t>
            </w:r>
          </w:p>
        </w:tc>
        <w:tc>
          <w:tcPr>
            <w:tcW w:w="14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8" w:firstLine="0"/>
              <w:jc w:val="center"/>
            </w:pPr>
            <w:r>
              <w:rPr>
                <w:i/>
                <w:sz w:val="20"/>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9" w:firstLine="0"/>
              <w:jc w:val="center"/>
            </w:pPr>
            <w:r>
              <w:rPr>
                <w:i/>
                <w:sz w:val="20"/>
              </w:rPr>
              <w:t xml:space="preserve"> </w:t>
            </w:r>
          </w:p>
        </w:tc>
      </w:tr>
      <w:tr w:rsidR="00C707C5">
        <w:trPr>
          <w:trHeight w:val="470"/>
        </w:trPr>
        <w:tc>
          <w:tcPr>
            <w:tcW w:w="44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asistencie pri riešení kybernetických  incidentov </w:t>
            </w:r>
          </w:p>
        </w:tc>
        <w:tc>
          <w:tcPr>
            <w:tcW w:w="162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 w:right="184" w:firstLine="0"/>
              <w:jc w:val="left"/>
            </w:pPr>
            <w:r>
              <w:rPr>
                <w:sz w:val="20"/>
              </w:rPr>
              <w:t xml:space="preserve">definované v kapitole 2.2.6 </w:t>
            </w:r>
          </w:p>
        </w:tc>
        <w:tc>
          <w:tcPr>
            <w:tcW w:w="14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8" w:firstLine="0"/>
              <w:jc w:val="center"/>
            </w:pPr>
            <w:r>
              <w:rPr>
                <w:i/>
                <w:sz w:val="20"/>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9" w:firstLine="0"/>
              <w:jc w:val="center"/>
            </w:pPr>
            <w:r>
              <w:rPr>
                <w:i/>
                <w:sz w:val="20"/>
              </w:rPr>
              <w:t xml:space="preserve"> </w:t>
            </w:r>
          </w:p>
        </w:tc>
      </w:tr>
    </w:tbl>
    <w:p w:rsidR="00C707C5" w:rsidRDefault="004370B9">
      <w:pPr>
        <w:spacing w:after="156" w:line="259" w:lineRule="auto"/>
        <w:ind w:left="0" w:firstLine="0"/>
        <w:jc w:val="left"/>
      </w:pPr>
      <w:r>
        <w:t xml:space="preserve"> </w:t>
      </w:r>
    </w:p>
    <w:p w:rsidR="00C707C5" w:rsidRDefault="004370B9">
      <w:pPr>
        <w:pStyle w:val="Nadpis3"/>
        <w:ind w:left="2145" w:hanging="720"/>
      </w:pPr>
      <w:r>
        <w:t>2.2.1</w:t>
      </w:r>
      <w:r>
        <w:rPr>
          <w:rFonts w:ascii="Arial" w:eastAsia="Arial" w:hAnsi="Arial" w:cs="Arial"/>
        </w:rPr>
        <w:t xml:space="preserve"> </w:t>
      </w:r>
      <w:r>
        <w:t xml:space="preserve">Služby detekcie a evidencie kybernetických bezpečnostných incidentov prostredníctvom nepretržitého bezpečnostného monitorovania IT prostredia </w:t>
      </w:r>
    </w:p>
    <w:p w:rsidR="00C707C5" w:rsidRDefault="004370B9">
      <w:pPr>
        <w:spacing w:after="106"/>
        <w:ind w:left="-15" w:firstLine="708"/>
      </w:pPr>
      <w:r>
        <w:t xml:space="preserve">Verejný obstarávateľ požaduje na vlastnú zodpovednosť víťazného uchádzača zabezpečiť služby nepretržitého on-line bezpečnostného monitoringu svojich informačných systémov v  režime 8x5NBD takým spôsobom, aby bola zaistená dôvernosť, integrita a dostupnosť všetkých komponentov IT infraštruktúry verejného obstarávateľa. Služby nepretržitého bezpečnostného monitoringu musia byť poskytované takým spôsobom, aby bola zaistená prvotná reakcia na vzniknutý incident s prvotnou analýzou príčin vzniku incidentu s jeho popisom a následným vypracovaním návrhov opatrení na elimináciu jeho dopadu na IT infraštruktúru verejného obstarávateľa. </w:t>
      </w:r>
    </w:p>
    <w:p w:rsidR="00C707C5" w:rsidRDefault="004370B9">
      <w:pPr>
        <w:spacing w:after="164"/>
        <w:ind w:left="-15" w:firstLine="708"/>
      </w:pPr>
      <w:r>
        <w:t xml:space="preserve">Na účely zabezpečenia kvality požadovaných služieb verejný obstarávateľ definuje nasledovné minimálne požiadavky na kvalitu:  </w:t>
      </w:r>
    </w:p>
    <w:p w:rsidR="00C707C5" w:rsidRDefault="004370B9">
      <w:pPr>
        <w:numPr>
          <w:ilvl w:val="0"/>
          <w:numId w:val="10"/>
        </w:numPr>
        <w:spacing w:after="137"/>
        <w:ind w:hanging="360"/>
      </w:pPr>
      <w:r>
        <w:t xml:space="preserve">služba musí realizovať zmenu korelačných pravidiel, </w:t>
      </w:r>
    </w:p>
    <w:p w:rsidR="00C707C5" w:rsidRDefault="004370B9">
      <w:pPr>
        <w:numPr>
          <w:ilvl w:val="0"/>
          <w:numId w:val="10"/>
        </w:numPr>
        <w:spacing w:after="168"/>
        <w:ind w:hanging="360"/>
      </w:pPr>
      <w:r>
        <w:t xml:space="preserve">služba musí poskytovať pravidelné reporty o počte incidentov podľa ich kategorizácie aspoň jedenkrát mesačne, </w:t>
      </w:r>
    </w:p>
    <w:p w:rsidR="00C707C5" w:rsidRDefault="004370B9">
      <w:pPr>
        <w:numPr>
          <w:ilvl w:val="0"/>
          <w:numId w:val="10"/>
        </w:numPr>
        <w:spacing w:after="109"/>
        <w:ind w:hanging="360"/>
      </w:pPr>
      <w:r>
        <w:t xml:space="preserve">služba bezpečnostného monitoringu s garantovanými odozvami na definované incidenty a to nasledovne: </w:t>
      </w:r>
    </w:p>
    <w:p w:rsidR="00C707C5" w:rsidRDefault="004370B9">
      <w:pPr>
        <w:spacing w:after="13" w:line="259" w:lineRule="auto"/>
        <w:ind w:left="720" w:firstLine="0"/>
        <w:jc w:val="left"/>
      </w:pPr>
      <w:r>
        <w:lastRenderedPageBreak/>
        <w:t xml:space="preserve"> </w:t>
      </w:r>
    </w:p>
    <w:p w:rsidR="00C707C5" w:rsidRDefault="004370B9">
      <w:pPr>
        <w:ind w:left="1426"/>
      </w:pPr>
      <w:r>
        <w:rPr>
          <w:b/>
        </w:rPr>
        <w:t>Incident Priority typu 1</w:t>
      </w:r>
      <w:r>
        <w:t xml:space="preserve"> (s odozvou do 60 minút) – priorita definuje vysoko nebezpečné incidenty / porušenia pravidiel, ktoré môžu spôsobiť vážne škody v prostredí verejného obstarávateľa. Príklady zahŕňajú kompromitáciu systémov alebo dát, narušenia súkromia; tzv. infikovanie škodlivým kódom alebo jeho šírenie; masívne útoky typu </w:t>
      </w:r>
      <w:proofErr w:type="spellStart"/>
      <w:r>
        <w:t>Denial</w:t>
      </w:r>
      <w:proofErr w:type="spellEnd"/>
      <w:r>
        <w:t xml:space="preserve"> of Service (</w:t>
      </w:r>
      <w:proofErr w:type="spellStart"/>
      <w:r>
        <w:t>DoS</w:t>
      </w:r>
      <w:proofErr w:type="spellEnd"/>
      <w:r>
        <w:t xml:space="preserve">) alebo </w:t>
      </w:r>
      <w:proofErr w:type="spellStart"/>
      <w:r>
        <w:t>Distributed</w:t>
      </w:r>
      <w:proofErr w:type="spellEnd"/>
      <w:r>
        <w:t xml:space="preserve"> </w:t>
      </w:r>
      <w:proofErr w:type="spellStart"/>
      <w:r>
        <w:t>Denial</w:t>
      </w:r>
      <w:proofErr w:type="spellEnd"/>
      <w:r>
        <w:t xml:space="preserve"> of Service (</w:t>
      </w:r>
      <w:proofErr w:type="spellStart"/>
      <w:r>
        <w:t>DDoS</w:t>
      </w:r>
      <w:proofErr w:type="spellEnd"/>
      <w:r>
        <w:t xml:space="preserve">); </w:t>
      </w:r>
      <w:proofErr w:type="spellStart"/>
      <w:r>
        <w:t>zero</w:t>
      </w:r>
      <w:proofErr w:type="spellEnd"/>
      <w:r>
        <w:t xml:space="preserve"> </w:t>
      </w:r>
      <w:proofErr w:type="spellStart"/>
      <w:r>
        <w:t>day</w:t>
      </w:r>
      <w:proofErr w:type="spellEnd"/>
      <w:r>
        <w:t xml:space="preserve"> hrozby; vytváranie ID so zvýšenými privilégiami alebo pridanie zvýšených privilégií k existujúcim ID mimo procesov riadenia zmien na strane verejného obstarávateľa; narušenie kritických systémových súborov, aplikačných súborov alebo databáz, ktoré ovplyvnia integritu systému; šírenie škodlivého Software v prostredí verejného obstarávateľa; povolené zmeny politiky;  </w:t>
      </w:r>
    </w:p>
    <w:p w:rsidR="00C707C5" w:rsidRDefault="004370B9">
      <w:pPr>
        <w:spacing w:after="25" w:line="259" w:lineRule="auto"/>
        <w:ind w:left="1416" w:firstLine="0"/>
        <w:jc w:val="left"/>
      </w:pPr>
      <w:r>
        <w:t xml:space="preserve">  </w:t>
      </w:r>
    </w:p>
    <w:p w:rsidR="00C707C5" w:rsidRDefault="004370B9">
      <w:pPr>
        <w:ind w:left="1426"/>
      </w:pPr>
      <w:r>
        <w:rPr>
          <w:b/>
        </w:rPr>
        <w:t>Incident Priority typu 2</w:t>
      </w:r>
      <w:r>
        <w:t xml:space="preserve"> (s odozvou do 12 hodín) – priorita definuje neautorizované aktivity používateľov, ktoré nemajú schopnosť ovplyvňovať výkonnosť systému ani ohroziť dáta verejného obstarávateľa. Medzi príklady tejto priority patrí neoprávnená lokálna skenovacia činnosť; útoky zamerané na konkrétne servery alebo pracovné stanice; neoprávnené vytváranie ID na kritických systémoch; užívateľom spôsobené súvislé neúspešné / úspešné pokusy o prihlásenie; neúspešné pokusy o manipuláciu s kritickými systémami, aplikáciami, záznamovými súbormi a databázami; prístup k kritickým systémom alebo aplikačným súborom; rozšírenie škodlivého kódu ohrozujúceho konkrétny úsek alebo viacero úsekov verejného obstarávateľa. </w:t>
      </w:r>
    </w:p>
    <w:p w:rsidR="00C707C5" w:rsidRDefault="004370B9">
      <w:pPr>
        <w:spacing w:after="181" w:line="259" w:lineRule="auto"/>
        <w:ind w:left="1080" w:firstLine="0"/>
        <w:jc w:val="left"/>
      </w:pPr>
      <w:r>
        <w:t xml:space="preserve"> </w:t>
      </w:r>
    </w:p>
    <w:p w:rsidR="00C707C5" w:rsidRDefault="004370B9">
      <w:pPr>
        <w:spacing w:after="191"/>
        <w:ind w:left="1426"/>
      </w:pPr>
      <w:r>
        <w:rPr>
          <w:b/>
        </w:rPr>
        <w:t>Incident Priority typu 3</w:t>
      </w:r>
      <w:r>
        <w:t xml:space="preserve"> (s odozvou do 24 hodín) – priorita definuje činnosti ako sú bežné chyby užívateľa, nesprávne konfigurácie, nedodržiavanie súladu a skenovanie; tzv. „</w:t>
      </w:r>
      <w:proofErr w:type="spellStart"/>
      <w:r>
        <w:t>Discovery</w:t>
      </w:r>
      <w:proofErr w:type="spellEnd"/>
      <w:r>
        <w:t xml:space="preserve"> </w:t>
      </w:r>
      <w:proofErr w:type="spellStart"/>
      <w:r>
        <w:t>scanning</w:t>
      </w:r>
      <w:proofErr w:type="spellEnd"/>
      <w:r>
        <w:t xml:space="preserve">“; zhromažďovanie skriptov, iné pokusy o tzv. sondovanie / prieskumy; neoprávnené reštartovanie systému; používanie účtov (servisných, administrátorských, systémových účtov); aktivity s názvami účtov, ktoré nevyhovujú schváleným štandardom názvov účtov; podozrivé názvy súborov; akékoľvek neoprávnené zmeny alebo aktivity realizované mimo pracovných hodín verejného obstarávateľa; a určité typy výskytu škodlivého kódu </w:t>
      </w:r>
    </w:p>
    <w:p w:rsidR="00C707C5" w:rsidRDefault="004370B9">
      <w:pPr>
        <w:spacing w:after="145"/>
        <w:ind w:left="-15" w:firstLine="708"/>
      </w:pPr>
      <w:r>
        <w:t xml:space="preserve">Nevyhnutným predpokladom pre poskytovanie služieb detekcie a evidencie kybernetických bezpečnostných incidentov je zabezpečenie zberu udalostí z dôležitých systémov, zariadení a aplikácií Ministerstva zdravotníctva SR (okrem organizácií v zriaďovateľskej pôsobnosti Ministerstva zdravotníctva) a NCZI. Poskytnutie udalostí z dôležitých systémov je v pôsobnosti IT oddelení organizácií Ministerstva, pričom bude povinnosťou poskytnúť súčinnosť pre túto aktivitu. </w:t>
      </w:r>
    </w:p>
    <w:p w:rsidR="00C707C5" w:rsidRDefault="004370B9">
      <w:pPr>
        <w:spacing w:after="156" w:line="259" w:lineRule="auto"/>
        <w:ind w:left="0" w:firstLine="0"/>
        <w:jc w:val="left"/>
      </w:pPr>
      <w:r>
        <w:t xml:space="preserve"> </w:t>
      </w:r>
    </w:p>
    <w:p w:rsidR="00C707C5" w:rsidRDefault="004370B9">
      <w:pPr>
        <w:spacing w:after="156" w:line="259" w:lineRule="auto"/>
        <w:ind w:left="0" w:firstLine="0"/>
        <w:jc w:val="left"/>
      </w:pPr>
      <w:r>
        <w:t xml:space="preserve"> </w:t>
      </w:r>
    </w:p>
    <w:p w:rsidR="00C707C5" w:rsidRDefault="004370B9">
      <w:pPr>
        <w:spacing w:after="159" w:line="259" w:lineRule="auto"/>
        <w:ind w:left="0" w:firstLine="0"/>
        <w:jc w:val="left"/>
      </w:pPr>
      <w:r>
        <w:t xml:space="preserve"> </w:t>
      </w:r>
    </w:p>
    <w:p w:rsidR="00C707C5" w:rsidRDefault="004370B9">
      <w:pPr>
        <w:spacing w:after="156" w:line="259" w:lineRule="auto"/>
        <w:ind w:left="0" w:firstLine="0"/>
        <w:jc w:val="left"/>
      </w:pPr>
      <w:r>
        <w:t xml:space="preserve"> </w:t>
      </w:r>
    </w:p>
    <w:p w:rsidR="00C707C5" w:rsidRDefault="004370B9">
      <w:pPr>
        <w:spacing w:after="158" w:line="259" w:lineRule="auto"/>
        <w:ind w:left="0" w:firstLine="0"/>
        <w:jc w:val="left"/>
      </w:pPr>
      <w:r>
        <w:t xml:space="preserve"> </w:t>
      </w:r>
    </w:p>
    <w:p w:rsidR="00C707C5" w:rsidRDefault="004370B9">
      <w:pPr>
        <w:spacing w:after="156" w:line="259" w:lineRule="auto"/>
        <w:ind w:left="0" w:firstLine="0"/>
        <w:jc w:val="left"/>
      </w:pPr>
      <w:r>
        <w:t xml:space="preserve"> </w:t>
      </w:r>
    </w:p>
    <w:p w:rsidR="00C707C5" w:rsidRDefault="004370B9">
      <w:pPr>
        <w:spacing w:after="0" w:line="259" w:lineRule="auto"/>
        <w:ind w:left="0" w:firstLine="0"/>
        <w:jc w:val="left"/>
      </w:pPr>
      <w:r>
        <w:t xml:space="preserve"> </w:t>
      </w:r>
    </w:p>
    <w:p w:rsidR="00C707C5" w:rsidRDefault="004370B9">
      <w:pPr>
        <w:ind w:left="-5"/>
      </w:pPr>
      <w:r>
        <w:lastRenderedPageBreak/>
        <w:t xml:space="preserve">Poskytovanie služieb pre technické vybavenie formou na vyžiadanie pre zabezpečenie podpory prevádzky bezpečnostného monitoringu prevádzkovaných informačných systémov v režime 8/5/NBD sa požaduje dodať prostredníctvom nasledovných expertov: </w:t>
      </w:r>
    </w:p>
    <w:tbl>
      <w:tblPr>
        <w:tblStyle w:val="TableGrid"/>
        <w:tblW w:w="9212" w:type="dxa"/>
        <w:tblInd w:w="72" w:type="dxa"/>
        <w:tblCellMar>
          <w:top w:w="7" w:type="dxa"/>
          <w:left w:w="108" w:type="dxa"/>
          <w:right w:w="65" w:type="dxa"/>
        </w:tblCellMar>
        <w:tblLook w:val="04A0" w:firstRow="1" w:lastRow="0" w:firstColumn="1" w:lastColumn="0" w:noHBand="0" w:noVBand="1"/>
      </w:tblPr>
      <w:tblGrid>
        <w:gridCol w:w="845"/>
        <w:gridCol w:w="1985"/>
        <w:gridCol w:w="4679"/>
        <w:gridCol w:w="1703"/>
      </w:tblGrid>
      <w:tr w:rsidR="00C707C5">
        <w:trPr>
          <w:trHeight w:val="1020"/>
        </w:trPr>
        <w:tc>
          <w:tcPr>
            <w:tcW w:w="84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C707C5" w:rsidRDefault="004370B9">
            <w:pPr>
              <w:spacing w:after="0" w:line="259" w:lineRule="auto"/>
              <w:ind w:left="0" w:right="38" w:firstLine="0"/>
              <w:jc w:val="center"/>
            </w:pPr>
            <w:proofErr w:type="spellStart"/>
            <w:r>
              <w:rPr>
                <w:b/>
              </w:rPr>
              <w:t>P.č</w:t>
            </w:r>
            <w:proofErr w:type="spellEnd"/>
            <w:r>
              <w:rPr>
                <w: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C707C5" w:rsidRDefault="004370B9">
            <w:pPr>
              <w:spacing w:after="0" w:line="259" w:lineRule="auto"/>
              <w:ind w:left="0" w:firstLine="0"/>
              <w:jc w:val="left"/>
            </w:pPr>
            <w:r>
              <w:rPr>
                <w:b/>
              </w:rPr>
              <w:t xml:space="preserve">Názov pozície </w:t>
            </w:r>
          </w:p>
        </w:tc>
        <w:tc>
          <w:tcPr>
            <w:tcW w:w="467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C707C5" w:rsidRDefault="004370B9">
            <w:pPr>
              <w:spacing w:after="0" w:line="259" w:lineRule="auto"/>
              <w:ind w:left="0" w:firstLine="0"/>
              <w:jc w:val="left"/>
            </w:pPr>
            <w:r>
              <w:rPr>
                <w:b/>
              </w:rPr>
              <w:t xml:space="preserve">Popis požadovaných činností </w:t>
            </w:r>
          </w:p>
        </w:tc>
        <w:tc>
          <w:tcPr>
            <w:tcW w:w="1703"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2" w:line="236" w:lineRule="auto"/>
              <w:ind w:left="0" w:firstLine="0"/>
              <w:jc w:val="center"/>
            </w:pPr>
            <w:r>
              <w:rPr>
                <w:b/>
              </w:rPr>
              <w:t xml:space="preserve">Predpokladaný rozsah činností </w:t>
            </w:r>
          </w:p>
          <w:p w:rsidR="00C707C5" w:rsidRDefault="004370B9">
            <w:pPr>
              <w:spacing w:after="0" w:line="259" w:lineRule="auto"/>
              <w:ind w:left="0" w:right="41" w:firstLine="0"/>
              <w:jc w:val="center"/>
            </w:pPr>
            <w:r>
              <w:rPr>
                <w:b/>
              </w:rPr>
              <w:t xml:space="preserve">počas trvania </w:t>
            </w:r>
          </w:p>
          <w:p w:rsidR="00C707C5" w:rsidRDefault="004370B9">
            <w:pPr>
              <w:spacing w:after="0" w:line="259" w:lineRule="auto"/>
              <w:ind w:left="0" w:right="41" w:firstLine="0"/>
              <w:jc w:val="center"/>
            </w:pPr>
            <w:r>
              <w:rPr>
                <w:b/>
              </w:rPr>
              <w:t xml:space="preserve">Dohody </w:t>
            </w:r>
          </w:p>
        </w:tc>
      </w:tr>
      <w:tr w:rsidR="00C707C5">
        <w:trPr>
          <w:trHeight w:val="2311"/>
        </w:trPr>
        <w:tc>
          <w:tcPr>
            <w:tcW w:w="84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8" w:firstLine="0"/>
              <w:jc w:val="center"/>
            </w:pPr>
            <w:r>
              <w:rPr>
                <w:sz w:val="20"/>
              </w:rP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analytika – vyšetrovateľa Level1 </w:t>
            </w:r>
          </w:p>
        </w:tc>
        <w:tc>
          <w:tcPr>
            <w:tcW w:w="467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57" w:firstLine="0"/>
              <w:jc w:val="left"/>
            </w:pPr>
            <w:r>
              <w:rPr>
                <w:sz w:val="20"/>
              </w:rPr>
              <w:t xml:space="preserve">Prvotná reakcia na vzniknutý incident, detekcia a identifikácia incidentu, klasifikácia a </w:t>
            </w:r>
            <w:proofErr w:type="spellStart"/>
            <w:r>
              <w:rPr>
                <w:sz w:val="20"/>
              </w:rPr>
              <w:t>prioritizácia</w:t>
            </w:r>
            <w:proofErr w:type="spellEnd"/>
            <w:r>
              <w:rPr>
                <w:sz w:val="20"/>
              </w:rPr>
              <w:t xml:space="preserve"> incidentu, počiatočná analýza incidentu, komunikácia s dohodnutými zástupcami obstarávateľa ohľadom doplňujúcich informácií o prostredí počas vzniku incidentu, prípadne dodanie dodatočných informácií zo zdrojových systémov, zabezpečenie základného popisu incidentu a krokov, ktoré boli realizované na získanie dodatočných informácií, návrh na nové automatizované mechanizmy identifikácie incidentov. </w:t>
            </w:r>
          </w:p>
        </w:tc>
        <w:tc>
          <w:tcPr>
            <w:tcW w:w="170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9" w:firstLine="0"/>
              <w:jc w:val="center"/>
            </w:pPr>
            <w:r>
              <w:rPr>
                <w:sz w:val="20"/>
              </w:rPr>
              <w:t xml:space="preserve"> </w:t>
            </w:r>
          </w:p>
          <w:p w:rsidR="00C707C5" w:rsidRDefault="004370B9">
            <w:pPr>
              <w:spacing w:after="0" w:line="259" w:lineRule="auto"/>
              <w:ind w:left="9" w:firstLine="0"/>
              <w:jc w:val="center"/>
            </w:pPr>
            <w:r>
              <w:rPr>
                <w:sz w:val="20"/>
              </w:rPr>
              <w:t xml:space="preserve"> </w:t>
            </w:r>
          </w:p>
          <w:p w:rsidR="00C707C5" w:rsidRDefault="004370B9">
            <w:pPr>
              <w:spacing w:after="0" w:line="259" w:lineRule="auto"/>
              <w:ind w:left="9" w:firstLine="0"/>
              <w:jc w:val="center"/>
            </w:pPr>
            <w:r>
              <w:rPr>
                <w:sz w:val="20"/>
              </w:rPr>
              <w:t xml:space="preserve"> </w:t>
            </w:r>
          </w:p>
          <w:p w:rsidR="00C707C5" w:rsidRDefault="004370B9">
            <w:pPr>
              <w:spacing w:after="0" w:line="259" w:lineRule="auto"/>
              <w:ind w:left="9" w:firstLine="0"/>
              <w:jc w:val="center"/>
            </w:pPr>
            <w:r>
              <w:rPr>
                <w:sz w:val="20"/>
              </w:rPr>
              <w:t xml:space="preserve"> </w:t>
            </w:r>
          </w:p>
          <w:p w:rsidR="00C707C5" w:rsidRDefault="004370B9">
            <w:pPr>
              <w:spacing w:after="8" w:line="259" w:lineRule="auto"/>
              <w:ind w:left="9" w:firstLine="0"/>
              <w:jc w:val="center"/>
            </w:pPr>
            <w:r>
              <w:rPr>
                <w:sz w:val="20"/>
              </w:rPr>
              <w:t xml:space="preserve"> </w:t>
            </w:r>
          </w:p>
          <w:p w:rsidR="00C707C5" w:rsidRDefault="004370B9">
            <w:pPr>
              <w:spacing w:after="0" w:line="259" w:lineRule="auto"/>
              <w:ind w:left="0" w:right="41" w:firstLine="0"/>
              <w:jc w:val="center"/>
            </w:pPr>
            <w:r>
              <w:rPr>
                <w:sz w:val="20"/>
              </w:rPr>
              <w:t xml:space="preserve">400 človekodní </w:t>
            </w:r>
          </w:p>
        </w:tc>
      </w:tr>
      <w:tr w:rsidR="00C707C5">
        <w:trPr>
          <w:trHeight w:val="1850"/>
        </w:trPr>
        <w:tc>
          <w:tcPr>
            <w:tcW w:w="84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8" w:firstLine="0"/>
              <w:jc w:val="center"/>
            </w:pPr>
            <w:r>
              <w:rPr>
                <w:sz w:val="20"/>
              </w:rPr>
              <w:t xml:space="preserve">1.2. </w:t>
            </w:r>
          </w:p>
        </w:tc>
        <w:tc>
          <w:tcPr>
            <w:tcW w:w="198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analytika – vyšetrovateľa Level2 </w:t>
            </w:r>
          </w:p>
        </w:tc>
        <w:tc>
          <w:tcPr>
            <w:tcW w:w="467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15" w:firstLine="0"/>
              <w:jc w:val="left"/>
            </w:pPr>
            <w:r>
              <w:rPr>
                <w:sz w:val="20"/>
              </w:rPr>
              <w:t xml:space="preserve">Detailná analýza incidentu, zabezpečenie detailného popisu incidentu a krokov, ktoré boli realizované na získanie dodatočných informácií, návrh opatrení na elimináciu alebo zníženie dopadu incidentu na chránenú infraštruktúru, návrh opatrení na zamedzenie šírenia incidentu, eskalácia incidentu, tvorba a úprava automatizovaných mechanizmov identifikácie incidentov. </w:t>
            </w:r>
          </w:p>
        </w:tc>
        <w:tc>
          <w:tcPr>
            <w:tcW w:w="170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9" w:firstLine="0"/>
              <w:jc w:val="center"/>
            </w:pPr>
            <w:r>
              <w:rPr>
                <w:sz w:val="20"/>
              </w:rPr>
              <w:t xml:space="preserve"> </w:t>
            </w:r>
          </w:p>
          <w:p w:rsidR="00C707C5" w:rsidRDefault="004370B9">
            <w:pPr>
              <w:spacing w:after="9" w:line="259" w:lineRule="auto"/>
              <w:ind w:left="9" w:firstLine="0"/>
              <w:jc w:val="center"/>
            </w:pPr>
            <w:r>
              <w:rPr>
                <w:sz w:val="20"/>
              </w:rPr>
              <w:t xml:space="preserve"> </w:t>
            </w:r>
          </w:p>
          <w:p w:rsidR="00C707C5" w:rsidRDefault="004370B9">
            <w:pPr>
              <w:spacing w:after="0" w:line="259" w:lineRule="auto"/>
              <w:ind w:left="0" w:right="41" w:firstLine="0"/>
              <w:jc w:val="center"/>
            </w:pPr>
            <w:r>
              <w:rPr>
                <w:sz w:val="20"/>
              </w:rPr>
              <w:t xml:space="preserve">600 človekodní  </w:t>
            </w:r>
          </w:p>
        </w:tc>
      </w:tr>
      <w:tr w:rsidR="00C707C5">
        <w:trPr>
          <w:trHeight w:val="929"/>
        </w:trPr>
        <w:tc>
          <w:tcPr>
            <w:tcW w:w="84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8" w:firstLine="0"/>
              <w:jc w:val="center"/>
            </w:pPr>
            <w:r>
              <w:rPr>
                <w:sz w:val="20"/>
              </w:rP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6" w:firstLine="0"/>
              <w:jc w:val="left"/>
            </w:pPr>
            <w:r>
              <w:rPr>
                <w:sz w:val="20"/>
              </w:rPr>
              <w:t xml:space="preserve">Služby manažéra SOC </w:t>
            </w:r>
          </w:p>
        </w:tc>
        <w:tc>
          <w:tcPr>
            <w:tcW w:w="467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22" w:firstLine="0"/>
              <w:jc w:val="left"/>
            </w:pPr>
            <w:r>
              <w:rPr>
                <w:sz w:val="20"/>
              </w:rPr>
              <w:t xml:space="preserve">Riadenie kvality a priebehu poskytovaných služieb, rozdeľovanie úloh a riadenie zdrojov pri riešení incidentov, návrh zmien procesov, tvorba a generovanie pravidelných reportov o stave bezpečnosti. </w:t>
            </w:r>
          </w:p>
        </w:tc>
        <w:tc>
          <w:tcPr>
            <w:tcW w:w="170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9" w:firstLine="0"/>
              <w:jc w:val="center"/>
            </w:pPr>
            <w:r>
              <w:rPr>
                <w:sz w:val="20"/>
              </w:rPr>
              <w:t xml:space="preserve"> </w:t>
            </w:r>
          </w:p>
          <w:p w:rsidR="00C707C5" w:rsidRDefault="004370B9">
            <w:pPr>
              <w:spacing w:after="9" w:line="259" w:lineRule="auto"/>
              <w:ind w:left="9" w:firstLine="0"/>
              <w:jc w:val="center"/>
            </w:pPr>
            <w:r>
              <w:rPr>
                <w:sz w:val="20"/>
              </w:rPr>
              <w:t xml:space="preserve"> </w:t>
            </w:r>
          </w:p>
          <w:p w:rsidR="00C707C5" w:rsidRDefault="004370B9">
            <w:pPr>
              <w:spacing w:after="0" w:line="259" w:lineRule="auto"/>
              <w:ind w:left="0" w:right="41" w:firstLine="0"/>
              <w:jc w:val="center"/>
            </w:pPr>
            <w:r>
              <w:rPr>
                <w:sz w:val="20"/>
              </w:rPr>
              <w:t xml:space="preserve">100 človekodní </w:t>
            </w:r>
          </w:p>
        </w:tc>
      </w:tr>
      <w:tr w:rsidR="00C707C5">
        <w:trPr>
          <w:trHeight w:val="1620"/>
        </w:trPr>
        <w:tc>
          <w:tcPr>
            <w:tcW w:w="84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8" w:firstLine="0"/>
              <w:jc w:val="center"/>
            </w:pPr>
            <w:r>
              <w:rPr>
                <w:sz w:val="20"/>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špecialistu centrálnej bezpečnostnej, logovacej a vyhodnocovacej platformy </w:t>
            </w:r>
          </w:p>
        </w:tc>
        <w:tc>
          <w:tcPr>
            <w:tcW w:w="467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44" w:firstLine="0"/>
              <w:jc w:val="left"/>
            </w:pPr>
            <w:r>
              <w:rPr>
                <w:sz w:val="20"/>
              </w:rPr>
              <w:t xml:space="preserve">Konfigurácia a manažment prevádzkovanej služby, aplikácia opráv a aktualizácií prevádzkovaných služieb, úprava nastavení systému pre zlepšenie výkonu, funkcií, zabezpečenie funkčnosti zberu udalostí zo zdrojových systémov, koordinácia činností so správcami IT prostredia obstarávateľa v prípade riešenia problémov pri zbere. </w:t>
            </w:r>
          </w:p>
        </w:tc>
        <w:tc>
          <w:tcPr>
            <w:tcW w:w="170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9" w:firstLine="0"/>
              <w:jc w:val="center"/>
            </w:pPr>
            <w:r>
              <w:rPr>
                <w:sz w:val="20"/>
              </w:rPr>
              <w:t xml:space="preserve"> </w:t>
            </w:r>
          </w:p>
          <w:p w:rsidR="00C707C5" w:rsidRDefault="004370B9">
            <w:pPr>
              <w:spacing w:after="9" w:line="259" w:lineRule="auto"/>
              <w:ind w:left="9" w:firstLine="0"/>
              <w:jc w:val="center"/>
            </w:pPr>
            <w:r>
              <w:rPr>
                <w:sz w:val="20"/>
              </w:rPr>
              <w:t xml:space="preserve"> </w:t>
            </w:r>
          </w:p>
          <w:p w:rsidR="00C707C5" w:rsidRDefault="004370B9">
            <w:pPr>
              <w:spacing w:after="0" w:line="259" w:lineRule="auto"/>
              <w:ind w:left="0" w:right="166" w:firstLine="0"/>
              <w:jc w:val="right"/>
            </w:pPr>
            <w:r>
              <w:rPr>
                <w:sz w:val="20"/>
              </w:rPr>
              <w:t xml:space="preserve">160 človekodní   </w:t>
            </w:r>
          </w:p>
        </w:tc>
      </w:tr>
    </w:tbl>
    <w:p w:rsidR="00C707C5" w:rsidRDefault="004370B9">
      <w:pPr>
        <w:spacing w:after="201" w:line="259" w:lineRule="auto"/>
        <w:ind w:left="0" w:firstLine="0"/>
        <w:jc w:val="left"/>
      </w:pPr>
      <w:r>
        <w:t xml:space="preserve"> </w:t>
      </w:r>
    </w:p>
    <w:p w:rsidR="00C707C5" w:rsidRDefault="004370B9">
      <w:pPr>
        <w:ind w:left="-5"/>
      </w:pPr>
      <w:r>
        <w:t xml:space="preserve">Požaduje sa garantovaná dostupnosť služby 8/5/NBD, </w:t>
      </w:r>
      <w:proofErr w:type="spellStart"/>
      <w:r>
        <w:t>t.j</w:t>
      </w:r>
      <w:proofErr w:type="spellEnd"/>
      <w:r>
        <w:t xml:space="preserve">. 8 hodín 5 dní v týždni s nasledovnými parametrami:  </w:t>
      </w:r>
    </w:p>
    <w:tbl>
      <w:tblPr>
        <w:tblStyle w:val="TableGrid"/>
        <w:tblW w:w="7224" w:type="dxa"/>
        <w:tblInd w:w="1066" w:type="dxa"/>
        <w:tblCellMar>
          <w:top w:w="7" w:type="dxa"/>
          <w:left w:w="108" w:type="dxa"/>
          <w:right w:w="72" w:type="dxa"/>
        </w:tblCellMar>
        <w:tblLook w:val="04A0" w:firstRow="1" w:lastRow="0" w:firstColumn="1" w:lastColumn="0" w:noHBand="0" w:noVBand="1"/>
      </w:tblPr>
      <w:tblGrid>
        <w:gridCol w:w="2263"/>
        <w:gridCol w:w="1560"/>
        <w:gridCol w:w="1558"/>
        <w:gridCol w:w="1843"/>
      </w:tblGrid>
      <w:tr w:rsidR="00C707C5">
        <w:trPr>
          <w:trHeight w:val="262"/>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C707C5" w:rsidRDefault="004370B9">
            <w:pPr>
              <w:spacing w:after="0" w:line="259" w:lineRule="auto"/>
              <w:ind w:left="0" w:right="35" w:firstLine="0"/>
              <w:jc w:val="center"/>
            </w:pPr>
            <w:r>
              <w:rPr>
                <w:b/>
              </w:rPr>
              <w:t xml:space="preserve">Parametre </w:t>
            </w:r>
          </w:p>
        </w:tc>
        <w:tc>
          <w:tcPr>
            <w:tcW w:w="1560" w:type="dxa"/>
            <w:tcBorders>
              <w:top w:val="single" w:sz="4" w:space="0" w:color="000000"/>
              <w:left w:val="single" w:sz="4" w:space="0" w:color="000000"/>
              <w:bottom w:val="single" w:sz="4" w:space="0" w:color="000000"/>
              <w:right w:val="nil"/>
            </w:tcBorders>
            <w:shd w:val="clear" w:color="auto" w:fill="BDD6EE"/>
          </w:tcPr>
          <w:p w:rsidR="00C707C5" w:rsidRDefault="00C707C5">
            <w:pPr>
              <w:spacing w:after="160" w:line="259" w:lineRule="auto"/>
              <w:ind w:left="0" w:firstLine="0"/>
              <w:jc w:val="left"/>
            </w:pPr>
          </w:p>
        </w:tc>
        <w:tc>
          <w:tcPr>
            <w:tcW w:w="1558"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440" w:firstLine="0"/>
              <w:jc w:val="left"/>
            </w:pPr>
            <w:r>
              <w:rPr>
                <w:b/>
              </w:rPr>
              <w:t xml:space="preserve">Priorita </w:t>
            </w:r>
          </w:p>
        </w:tc>
        <w:tc>
          <w:tcPr>
            <w:tcW w:w="1843" w:type="dxa"/>
            <w:tcBorders>
              <w:top w:val="single" w:sz="4" w:space="0" w:color="000000"/>
              <w:left w:val="nil"/>
              <w:bottom w:val="single" w:sz="4" w:space="0" w:color="000000"/>
              <w:right w:val="single" w:sz="4" w:space="0" w:color="000000"/>
            </w:tcBorders>
            <w:shd w:val="clear" w:color="auto" w:fill="BDD6EE"/>
          </w:tcPr>
          <w:p w:rsidR="00C707C5" w:rsidRDefault="00C707C5">
            <w:pPr>
              <w:spacing w:after="160" w:line="259" w:lineRule="auto"/>
              <w:ind w:left="0" w:firstLine="0"/>
              <w:jc w:val="left"/>
            </w:pPr>
          </w:p>
        </w:tc>
      </w:tr>
      <w:tr w:rsidR="00C707C5">
        <w:trPr>
          <w:trHeight w:val="262"/>
        </w:trPr>
        <w:tc>
          <w:tcPr>
            <w:tcW w:w="0" w:type="auto"/>
            <w:vMerge/>
            <w:tcBorders>
              <w:top w:val="nil"/>
              <w:left w:val="single" w:sz="4" w:space="0" w:color="000000"/>
              <w:bottom w:val="single" w:sz="4" w:space="0" w:color="000000"/>
              <w:right w:val="single" w:sz="4" w:space="0" w:color="000000"/>
            </w:tcBorders>
          </w:tcPr>
          <w:p w:rsidR="00C707C5" w:rsidRDefault="00C707C5">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36" w:firstLine="0"/>
              <w:jc w:val="center"/>
            </w:pPr>
            <w:r>
              <w:rPr>
                <w:b/>
              </w:rPr>
              <w:t xml:space="preserve">1 </w:t>
            </w:r>
          </w:p>
        </w:tc>
        <w:tc>
          <w:tcPr>
            <w:tcW w:w="1558"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34" w:firstLine="0"/>
              <w:jc w:val="center"/>
            </w:pPr>
            <w:r>
              <w:rPr>
                <w:b/>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36" w:firstLine="0"/>
              <w:jc w:val="center"/>
            </w:pPr>
            <w:r>
              <w:rPr>
                <w:b/>
              </w:rPr>
              <w:t xml:space="preserve">3 </w:t>
            </w:r>
          </w:p>
        </w:tc>
      </w:tr>
      <w:tr w:rsidR="00C707C5">
        <w:trPr>
          <w:trHeight w:val="265"/>
        </w:trPr>
        <w:tc>
          <w:tcPr>
            <w:tcW w:w="2264"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t xml:space="preserve">Reakčná doba </w:t>
            </w:r>
          </w:p>
        </w:tc>
        <w:tc>
          <w:tcPr>
            <w:tcW w:w="156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9" w:firstLine="0"/>
              <w:jc w:val="center"/>
            </w:pPr>
            <w:r>
              <w:t xml:space="preserve">60 min </w:t>
            </w:r>
          </w:p>
        </w:tc>
        <w:tc>
          <w:tcPr>
            <w:tcW w:w="155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1" w:firstLine="0"/>
              <w:jc w:val="center"/>
            </w:pPr>
            <w:r>
              <w:t xml:space="preserve">12 hod </w:t>
            </w:r>
          </w:p>
        </w:tc>
        <w:tc>
          <w:tcPr>
            <w:tcW w:w="184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3" w:firstLine="0"/>
              <w:jc w:val="center"/>
            </w:pPr>
            <w:r>
              <w:t xml:space="preserve">24 hod </w:t>
            </w:r>
          </w:p>
        </w:tc>
      </w:tr>
      <w:tr w:rsidR="00C707C5">
        <w:trPr>
          <w:trHeight w:val="768"/>
        </w:trPr>
        <w:tc>
          <w:tcPr>
            <w:tcW w:w="2264"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55" w:firstLine="0"/>
            </w:pPr>
            <w:r>
              <w:t>Doba vypracovania metodiky (</w:t>
            </w:r>
            <w:proofErr w:type="spellStart"/>
            <w:r>
              <w:t>runbook</w:t>
            </w:r>
            <w:proofErr w:type="spellEnd"/>
            <w:r>
              <w:t xml:space="preserve">) na elimináciu incidentu </w:t>
            </w:r>
          </w:p>
        </w:tc>
        <w:tc>
          <w:tcPr>
            <w:tcW w:w="156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7" w:firstLine="0"/>
              <w:jc w:val="center"/>
            </w:pPr>
            <w:r>
              <w:t xml:space="preserve">1 deň </w:t>
            </w:r>
          </w:p>
        </w:tc>
        <w:tc>
          <w:tcPr>
            <w:tcW w:w="155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2" w:firstLine="0"/>
              <w:jc w:val="center"/>
            </w:pPr>
            <w:r>
              <w:t xml:space="preserve">3 dni </w:t>
            </w:r>
          </w:p>
        </w:tc>
        <w:tc>
          <w:tcPr>
            <w:tcW w:w="184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4" w:firstLine="0"/>
              <w:jc w:val="center"/>
            </w:pPr>
            <w:r>
              <w:t xml:space="preserve">5 dní </w:t>
            </w:r>
          </w:p>
        </w:tc>
      </w:tr>
    </w:tbl>
    <w:p w:rsidR="00C707C5" w:rsidRDefault="004370B9">
      <w:pPr>
        <w:spacing w:after="201" w:line="259" w:lineRule="auto"/>
        <w:ind w:left="0" w:firstLine="0"/>
        <w:jc w:val="left"/>
      </w:pPr>
      <w:r>
        <w:t xml:space="preserve"> </w:t>
      </w:r>
    </w:p>
    <w:p w:rsidR="00236EEA" w:rsidRDefault="00236EEA">
      <w:pPr>
        <w:spacing w:after="201" w:line="259" w:lineRule="auto"/>
        <w:ind w:left="0" w:firstLine="0"/>
        <w:jc w:val="left"/>
      </w:pPr>
    </w:p>
    <w:p w:rsidR="00236EEA" w:rsidRDefault="00236EEA">
      <w:pPr>
        <w:spacing w:after="201" w:line="259" w:lineRule="auto"/>
        <w:ind w:left="0" w:firstLine="0"/>
        <w:jc w:val="left"/>
      </w:pPr>
    </w:p>
    <w:p w:rsidR="00236EEA" w:rsidRDefault="00236EEA">
      <w:pPr>
        <w:spacing w:after="201" w:line="259" w:lineRule="auto"/>
        <w:ind w:left="0" w:firstLine="0"/>
        <w:jc w:val="left"/>
      </w:pPr>
    </w:p>
    <w:p w:rsidR="00C707C5" w:rsidRDefault="004370B9">
      <w:pPr>
        <w:ind w:left="-5"/>
      </w:pPr>
      <w:r>
        <w:lastRenderedPageBreak/>
        <w:t xml:space="preserve">Priorita incidentu sa určí na základe nasledovnej matice: </w:t>
      </w:r>
    </w:p>
    <w:tbl>
      <w:tblPr>
        <w:tblStyle w:val="TableGrid"/>
        <w:tblW w:w="9205" w:type="dxa"/>
        <w:tblInd w:w="76" w:type="dxa"/>
        <w:tblCellMar>
          <w:top w:w="6" w:type="dxa"/>
          <w:right w:w="61" w:type="dxa"/>
        </w:tblCellMar>
        <w:tblLook w:val="04A0" w:firstRow="1" w:lastRow="0" w:firstColumn="1" w:lastColumn="0" w:noHBand="0" w:noVBand="1"/>
      </w:tblPr>
      <w:tblGrid>
        <w:gridCol w:w="1841"/>
        <w:gridCol w:w="1841"/>
        <w:gridCol w:w="1841"/>
        <w:gridCol w:w="1841"/>
        <w:gridCol w:w="1841"/>
      </w:tblGrid>
      <w:tr w:rsidR="00C707C5">
        <w:trPr>
          <w:trHeight w:val="263"/>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C707C5" w:rsidRDefault="004370B9">
            <w:pPr>
              <w:spacing w:after="0" w:line="259" w:lineRule="auto"/>
              <w:ind w:left="58" w:firstLine="0"/>
              <w:jc w:val="center"/>
            </w:pPr>
            <w:r>
              <w:rPr>
                <w:b/>
              </w:rPr>
              <w:t xml:space="preserve">Dopad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Vysoký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2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1 </w:t>
            </w:r>
          </w:p>
        </w:tc>
      </w:tr>
      <w:tr w:rsidR="00C707C5">
        <w:trPr>
          <w:trHeight w:val="262"/>
        </w:trPr>
        <w:tc>
          <w:tcPr>
            <w:tcW w:w="0" w:type="auto"/>
            <w:vMerge/>
            <w:tcBorders>
              <w:top w:val="nil"/>
              <w:left w:val="single" w:sz="4" w:space="0" w:color="000000"/>
              <w:bottom w:val="nil"/>
              <w:right w:val="single" w:sz="4" w:space="0" w:color="000000"/>
            </w:tcBorders>
          </w:tcPr>
          <w:p w:rsidR="00C707C5" w:rsidRDefault="00C707C5">
            <w:pPr>
              <w:spacing w:after="160" w:line="259" w:lineRule="auto"/>
              <w:ind w:lef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Stredný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2 </w:t>
            </w:r>
          </w:p>
        </w:tc>
      </w:tr>
      <w:tr w:rsidR="00C707C5">
        <w:trPr>
          <w:trHeight w:val="263"/>
        </w:trPr>
        <w:tc>
          <w:tcPr>
            <w:tcW w:w="0" w:type="auto"/>
            <w:vMerge/>
            <w:tcBorders>
              <w:top w:val="nil"/>
              <w:left w:val="single" w:sz="4" w:space="0" w:color="000000"/>
              <w:bottom w:val="single" w:sz="4" w:space="0" w:color="000000"/>
              <w:right w:val="single" w:sz="4" w:space="0" w:color="000000"/>
            </w:tcBorders>
          </w:tcPr>
          <w:p w:rsidR="00C707C5" w:rsidRDefault="00C707C5">
            <w:pPr>
              <w:spacing w:after="160" w:line="259" w:lineRule="auto"/>
              <w:ind w:lef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Nízky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r>
      <w:tr w:rsidR="00C707C5">
        <w:trPr>
          <w:trHeight w:val="264"/>
        </w:trPr>
        <w:tc>
          <w:tcPr>
            <w:tcW w:w="18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7"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Nízka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Stredná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Vysoká </w:t>
            </w:r>
          </w:p>
        </w:tc>
      </w:tr>
      <w:tr w:rsidR="00C707C5">
        <w:trPr>
          <w:trHeight w:val="262"/>
        </w:trPr>
        <w:tc>
          <w:tcPr>
            <w:tcW w:w="18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7" w:firstLine="0"/>
              <w:jc w:val="left"/>
            </w:pPr>
            <w:r>
              <w:t xml:space="preserve"> </w:t>
            </w:r>
          </w:p>
        </w:tc>
        <w:tc>
          <w:tcPr>
            <w:tcW w:w="1841" w:type="dxa"/>
            <w:tcBorders>
              <w:top w:val="single" w:sz="4" w:space="0" w:color="000000"/>
              <w:left w:val="single" w:sz="4" w:space="0" w:color="000000"/>
              <w:bottom w:val="single" w:sz="4" w:space="0" w:color="000000"/>
              <w:right w:val="nil"/>
            </w:tcBorders>
            <w:shd w:val="clear" w:color="auto" w:fill="BDD6EE"/>
          </w:tcPr>
          <w:p w:rsidR="00C707C5" w:rsidRDefault="00C707C5">
            <w:pPr>
              <w:spacing w:after="160" w:line="259" w:lineRule="auto"/>
              <w:ind w:left="0" w:firstLine="0"/>
              <w:jc w:val="left"/>
            </w:pPr>
          </w:p>
        </w:tc>
        <w:tc>
          <w:tcPr>
            <w:tcW w:w="1841"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0" w:firstLine="0"/>
              <w:jc w:val="right"/>
            </w:pPr>
            <w:proofErr w:type="spellStart"/>
            <w:r>
              <w:rPr>
                <w:b/>
              </w:rPr>
              <w:t>Urg</w:t>
            </w:r>
            <w:proofErr w:type="spellEnd"/>
          </w:p>
        </w:tc>
        <w:tc>
          <w:tcPr>
            <w:tcW w:w="1841"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61" w:firstLine="0"/>
              <w:jc w:val="left"/>
            </w:pPr>
            <w:proofErr w:type="spellStart"/>
            <w:r>
              <w:rPr>
                <w:b/>
              </w:rPr>
              <w:t>encia</w:t>
            </w:r>
            <w:proofErr w:type="spellEnd"/>
            <w:r>
              <w:rPr>
                <w:b/>
              </w:rPr>
              <w:t xml:space="preserve"> </w:t>
            </w:r>
          </w:p>
        </w:tc>
        <w:tc>
          <w:tcPr>
            <w:tcW w:w="1841" w:type="dxa"/>
            <w:tcBorders>
              <w:top w:val="single" w:sz="4" w:space="0" w:color="000000"/>
              <w:left w:val="nil"/>
              <w:bottom w:val="single" w:sz="4" w:space="0" w:color="000000"/>
              <w:right w:val="single" w:sz="4" w:space="0" w:color="000000"/>
            </w:tcBorders>
            <w:shd w:val="clear" w:color="auto" w:fill="BDD6EE"/>
          </w:tcPr>
          <w:p w:rsidR="00C707C5" w:rsidRDefault="00C707C5">
            <w:pPr>
              <w:spacing w:after="160" w:line="259" w:lineRule="auto"/>
              <w:ind w:left="0" w:firstLine="0"/>
              <w:jc w:val="left"/>
            </w:pPr>
          </w:p>
        </w:tc>
      </w:tr>
    </w:tbl>
    <w:p w:rsidR="00C707C5" w:rsidRDefault="004370B9">
      <w:pPr>
        <w:spacing w:after="0" w:line="259" w:lineRule="auto"/>
        <w:ind w:left="1416" w:firstLine="0"/>
        <w:jc w:val="left"/>
      </w:pPr>
      <w:r>
        <w:t xml:space="preserve"> </w:t>
      </w:r>
    </w:p>
    <w:p w:rsidR="00C707C5" w:rsidRDefault="004370B9">
      <w:pPr>
        <w:pStyle w:val="Nadpis3"/>
        <w:ind w:left="2145" w:hanging="720"/>
      </w:pPr>
      <w:r>
        <w:t>2.2.2</w:t>
      </w:r>
      <w:r>
        <w:rPr>
          <w:rFonts w:ascii="Arial" w:eastAsia="Arial" w:hAnsi="Arial" w:cs="Arial"/>
        </w:rPr>
        <w:t xml:space="preserve"> </w:t>
      </w:r>
      <w:r>
        <w:t xml:space="preserve">Služby asistencie pri riešení kybernetických bezpečnostných hrozieb a incidentov </w:t>
      </w:r>
    </w:p>
    <w:p w:rsidR="00C707C5" w:rsidRDefault="004370B9">
      <w:pPr>
        <w:ind w:left="-15" w:firstLine="708"/>
      </w:pPr>
      <w:r>
        <w:t xml:space="preserve">Verejný obstarávateľ poskytnutie služieb pre technické vybavenie formou na vyžiadanie formou asistencie pri riešení kybernetických bezpečnostných hrozieb a incidentov požaduje poskytovať prostredníctvom týchto expertov:  </w:t>
      </w:r>
    </w:p>
    <w:tbl>
      <w:tblPr>
        <w:tblStyle w:val="TableGrid"/>
        <w:tblW w:w="9463" w:type="dxa"/>
        <w:tblInd w:w="-53" w:type="dxa"/>
        <w:tblCellMar>
          <w:top w:w="7" w:type="dxa"/>
          <w:left w:w="108" w:type="dxa"/>
          <w:right w:w="72" w:type="dxa"/>
        </w:tblCellMar>
        <w:tblLook w:val="04A0" w:firstRow="1" w:lastRow="0" w:firstColumn="1" w:lastColumn="0" w:noHBand="0" w:noVBand="1"/>
      </w:tblPr>
      <w:tblGrid>
        <w:gridCol w:w="1275"/>
        <w:gridCol w:w="1985"/>
        <w:gridCol w:w="4395"/>
        <w:gridCol w:w="1808"/>
      </w:tblGrid>
      <w:tr w:rsidR="00C707C5">
        <w:trPr>
          <w:trHeight w:val="1018"/>
        </w:trPr>
        <w:tc>
          <w:tcPr>
            <w:tcW w:w="1275"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34" w:firstLine="0"/>
              <w:jc w:val="center"/>
            </w:pPr>
            <w:proofErr w:type="spellStart"/>
            <w:r>
              <w:rPr>
                <w:b/>
              </w:rPr>
              <w:t>P.č</w:t>
            </w:r>
            <w:proofErr w:type="spellEnd"/>
            <w:r>
              <w:rPr>
                <w: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Názov pozície </w:t>
            </w:r>
          </w:p>
        </w:tc>
        <w:tc>
          <w:tcPr>
            <w:tcW w:w="4395"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Popis požadovaných činností </w:t>
            </w:r>
          </w:p>
        </w:tc>
        <w:tc>
          <w:tcPr>
            <w:tcW w:w="1808"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2" w:line="236" w:lineRule="auto"/>
              <w:ind w:left="0" w:firstLine="0"/>
              <w:jc w:val="center"/>
            </w:pPr>
            <w:r>
              <w:rPr>
                <w:b/>
              </w:rPr>
              <w:t xml:space="preserve">Predpokladaný rozsah činností </w:t>
            </w:r>
          </w:p>
          <w:p w:rsidR="00C707C5" w:rsidRDefault="004370B9">
            <w:pPr>
              <w:spacing w:after="0" w:line="259" w:lineRule="auto"/>
              <w:ind w:left="0" w:right="34" w:firstLine="0"/>
              <w:jc w:val="center"/>
            </w:pPr>
            <w:r>
              <w:rPr>
                <w:b/>
              </w:rPr>
              <w:t xml:space="preserve">počas trvania </w:t>
            </w:r>
          </w:p>
          <w:p w:rsidR="00C707C5" w:rsidRDefault="004370B9">
            <w:pPr>
              <w:spacing w:after="0" w:line="259" w:lineRule="auto"/>
              <w:ind w:left="0" w:right="33" w:firstLine="0"/>
              <w:jc w:val="center"/>
            </w:pPr>
            <w:r>
              <w:rPr>
                <w:b/>
              </w:rPr>
              <w:t xml:space="preserve">Dohody </w:t>
            </w:r>
          </w:p>
        </w:tc>
      </w:tr>
      <w:tr w:rsidR="00C707C5">
        <w:trPr>
          <w:trHeight w:val="2083"/>
        </w:trPr>
        <w:tc>
          <w:tcPr>
            <w:tcW w:w="127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5" w:firstLine="0"/>
              <w:jc w:val="center"/>
            </w:pPr>
            <w:r>
              <w:rPr>
                <w:sz w:val="20"/>
              </w:rPr>
              <w:t xml:space="preserve">2.1. </w:t>
            </w:r>
          </w:p>
        </w:tc>
        <w:tc>
          <w:tcPr>
            <w:tcW w:w="198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experta pre sieťovú bezpečnosť </w:t>
            </w:r>
          </w:p>
        </w:tc>
        <w:tc>
          <w:tcPr>
            <w:tcW w:w="43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Reakcia na vzniknuté incidenty, detailná hĺbková analýza príčin vzniku v oblasti sieťovej bezpečnosti (sieťové a aplikačné FW, analytické systémy, email </w:t>
            </w:r>
            <w:proofErr w:type="spellStart"/>
            <w:r>
              <w:rPr>
                <w:sz w:val="20"/>
              </w:rPr>
              <w:t>gateway</w:t>
            </w:r>
            <w:proofErr w:type="spellEnd"/>
            <w:r>
              <w:rPr>
                <w:sz w:val="20"/>
              </w:rPr>
              <w:t xml:space="preserve">, proxy), návrh opatrení na zamedzenie dopadu incidentu alebo opatrení na zamedzenie vzniku incidentu, odborná a technická podpora pri riešení vzniknutého incidentu v oblasti sieťovej bezpečnosti (sieťové a aplikačné FW, analytické systémy, email </w:t>
            </w:r>
            <w:proofErr w:type="spellStart"/>
            <w:r>
              <w:rPr>
                <w:sz w:val="20"/>
              </w:rPr>
              <w:t>gateway</w:t>
            </w:r>
            <w:proofErr w:type="spellEnd"/>
            <w:r>
              <w:rPr>
                <w:sz w:val="20"/>
              </w:rPr>
              <w:t xml:space="preserve">, proxy).  </w:t>
            </w:r>
          </w:p>
        </w:tc>
        <w:tc>
          <w:tcPr>
            <w:tcW w:w="180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7" w:firstLine="0"/>
              <w:jc w:val="center"/>
            </w:pPr>
            <w:r>
              <w:rPr>
                <w:sz w:val="20"/>
              </w:rPr>
              <w:t xml:space="preserve"> </w:t>
            </w:r>
          </w:p>
          <w:p w:rsidR="00C707C5" w:rsidRDefault="004370B9">
            <w:pPr>
              <w:spacing w:after="0" w:line="259" w:lineRule="auto"/>
              <w:ind w:left="17" w:firstLine="0"/>
              <w:jc w:val="center"/>
            </w:pPr>
            <w:r>
              <w:rPr>
                <w:sz w:val="20"/>
              </w:rPr>
              <w:t xml:space="preserve"> </w:t>
            </w:r>
          </w:p>
          <w:p w:rsidR="00C707C5" w:rsidRDefault="004370B9">
            <w:pPr>
              <w:spacing w:after="0" w:line="259" w:lineRule="auto"/>
              <w:ind w:left="17" w:firstLine="0"/>
              <w:jc w:val="center"/>
            </w:pPr>
            <w:r>
              <w:rPr>
                <w:sz w:val="20"/>
              </w:rPr>
              <w:t xml:space="preserve"> </w:t>
            </w:r>
          </w:p>
          <w:p w:rsidR="00C707C5" w:rsidRDefault="004370B9">
            <w:pPr>
              <w:spacing w:after="8" w:line="259" w:lineRule="auto"/>
              <w:ind w:left="17" w:firstLine="0"/>
              <w:jc w:val="center"/>
            </w:pPr>
            <w:r>
              <w:rPr>
                <w:sz w:val="20"/>
              </w:rPr>
              <w:t xml:space="preserve"> </w:t>
            </w:r>
          </w:p>
          <w:p w:rsidR="00C707C5" w:rsidRDefault="004370B9">
            <w:pPr>
              <w:spacing w:after="0" w:line="259" w:lineRule="auto"/>
              <w:ind w:left="0" w:right="34" w:firstLine="0"/>
              <w:jc w:val="center"/>
            </w:pPr>
            <w:r>
              <w:rPr>
                <w:sz w:val="20"/>
              </w:rPr>
              <w:t xml:space="preserve">160 človekodní </w:t>
            </w:r>
          </w:p>
        </w:tc>
      </w:tr>
      <w:tr w:rsidR="00C707C5">
        <w:trPr>
          <w:trHeight w:val="1620"/>
        </w:trPr>
        <w:tc>
          <w:tcPr>
            <w:tcW w:w="127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5" w:firstLine="0"/>
              <w:jc w:val="center"/>
            </w:pPr>
            <w:r>
              <w:rPr>
                <w:sz w:val="20"/>
              </w:rPr>
              <w:t xml:space="preserve">2.2. </w:t>
            </w:r>
          </w:p>
        </w:tc>
        <w:tc>
          <w:tcPr>
            <w:tcW w:w="198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experta pre bezpečnosť koncových zariadení  </w:t>
            </w:r>
          </w:p>
        </w:tc>
        <w:tc>
          <w:tcPr>
            <w:tcW w:w="43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Reakcia na vzniknuté incidenty, detailná hĺbková analýza príčin vzniku v oblasti koncových zariadení (Windows, Linux, </w:t>
            </w:r>
            <w:proofErr w:type="spellStart"/>
            <w:r>
              <w:rPr>
                <w:sz w:val="20"/>
              </w:rPr>
              <w:t>MacOS</w:t>
            </w:r>
            <w:proofErr w:type="spellEnd"/>
            <w:r>
              <w:rPr>
                <w:sz w:val="20"/>
              </w:rPr>
              <w:t xml:space="preserve">), návrh opatrení na zamedzenie dopadu incidentu alebo opatrení na zamedzenie vzniku incidentu, odborná a technická podpora pri riešení vzniknutého incidentu v oblasti koncových zariadení (Windows, Linux, </w:t>
            </w:r>
            <w:proofErr w:type="spellStart"/>
            <w:r>
              <w:rPr>
                <w:sz w:val="20"/>
              </w:rPr>
              <w:t>MacOS</w:t>
            </w:r>
            <w:proofErr w:type="spellEnd"/>
            <w:r>
              <w:rPr>
                <w:sz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67" w:firstLine="0"/>
              <w:jc w:val="center"/>
            </w:pPr>
            <w:r>
              <w:rPr>
                <w:sz w:val="20"/>
              </w:rPr>
              <w:t xml:space="preserve">  </w:t>
            </w:r>
          </w:p>
          <w:p w:rsidR="00C707C5" w:rsidRDefault="004370B9">
            <w:pPr>
              <w:spacing w:after="0" w:line="259" w:lineRule="auto"/>
              <w:ind w:left="17" w:firstLine="0"/>
              <w:jc w:val="center"/>
            </w:pPr>
            <w:r>
              <w:rPr>
                <w:sz w:val="20"/>
              </w:rPr>
              <w:t xml:space="preserve"> </w:t>
            </w:r>
          </w:p>
          <w:p w:rsidR="00C707C5" w:rsidRDefault="004370B9">
            <w:pPr>
              <w:spacing w:after="0" w:line="259" w:lineRule="auto"/>
              <w:ind w:left="17" w:firstLine="0"/>
              <w:jc w:val="center"/>
            </w:pPr>
            <w:r>
              <w:rPr>
                <w:sz w:val="20"/>
              </w:rPr>
              <w:t xml:space="preserve"> </w:t>
            </w:r>
          </w:p>
          <w:p w:rsidR="00C707C5" w:rsidRDefault="004370B9">
            <w:pPr>
              <w:spacing w:after="6" w:line="259" w:lineRule="auto"/>
              <w:ind w:left="17" w:firstLine="0"/>
              <w:jc w:val="center"/>
            </w:pPr>
            <w:r>
              <w:rPr>
                <w:sz w:val="20"/>
              </w:rPr>
              <w:t xml:space="preserve"> </w:t>
            </w:r>
          </w:p>
          <w:p w:rsidR="00C707C5" w:rsidRDefault="004370B9">
            <w:pPr>
              <w:spacing w:after="0" w:line="259" w:lineRule="auto"/>
              <w:ind w:left="0" w:right="34" w:firstLine="0"/>
              <w:jc w:val="center"/>
            </w:pPr>
            <w:r>
              <w:rPr>
                <w:sz w:val="20"/>
              </w:rPr>
              <w:t xml:space="preserve">120 človekodní </w:t>
            </w:r>
          </w:p>
        </w:tc>
      </w:tr>
      <w:tr w:rsidR="00C707C5">
        <w:trPr>
          <w:trHeight w:val="1851"/>
        </w:trPr>
        <w:tc>
          <w:tcPr>
            <w:tcW w:w="127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5" w:firstLine="0"/>
              <w:jc w:val="center"/>
            </w:pPr>
            <w:r>
              <w:rPr>
                <w:sz w:val="20"/>
              </w:rPr>
              <w:t xml:space="preserve">2.3. </w:t>
            </w:r>
          </w:p>
        </w:tc>
        <w:tc>
          <w:tcPr>
            <w:tcW w:w="198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experta pre databázové systémy </w:t>
            </w:r>
          </w:p>
        </w:tc>
        <w:tc>
          <w:tcPr>
            <w:tcW w:w="43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47" w:firstLine="0"/>
              <w:jc w:val="left"/>
            </w:pPr>
            <w:r>
              <w:rPr>
                <w:sz w:val="20"/>
              </w:rPr>
              <w:t xml:space="preserve">Reakcia na vzniknuté incidenty, detailná hĺbková analýza príčin vzniku v oblasti databázových systémov (Oracle, MS SQL, </w:t>
            </w:r>
            <w:proofErr w:type="spellStart"/>
            <w:r>
              <w:rPr>
                <w:sz w:val="20"/>
              </w:rPr>
              <w:t>PostgreSQL</w:t>
            </w:r>
            <w:proofErr w:type="spellEnd"/>
            <w:r>
              <w:rPr>
                <w:sz w:val="20"/>
              </w:rPr>
              <w:t xml:space="preserve">), návrh opatrení na zamedzenie dopadu incidentu alebo opatrení na zamedzenie vzniku incidentu, odborná a technická podpora pri riešení vzniknutého incidentu v oblasti databázových systémov (Oracle, MS SQL, </w:t>
            </w:r>
            <w:proofErr w:type="spellStart"/>
            <w:r>
              <w:rPr>
                <w:sz w:val="20"/>
              </w:rPr>
              <w:t>PostgreSQL</w:t>
            </w:r>
            <w:proofErr w:type="spellEnd"/>
            <w:r>
              <w:rPr>
                <w:sz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7" w:firstLine="0"/>
              <w:jc w:val="center"/>
            </w:pPr>
            <w:r>
              <w:rPr>
                <w:sz w:val="20"/>
              </w:rPr>
              <w:t xml:space="preserve"> </w:t>
            </w:r>
          </w:p>
          <w:p w:rsidR="00C707C5" w:rsidRDefault="004370B9">
            <w:pPr>
              <w:spacing w:after="0" w:line="259" w:lineRule="auto"/>
              <w:ind w:left="17" w:firstLine="0"/>
              <w:jc w:val="center"/>
            </w:pPr>
            <w:r>
              <w:rPr>
                <w:sz w:val="20"/>
              </w:rPr>
              <w:t xml:space="preserve"> </w:t>
            </w:r>
          </w:p>
          <w:p w:rsidR="00C707C5" w:rsidRDefault="004370B9">
            <w:pPr>
              <w:spacing w:after="11" w:line="259" w:lineRule="auto"/>
              <w:ind w:left="17" w:firstLine="0"/>
              <w:jc w:val="center"/>
            </w:pPr>
            <w:r>
              <w:rPr>
                <w:sz w:val="20"/>
              </w:rPr>
              <w:t xml:space="preserve"> </w:t>
            </w:r>
          </w:p>
          <w:p w:rsidR="00C707C5" w:rsidRDefault="004370B9">
            <w:pPr>
              <w:spacing w:after="0" w:line="259" w:lineRule="auto"/>
              <w:ind w:left="0" w:right="34" w:firstLine="0"/>
              <w:jc w:val="center"/>
            </w:pPr>
            <w:r>
              <w:rPr>
                <w:sz w:val="20"/>
              </w:rPr>
              <w:t xml:space="preserve">80 človekodní </w:t>
            </w:r>
          </w:p>
        </w:tc>
      </w:tr>
      <w:tr w:rsidR="00C707C5">
        <w:trPr>
          <w:trHeight w:val="1851"/>
        </w:trPr>
        <w:tc>
          <w:tcPr>
            <w:tcW w:w="127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5" w:firstLine="0"/>
              <w:jc w:val="center"/>
            </w:pPr>
            <w:r>
              <w:rPr>
                <w:sz w:val="20"/>
              </w:rPr>
              <w:t xml:space="preserve">2.4. </w:t>
            </w:r>
          </w:p>
        </w:tc>
        <w:tc>
          <w:tcPr>
            <w:tcW w:w="198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experta pre  havarijné plánovanie a obnovu činností </w:t>
            </w:r>
          </w:p>
        </w:tc>
        <w:tc>
          <w:tcPr>
            <w:tcW w:w="4395"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Vypracovanie  návrhov plánov kontinuity činnosti, integrácia plánov kontinuity činnosti, pravidelné overovanie kvality plánov na základe testovacieho scenára, výber alternatívnych metód na udržanie kontinuity procesov verejného obstarávateľa, spracovanie návrhu plánov dostupnosti informácií a informačných služieb pre kritické procesy v prípade výskytu havárie </w:t>
            </w:r>
          </w:p>
        </w:tc>
        <w:tc>
          <w:tcPr>
            <w:tcW w:w="180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7" w:firstLine="0"/>
              <w:jc w:val="center"/>
            </w:pPr>
            <w:r>
              <w:rPr>
                <w:sz w:val="20"/>
              </w:rPr>
              <w:t xml:space="preserve"> </w:t>
            </w:r>
          </w:p>
          <w:p w:rsidR="00C707C5" w:rsidRDefault="004370B9">
            <w:pPr>
              <w:spacing w:after="0" w:line="259" w:lineRule="auto"/>
              <w:ind w:left="17" w:firstLine="0"/>
              <w:jc w:val="center"/>
            </w:pPr>
            <w:r>
              <w:rPr>
                <w:sz w:val="20"/>
              </w:rPr>
              <w:t xml:space="preserve"> </w:t>
            </w:r>
          </w:p>
          <w:p w:rsidR="00C707C5" w:rsidRDefault="004370B9">
            <w:pPr>
              <w:spacing w:after="8" w:line="259" w:lineRule="auto"/>
              <w:ind w:left="17" w:firstLine="0"/>
              <w:jc w:val="center"/>
            </w:pPr>
            <w:r>
              <w:rPr>
                <w:sz w:val="20"/>
              </w:rPr>
              <w:t xml:space="preserve"> </w:t>
            </w:r>
          </w:p>
          <w:p w:rsidR="00C707C5" w:rsidRDefault="004370B9">
            <w:pPr>
              <w:spacing w:after="0" w:line="259" w:lineRule="auto"/>
              <w:ind w:left="0" w:right="34" w:firstLine="0"/>
              <w:jc w:val="center"/>
            </w:pPr>
            <w:r>
              <w:rPr>
                <w:sz w:val="20"/>
              </w:rPr>
              <w:t xml:space="preserve">40 človekodní </w:t>
            </w:r>
          </w:p>
        </w:tc>
      </w:tr>
    </w:tbl>
    <w:p w:rsidR="00C707C5" w:rsidRDefault="004370B9">
      <w:pPr>
        <w:spacing w:after="199" w:line="259" w:lineRule="auto"/>
        <w:ind w:left="0" w:firstLine="0"/>
        <w:jc w:val="left"/>
      </w:pPr>
      <w:r>
        <w:t xml:space="preserve"> </w:t>
      </w:r>
    </w:p>
    <w:p w:rsidR="00236EEA" w:rsidRDefault="00236EEA">
      <w:pPr>
        <w:ind w:left="-5"/>
      </w:pPr>
    </w:p>
    <w:p w:rsidR="00C707C5" w:rsidRDefault="004370B9">
      <w:pPr>
        <w:ind w:left="-5"/>
      </w:pPr>
      <w:r>
        <w:lastRenderedPageBreak/>
        <w:t xml:space="preserve">Verejný obstarávateľ požaduje garantovanú dostupnosť 8/5/NBD, t. j. 8 hodín 5 dní v týždni s nasledovnými parametrami:  </w:t>
      </w:r>
    </w:p>
    <w:tbl>
      <w:tblPr>
        <w:tblStyle w:val="TableGrid"/>
        <w:tblW w:w="7224" w:type="dxa"/>
        <w:tblInd w:w="1066" w:type="dxa"/>
        <w:tblCellMar>
          <w:top w:w="6" w:type="dxa"/>
          <w:left w:w="108" w:type="dxa"/>
          <w:right w:w="71" w:type="dxa"/>
        </w:tblCellMar>
        <w:tblLook w:val="04A0" w:firstRow="1" w:lastRow="0" w:firstColumn="1" w:lastColumn="0" w:noHBand="0" w:noVBand="1"/>
      </w:tblPr>
      <w:tblGrid>
        <w:gridCol w:w="2263"/>
        <w:gridCol w:w="1560"/>
        <w:gridCol w:w="1558"/>
        <w:gridCol w:w="1843"/>
      </w:tblGrid>
      <w:tr w:rsidR="00C707C5">
        <w:trPr>
          <w:trHeight w:val="263"/>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t xml:space="preserve"> </w:t>
            </w:r>
          </w:p>
          <w:p w:rsidR="00C707C5" w:rsidRDefault="004370B9">
            <w:pPr>
              <w:spacing w:after="0" w:line="259" w:lineRule="auto"/>
              <w:ind w:left="0" w:firstLine="0"/>
              <w:jc w:val="left"/>
            </w:pPr>
            <w:r>
              <w:rPr>
                <w:b/>
              </w:rPr>
              <w:t xml:space="preserve">Parametre </w:t>
            </w:r>
          </w:p>
        </w:tc>
        <w:tc>
          <w:tcPr>
            <w:tcW w:w="1560" w:type="dxa"/>
            <w:tcBorders>
              <w:top w:val="single" w:sz="4" w:space="0" w:color="000000"/>
              <w:left w:val="single" w:sz="4" w:space="0" w:color="000000"/>
              <w:bottom w:val="single" w:sz="4" w:space="0" w:color="000000"/>
              <w:right w:val="nil"/>
            </w:tcBorders>
            <w:shd w:val="clear" w:color="auto" w:fill="BDD6EE"/>
          </w:tcPr>
          <w:p w:rsidR="00C707C5" w:rsidRDefault="00C707C5">
            <w:pPr>
              <w:spacing w:after="160" w:line="259" w:lineRule="auto"/>
              <w:ind w:left="0" w:firstLine="0"/>
              <w:jc w:val="left"/>
            </w:pPr>
          </w:p>
        </w:tc>
        <w:tc>
          <w:tcPr>
            <w:tcW w:w="1558"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440" w:firstLine="0"/>
              <w:jc w:val="left"/>
            </w:pPr>
            <w:r>
              <w:rPr>
                <w:b/>
              </w:rPr>
              <w:t xml:space="preserve">Priorita </w:t>
            </w:r>
          </w:p>
        </w:tc>
        <w:tc>
          <w:tcPr>
            <w:tcW w:w="1843" w:type="dxa"/>
            <w:tcBorders>
              <w:top w:val="single" w:sz="4" w:space="0" w:color="000000"/>
              <w:left w:val="nil"/>
              <w:bottom w:val="single" w:sz="4" w:space="0" w:color="000000"/>
              <w:right w:val="single" w:sz="4" w:space="0" w:color="000000"/>
            </w:tcBorders>
            <w:shd w:val="clear" w:color="auto" w:fill="BDD6EE"/>
          </w:tcPr>
          <w:p w:rsidR="00C707C5" w:rsidRDefault="00C707C5">
            <w:pPr>
              <w:spacing w:after="160" w:line="259" w:lineRule="auto"/>
              <w:ind w:left="0" w:firstLine="0"/>
              <w:jc w:val="left"/>
            </w:pPr>
          </w:p>
        </w:tc>
      </w:tr>
      <w:tr w:rsidR="00C707C5">
        <w:trPr>
          <w:trHeight w:val="263"/>
        </w:trPr>
        <w:tc>
          <w:tcPr>
            <w:tcW w:w="0" w:type="auto"/>
            <w:vMerge/>
            <w:tcBorders>
              <w:top w:val="nil"/>
              <w:left w:val="single" w:sz="4" w:space="0" w:color="000000"/>
              <w:bottom w:val="single" w:sz="4" w:space="0" w:color="000000"/>
              <w:right w:val="single" w:sz="4" w:space="0" w:color="000000"/>
            </w:tcBorders>
          </w:tcPr>
          <w:p w:rsidR="00C707C5" w:rsidRDefault="00C707C5">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37" w:firstLine="0"/>
              <w:jc w:val="center"/>
            </w:pPr>
            <w:r>
              <w:rPr>
                <w:b/>
              </w:rPr>
              <w:t xml:space="preserve">1 </w:t>
            </w:r>
          </w:p>
        </w:tc>
        <w:tc>
          <w:tcPr>
            <w:tcW w:w="1558"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34" w:firstLine="0"/>
              <w:jc w:val="center"/>
            </w:pPr>
            <w:r>
              <w:rPr>
                <w:b/>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36" w:firstLine="0"/>
              <w:jc w:val="center"/>
            </w:pPr>
            <w:r>
              <w:rPr>
                <w:b/>
              </w:rPr>
              <w:t xml:space="preserve">3 </w:t>
            </w:r>
          </w:p>
        </w:tc>
      </w:tr>
      <w:tr w:rsidR="00C707C5">
        <w:trPr>
          <w:trHeight w:val="263"/>
        </w:trPr>
        <w:tc>
          <w:tcPr>
            <w:tcW w:w="2264"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t xml:space="preserve">Reakčná doba </w:t>
            </w:r>
          </w:p>
        </w:tc>
        <w:tc>
          <w:tcPr>
            <w:tcW w:w="156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4" w:firstLine="0"/>
              <w:jc w:val="center"/>
            </w:pPr>
            <w:r>
              <w:t xml:space="preserve">2 hod </w:t>
            </w:r>
          </w:p>
        </w:tc>
        <w:tc>
          <w:tcPr>
            <w:tcW w:w="155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2" w:firstLine="0"/>
              <w:jc w:val="center"/>
            </w:pPr>
            <w:r>
              <w:t xml:space="preserve">24 hod </w:t>
            </w:r>
          </w:p>
        </w:tc>
        <w:tc>
          <w:tcPr>
            <w:tcW w:w="184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4" w:firstLine="0"/>
              <w:jc w:val="center"/>
            </w:pPr>
            <w:r>
              <w:t xml:space="preserve">48 hod </w:t>
            </w:r>
          </w:p>
        </w:tc>
      </w:tr>
      <w:tr w:rsidR="00C707C5">
        <w:trPr>
          <w:trHeight w:val="768"/>
        </w:trPr>
        <w:tc>
          <w:tcPr>
            <w:tcW w:w="2264"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55" w:firstLine="0"/>
            </w:pPr>
            <w:r>
              <w:t>Doba vypracovania metodiky (</w:t>
            </w:r>
            <w:proofErr w:type="spellStart"/>
            <w:r>
              <w:t>runbook</w:t>
            </w:r>
            <w:proofErr w:type="spellEnd"/>
            <w:r>
              <w:t xml:space="preserve">) na elimináciu incidentu </w:t>
            </w:r>
          </w:p>
        </w:tc>
        <w:tc>
          <w:tcPr>
            <w:tcW w:w="156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7" w:firstLine="0"/>
              <w:jc w:val="center"/>
            </w:pPr>
            <w:r>
              <w:t xml:space="preserve">1 deň </w:t>
            </w:r>
          </w:p>
        </w:tc>
        <w:tc>
          <w:tcPr>
            <w:tcW w:w="155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3" w:firstLine="0"/>
              <w:jc w:val="center"/>
            </w:pPr>
            <w:r>
              <w:t xml:space="preserve">3 dni </w:t>
            </w:r>
          </w:p>
        </w:tc>
        <w:tc>
          <w:tcPr>
            <w:tcW w:w="184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5" w:firstLine="0"/>
              <w:jc w:val="center"/>
            </w:pPr>
            <w:r>
              <w:t xml:space="preserve">5 dní </w:t>
            </w:r>
          </w:p>
        </w:tc>
      </w:tr>
    </w:tbl>
    <w:p w:rsidR="00C707C5" w:rsidRDefault="004370B9">
      <w:pPr>
        <w:spacing w:after="156" w:line="259" w:lineRule="auto"/>
        <w:ind w:left="0" w:firstLine="0"/>
        <w:jc w:val="left"/>
      </w:pPr>
      <w:r>
        <w:t xml:space="preserve"> </w:t>
      </w:r>
    </w:p>
    <w:p w:rsidR="00C707C5" w:rsidRDefault="004370B9">
      <w:pPr>
        <w:spacing w:after="0" w:line="259" w:lineRule="auto"/>
        <w:ind w:left="0" w:firstLine="0"/>
        <w:jc w:val="left"/>
      </w:pPr>
      <w:r>
        <w:t xml:space="preserve"> </w:t>
      </w:r>
      <w:r>
        <w:tab/>
        <w:t xml:space="preserve"> </w:t>
      </w:r>
    </w:p>
    <w:p w:rsidR="00C707C5" w:rsidRDefault="004370B9">
      <w:pPr>
        <w:ind w:left="-5"/>
      </w:pPr>
      <w:r>
        <w:t xml:space="preserve">Priorita incidentu sa určí na základe nasledovnej matice: </w:t>
      </w:r>
    </w:p>
    <w:tbl>
      <w:tblPr>
        <w:tblStyle w:val="TableGrid"/>
        <w:tblW w:w="9205" w:type="dxa"/>
        <w:tblInd w:w="76" w:type="dxa"/>
        <w:tblCellMar>
          <w:top w:w="6" w:type="dxa"/>
          <w:right w:w="61" w:type="dxa"/>
        </w:tblCellMar>
        <w:tblLook w:val="04A0" w:firstRow="1" w:lastRow="0" w:firstColumn="1" w:lastColumn="0" w:noHBand="0" w:noVBand="1"/>
      </w:tblPr>
      <w:tblGrid>
        <w:gridCol w:w="1841"/>
        <w:gridCol w:w="1841"/>
        <w:gridCol w:w="1841"/>
        <w:gridCol w:w="1841"/>
        <w:gridCol w:w="1841"/>
      </w:tblGrid>
      <w:tr w:rsidR="00C707C5">
        <w:trPr>
          <w:trHeight w:val="263"/>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C707C5" w:rsidRDefault="004370B9">
            <w:pPr>
              <w:spacing w:after="0" w:line="259" w:lineRule="auto"/>
              <w:ind w:left="58" w:firstLine="0"/>
              <w:jc w:val="center"/>
            </w:pPr>
            <w:r>
              <w:rPr>
                <w:b/>
              </w:rPr>
              <w:t xml:space="preserve">Dopad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Vysoký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2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1 </w:t>
            </w:r>
          </w:p>
        </w:tc>
      </w:tr>
      <w:tr w:rsidR="00C707C5">
        <w:trPr>
          <w:trHeight w:val="262"/>
        </w:trPr>
        <w:tc>
          <w:tcPr>
            <w:tcW w:w="0" w:type="auto"/>
            <w:vMerge/>
            <w:tcBorders>
              <w:top w:val="nil"/>
              <w:left w:val="single" w:sz="4" w:space="0" w:color="000000"/>
              <w:bottom w:val="nil"/>
              <w:right w:val="single" w:sz="4" w:space="0" w:color="000000"/>
            </w:tcBorders>
          </w:tcPr>
          <w:p w:rsidR="00C707C5" w:rsidRDefault="00C707C5">
            <w:pPr>
              <w:spacing w:after="160" w:line="259" w:lineRule="auto"/>
              <w:ind w:lef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Stredný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2 </w:t>
            </w:r>
          </w:p>
        </w:tc>
      </w:tr>
      <w:tr w:rsidR="00C707C5">
        <w:trPr>
          <w:trHeight w:val="263"/>
        </w:trPr>
        <w:tc>
          <w:tcPr>
            <w:tcW w:w="0" w:type="auto"/>
            <w:vMerge/>
            <w:tcBorders>
              <w:top w:val="nil"/>
              <w:left w:val="single" w:sz="4" w:space="0" w:color="000000"/>
              <w:bottom w:val="single" w:sz="4" w:space="0" w:color="000000"/>
              <w:right w:val="single" w:sz="4" w:space="0" w:color="000000"/>
            </w:tcBorders>
          </w:tcPr>
          <w:p w:rsidR="00C707C5" w:rsidRDefault="00C707C5">
            <w:pPr>
              <w:spacing w:after="160" w:line="259" w:lineRule="auto"/>
              <w:ind w:lef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Nízky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r>
      <w:tr w:rsidR="00C707C5">
        <w:trPr>
          <w:trHeight w:val="266"/>
        </w:trPr>
        <w:tc>
          <w:tcPr>
            <w:tcW w:w="18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7"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Nízka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Stredná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Vysoká </w:t>
            </w:r>
          </w:p>
        </w:tc>
      </w:tr>
      <w:tr w:rsidR="00C707C5">
        <w:trPr>
          <w:trHeight w:val="259"/>
        </w:trPr>
        <w:tc>
          <w:tcPr>
            <w:tcW w:w="18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7" w:firstLine="0"/>
              <w:jc w:val="left"/>
            </w:pPr>
            <w:r>
              <w:t xml:space="preserve"> </w:t>
            </w:r>
          </w:p>
        </w:tc>
        <w:tc>
          <w:tcPr>
            <w:tcW w:w="1841" w:type="dxa"/>
            <w:tcBorders>
              <w:top w:val="single" w:sz="4" w:space="0" w:color="000000"/>
              <w:left w:val="single" w:sz="4" w:space="0" w:color="000000"/>
              <w:bottom w:val="single" w:sz="4" w:space="0" w:color="000000"/>
              <w:right w:val="nil"/>
            </w:tcBorders>
            <w:shd w:val="clear" w:color="auto" w:fill="BDD6EE"/>
          </w:tcPr>
          <w:p w:rsidR="00C707C5" w:rsidRDefault="00C707C5">
            <w:pPr>
              <w:spacing w:after="160" w:line="259" w:lineRule="auto"/>
              <w:ind w:left="0" w:firstLine="0"/>
              <w:jc w:val="left"/>
            </w:pPr>
          </w:p>
        </w:tc>
        <w:tc>
          <w:tcPr>
            <w:tcW w:w="1841"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0" w:firstLine="0"/>
              <w:jc w:val="right"/>
            </w:pPr>
            <w:proofErr w:type="spellStart"/>
            <w:r>
              <w:rPr>
                <w:b/>
              </w:rPr>
              <w:t>Urg</w:t>
            </w:r>
            <w:proofErr w:type="spellEnd"/>
          </w:p>
        </w:tc>
        <w:tc>
          <w:tcPr>
            <w:tcW w:w="1841"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61" w:firstLine="0"/>
              <w:jc w:val="left"/>
            </w:pPr>
            <w:proofErr w:type="spellStart"/>
            <w:r>
              <w:rPr>
                <w:b/>
              </w:rPr>
              <w:t>encia</w:t>
            </w:r>
            <w:proofErr w:type="spellEnd"/>
            <w:r>
              <w:rPr>
                <w:b/>
              </w:rPr>
              <w:t xml:space="preserve"> </w:t>
            </w:r>
          </w:p>
        </w:tc>
        <w:tc>
          <w:tcPr>
            <w:tcW w:w="1841" w:type="dxa"/>
            <w:tcBorders>
              <w:top w:val="single" w:sz="4" w:space="0" w:color="000000"/>
              <w:left w:val="nil"/>
              <w:bottom w:val="single" w:sz="4" w:space="0" w:color="000000"/>
              <w:right w:val="single" w:sz="4" w:space="0" w:color="000000"/>
            </w:tcBorders>
            <w:shd w:val="clear" w:color="auto" w:fill="BDD6EE"/>
          </w:tcPr>
          <w:p w:rsidR="00C707C5" w:rsidRDefault="00C707C5">
            <w:pPr>
              <w:spacing w:after="160" w:line="259" w:lineRule="auto"/>
              <w:ind w:left="0" w:firstLine="0"/>
              <w:jc w:val="left"/>
            </w:pPr>
          </w:p>
        </w:tc>
      </w:tr>
    </w:tbl>
    <w:p w:rsidR="00C707C5" w:rsidRDefault="004370B9">
      <w:pPr>
        <w:spacing w:after="158" w:line="259" w:lineRule="auto"/>
        <w:ind w:left="0" w:firstLine="0"/>
        <w:jc w:val="left"/>
      </w:pPr>
      <w:r>
        <w:t xml:space="preserve"> </w:t>
      </w:r>
    </w:p>
    <w:p w:rsidR="00C707C5" w:rsidRDefault="004370B9">
      <w:pPr>
        <w:spacing w:after="241" w:line="259" w:lineRule="auto"/>
        <w:ind w:left="0" w:firstLine="0"/>
        <w:jc w:val="left"/>
      </w:pPr>
      <w:r>
        <w:t xml:space="preserve"> </w:t>
      </w:r>
    </w:p>
    <w:p w:rsidR="00C707C5" w:rsidRDefault="004370B9">
      <w:pPr>
        <w:pStyle w:val="Nadpis3"/>
        <w:spacing w:after="0" w:line="259" w:lineRule="auto"/>
        <w:ind w:left="118" w:right="335"/>
        <w:jc w:val="center"/>
      </w:pPr>
      <w:r>
        <w:t>2.2.3</w:t>
      </w:r>
      <w:r>
        <w:rPr>
          <w:rFonts w:ascii="Arial" w:eastAsia="Arial" w:hAnsi="Arial" w:cs="Arial"/>
        </w:rPr>
        <w:t xml:space="preserve"> </w:t>
      </w:r>
      <w:r>
        <w:t xml:space="preserve">Špecializované služby digitálnych </w:t>
      </w:r>
      <w:proofErr w:type="spellStart"/>
      <w:r>
        <w:t>forenzných</w:t>
      </w:r>
      <w:proofErr w:type="spellEnd"/>
      <w:r>
        <w:t xml:space="preserve"> analýz </w:t>
      </w:r>
    </w:p>
    <w:p w:rsidR="00C707C5" w:rsidRDefault="004370B9">
      <w:pPr>
        <w:spacing w:after="200" w:line="259" w:lineRule="auto"/>
        <w:ind w:left="0" w:firstLine="0"/>
        <w:jc w:val="left"/>
      </w:pPr>
      <w:r>
        <w:t xml:space="preserve"> </w:t>
      </w:r>
    </w:p>
    <w:p w:rsidR="00C707C5" w:rsidRDefault="004370B9">
      <w:pPr>
        <w:spacing w:after="144"/>
        <w:ind w:left="-15" w:firstLine="708"/>
      </w:pPr>
      <w:r>
        <w:t xml:space="preserve">Služby digitálnych </w:t>
      </w:r>
      <w:proofErr w:type="spellStart"/>
      <w:r>
        <w:t>forenzných</w:t>
      </w:r>
      <w:proofErr w:type="spellEnd"/>
      <w:r>
        <w:t xml:space="preserve"> analýz musia spĺňať požiadavky na bezpečnú akvizíciu a analýzu </w:t>
      </w:r>
      <w:proofErr w:type="spellStart"/>
      <w:r>
        <w:t>forenzných</w:t>
      </w:r>
      <w:proofErr w:type="spellEnd"/>
      <w:r>
        <w:t xml:space="preserve"> dôkazov v celom spektre zdrojových zariadení verejného obstarávateľa. Špeciálne služby </w:t>
      </w:r>
      <w:proofErr w:type="spellStart"/>
      <w:r>
        <w:t>forenzných</w:t>
      </w:r>
      <w:proofErr w:type="spellEnd"/>
      <w:r>
        <w:t xml:space="preserve"> analýz musia byť neoddeliteľnou súčasťou procesu riešenia incidentov a teda softvérové a hardvérové vybavenie pracoviska dodávateľa služieb musí podporovať vykonávanie statickej, dynamickej a </w:t>
      </w:r>
      <w:proofErr w:type="spellStart"/>
      <w:r>
        <w:t>behaviorálnej</w:t>
      </w:r>
      <w:proofErr w:type="spellEnd"/>
      <w:r>
        <w:t xml:space="preserve"> analýzy identifikovaných škodlivých kódov. </w:t>
      </w:r>
    </w:p>
    <w:p w:rsidR="00C707C5" w:rsidRDefault="004370B9">
      <w:pPr>
        <w:spacing w:after="147"/>
        <w:ind w:left="-15" w:firstLine="708"/>
      </w:pPr>
      <w:r>
        <w:t xml:space="preserve">Verejný obstarávateľ definuje požiadavky na pracovisko poskytovateľa služieb digitálnych </w:t>
      </w:r>
      <w:proofErr w:type="spellStart"/>
      <w:r>
        <w:t>forenzných</w:t>
      </w:r>
      <w:proofErr w:type="spellEnd"/>
      <w:r>
        <w:t xml:space="preserve"> analýz tak, aby sa uistil že poskytovateľ bude technicky spôsobilý prostredníctvom svojich technických prostriedkov pre mobilnú akvizíciu a </w:t>
      </w:r>
      <w:proofErr w:type="spellStart"/>
      <w:r>
        <w:t>preliminárnu</w:t>
      </w:r>
      <w:proofErr w:type="spellEnd"/>
      <w:r>
        <w:t xml:space="preserve"> analýzu digitálnych dôkazov, technicky zabezpečiť služby „Incident </w:t>
      </w:r>
      <w:proofErr w:type="spellStart"/>
      <w:r>
        <w:t>responce</w:t>
      </w:r>
      <w:proofErr w:type="spellEnd"/>
      <w:r>
        <w:t xml:space="preserve"> team“ aj v „teréne“. Verejný obstarávateľ požaduje poskytnutie služby mobilnej akvizície a analýzy digitálnych </w:t>
      </w:r>
      <w:proofErr w:type="spellStart"/>
      <w:r>
        <w:t>forenzných</w:t>
      </w:r>
      <w:proofErr w:type="spellEnd"/>
      <w:r>
        <w:t xml:space="preserve"> dôkazov tak, aby bol Incident </w:t>
      </w:r>
      <w:proofErr w:type="spellStart"/>
      <w:r>
        <w:t>response</w:t>
      </w:r>
      <w:proofErr w:type="spellEnd"/>
      <w:r>
        <w:t xml:space="preserve"> tím (ďalej tiež „IRT“) z technickej stránky schopný poskytnúť základné IOC priamo na mieste. </w:t>
      </w:r>
    </w:p>
    <w:p w:rsidR="00C707C5" w:rsidRDefault="004370B9">
      <w:pPr>
        <w:ind w:left="-15" w:firstLine="708"/>
      </w:pPr>
      <w:r>
        <w:t xml:space="preserve">V procese </w:t>
      </w:r>
      <w:proofErr w:type="spellStart"/>
      <w:r>
        <w:t>forenznej</w:t>
      </w:r>
      <w:proofErr w:type="spellEnd"/>
      <w:r>
        <w:t xml:space="preserve"> analýzy zastáva extrakcia dôkazov majoritnú a nenahraditeľnú pozíciu. Dostatočné a správne zabezpečenie dôkazov zo zariadenia predstavuje prvý logický a funkčný krok procesu </w:t>
      </w:r>
      <w:proofErr w:type="spellStart"/>
      <w:r>
        <w:t>forenznej</w:t>
      </w:r>
      <w:proofErr w:type="spellEnd"/>
      <w:r>
        <w:t xml:space="preserve"> analýzy, od ktorého závisia všetky následné kroky procesu </w:t>
      </w:r>
      <w:proofErr w:type="spellStart"/>
      <w:r>
        <w:t>forenznej</w:t>
      </w:r>
      <w:proofErr w:type="spellEnd"/>
      <w:r>
        <w:t xml:space="preserve"> analýzy. V rámci reálnych podmienok získavania </w:t>
      </w:r>
      <w:proofErr w:type="spellStart"/>
      <w:r>
        <w:t>forenzných</w:t>
      </w:r>
      <w:proofErr w:type="spellEnd"/>
      <w:r>
        <w:t xml:space="preserve"> dôkazov v mnohých prípadoch dochádza k situácii, kedy je potrebné analyzovať zariadenie, ktoré má prístup chránený autentifikačnými údajmi, alebo sa jedná o poškodené zariadenie, resp. o zariadenie, kde nie je z rozličných príčin možná logická extrakcia dôkazov. V takýchto prípadoch prichádza do úvahy viac menej len fyzická extrakcia a z uvedeného dôvodu musí pracovisko disponovať špecializovaným hardvérovým a softvérovým vybavením pre takýto typ extrakcie </w:t>
      </w:r>
      <w:proofErr w:type="spellStart"/>
      <w:r>
        <w:t>forenzných</w:t>
      </w:r>
      <w:proofErr w:type="spellEnd"/>
      <w:r>
        <w:t xml:space="preserve"> dôkazov. Poskytovanie špeciálnych služieb digitálnych </w:t>
      </w:r>
      <w:proofErr w:type="spellStart"/>
      <w:r>
        <w:t>forenzných</w:t>
      </w:r>
      <w:proofErr w:type="spellEnd"/>
      <w:r>
        <w:t xml:space="preserve"> analýz verejný obstarávateľ požaduje poskytnúť prostredníctvom nasledovného experta:  </w:t>
      </w:r>
    </w:p>
    <w:tbl>
      <w:tblPr>
        <w:tblStyle w:val="TableGrid"/>
        <w:tblW w:w="9218" w:type="dxa"/>
        <w:tblInd w:w="70" w:type="dxa"/>
        <w:tblCellMar>
          <w:top w:w="9" w:type="dxa"/>
          <w:left w:w="94" w:type="dxa"/>
          <w:right w:w="62" w:type="dxa"/>
        </w:tblCellMar>
        <w:tblLook w:val="04A0" w:firstRow="1" w:lastRow="0" w:firstColumn="1" w:lastColumn="0" w:noHBand="0" w:noVBand="1"/>
      </w:tblPr>
      <w:tblGrid>
        <w:gridCol w:w="1153"/>
        <w:gridCol w:w="1961"/>
        <w:gridCol w:w="4404"/>
        <w:gridCol w:w="1700"/>
      </w:tblGrid>
      <w:tr w:rsidR="00C707C5">
        <w:trPr>
          <w:trHeight w:val="1021"/>
        </w:trPr>
        <w:tc>
          <w:tcPr>
            <w:tcW w:w="1152"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41" w:firstLine="0"/>
              <w:jc w:val="center"/>
            </w:pPr>
            <w:proofErr w:type="spellStart"/>
            <w:r>
              <w:rPr>
                <w:b/>
              </w:rPr>
              <w:lastRenderedPageBreak/>
              <w:t>P.č</w:t>
            </w:r>
            <w:proofErr w:type="spellEnd"/>
            <w:r>
              <w:rPr>
                <w:b/>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Názov pozície </w:t>
            </w:r>
          </w:p>
        </w:tc>
        <w:tc>
          <w:tcPr>
            <w:tcW w:w="4404"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15" w:firstLine="0"/>
              <w:jc w:val="left"/>
            </w:pPr>
            <w:r>
              <w:rPr>
                <w:b/>
              </w:rPr>
              <w:t xml:space="preserve">Popis požadovaných činností </w:t>
            </w:r>
          </w:p>
        </w:tc>
        <w:tc>
          <w:tcPr>
            <w:tcW w:w="1700"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2" w:line="237" w:lineRule="auto"/>
              <w:ind w:left="0" w:firstLine="0"/>
              <w:jc w:val="center"/>
            </w:pPr>
            <w:r>
              <w:rPr>
                <w:b/>
              </w:rPr>
              <w:t xml:space="preserve">Predpokladaný rozsah činností </w:t>
            </w:r>
          </w:p>
          <w:p w:rsidR="00C707C5" w:rsidRDefault="004370B9">
            <w:pPr>
              <w:spacing w:after="0" w:line="259" w:lineRule="auto"/>
              <w:ind w:left="0" w:right="32" w:firstLine="0"/>
              <w:jc w:val="center"/>
            </w:pPr>
            <w:r>
              <w:rPr>
                <w:b/>
              </w:rPr>
              <w:t xml:space="preserve">počas trvania </w:t>
            </w:r>
          </w:p>
          <w:p w:rsidR="00C707C5" w:rsidRDefault="004370B9">
            <w:pPr>
              <w:spacing w:after="0" w:line="259" w:lineRule="auto"/>
              <w:ind w:left="0" w:right="31" w:firstLine="0"/>
              <w:jc w:val="center"/>
            </w:pPr>
            <w:r>
              <w:rPr>
                <w:b/>
              </w:rPr>
              <w:t xml:space="preserve">Dohody </w:t>
            </w:r>
          </w:p>
        </w:tc>
      </w:tr>
      <w:tr w:rsidR="00C707C5">
        <w:trPr>
          <w:trHeight w:val="3002"/>
        </w:trPr>
        <w:tc>
          <w:tcPr>
            <w:tcW w:w="11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13" w:firstLine="0"/>
              <w:jc w:val="center"/>
            </w:pPr>
            <w:r>
              <w:rPr>
                <w:sz w:val="20"/>
              </w:rPr>
              <w:t xml:space="preserve">3.1. </w:t>
            </w:r>
          </w:p>
        </w:tc>
        <w:tc>
          <w:tcPr>
            <w:tcW w:w="196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31" w:firstLine="0"/>
              <w:jc w:val="left"/>
            </w:pPr>
            <w:r>
              <w:rPr>
                <w:sz w:val="20"/>
              </w:rPr>
              <w:t xml:space="preserve">Služby experta pre  </w:t>
            </w:r>
            <w:proofErr w:type="spellStart"/>
            <w:r>
              <w:rPr>
                <w:sz w:val="20"/>
              </w:rPr>
              <w:t>forenznú</w:t>
            </w:r>
            <w:proofErr w:type="spellEnd"/>
            <w:r>
              <w:rPr>
                <w:sz w:val="20"/>
              </w:rPr>
              <w:t xml:space="preserve"> analýzu  </w:t>
            </w:r>
          </w:p>
        </w:tc>
        <w:tc>
          <w:tcPr>
            <w:tcW w:w="4404" w:type="dxa"/>
            <w:tcBorders>
              <w:top w:val="single" w:sz="4" w:space="0" w:color="000000"/>
              <w:left w:val="single" w:sz="4" w:space="0" w:color="000000"/>
              <w:bottom w:val="single" w:sz="4" w:space="0" w:color="000000"/>
              <w:right w:val="single" w:sz="4" w:space="0" w:color="000000"/>
            </w:tcBorders>
          </w:tcPr>
          <w:p w:rsidR="00C707C5" w:rsidRDefault="004370B9">
            <w:pPr>
              <w:spacing w:after="31" w:line="249" w:lineRule="auto"/>
              <w:ind w:left="15" w:right="91" w:firstLine="0"/>
              <w:jc w:val="left"/>
            </w:pPr>
            <w:r>
              <w:rPr>
                <w:sz w:val="20"/>
              </w:rPr>
              <w:t xml:space="preserve">Poskytované činnosti </w:t>
            </w:r>
            <w:proofErr w:type="spellStart"/>
            <w:r>
              <w:rPr>
                <w:sz w:val="20"/>
              </w:rPr>
              <w:t>forenznej</w:t>
            </w:r>
            <w:proofErr w:type="spellEnd"/>
            <w:r>
              <w:rPr>
                <w:sz w:val="20"/>
              </w:rPr>
              <w:t xml:space="preserve"> analýzy musia zahrňovať celý životný cyklus </w:t>
            </w:r>
            <w:proofErr w:type="spellStart"/>
            <w:r>
              <w:rPr>
                <w:sz w:val="20"/>
              </w:rPr>
              <w:t>forenznej</w:t>
            </w:r>
            <w:proofErr w:type="spellEnd"/>
            <w:r>
              <w:rPr>
                <w:sz w:val="20"/>
              </w:rPr>
              <w:t xml:space="preserve"> analýzy od akvizície dôkazov  až po záverečnú správu a predstavenie výsledkov pre manažment v nasledovnom rozsahu: </w:t>
            </w:r>
          </w:p>
          <w:p w:rsidR="00C707C5" w:rsidRDefault="004370B9">
            <w:pPr>
              <w:numPr>
                <w:ilvl w:val="0"/>
                <w:numId w:val="24"/>
              </w:numPr>
              <w:spacing w:after="2" w:line="261" w:lineRule="auto"/>
              <w:ind w:left="735" w:hanging="360"/>
              <w:jc w:val="left"/>
            </w:pPr>
            <w:r>
              <w:rPr>
                <w:sz w:val="20"/>
              </w:rPr>
              <w:t xml:space="preserve">zariadenia </w:t>
            </w:r>
            <w:r>
              <w:rPr>
                <w:sz w:val="20"/>
              </w:rPr>
              <w:tab/>
              <w:t xml:space="preserve">(napr. </w:t>
            </w:r>
            <w:r>
              <w:rPr>
                <w:sz w:val="20"/>
              </w:rPr>
              <w:tab/>
              <w:t xml:space="preserve">pracovné </w:t>
            </w:r>
            <w:r>
              <w:rPr>
                <w:sz w:val="20"/>
              </w:rPr>
              <w:tab/>
              <w:t xml:space="preserve">stanice, servery, mobilné zariadenia, sieťové prvky atď.) </w:t>
            </w:r>
          </w:p>
          <w:p w:rsidR="00C707C5" w:rsidRDefault="004370B9">
            <w:pPr>
              <w:numPr>
                <w:ilvl w:val="0"/>
                <w:numId w:val="24"/>
              </w:numPr>
              <w:spacing w:after="15" w:line="259" w:lineRule="auto"/>
              <w:ind w:left="735" w:hanging="360"/>
              <w:jc w:val="left"/>
            </w:pPr>
            <w:r>
              <w:rPr>
                <w:sz w:val="20"/>
              </w:rPr>
              <w:t xml:space="preserve">sieť, </w:t>
            </w:r>
          </w:p>
          <w:p w:rsidR="00C707C5" w:rsidRDefault="004370B9">
            <w:pPr>
              <w:numPr>
                <w:ilvl w:val="0"/>
                <w:numId w:val="24"/>
              </w:numPr>
              <w:spacing w:after="0" w:line="259" w:lineRule="auto"/>
              <w:ind w:left="735" w:hanging="360"/>
              <w:jc w:val="left"/>
            </w:pPr>
            <w:r>
              <w:rPr>
                <w:sz w:val="20"/>
              </w:rPr>
              <w:t xml:space="preserve">dáta a databázy, </w:t>
            </w:r>
          </w:p>
          <w:p w:rsidR="00C707C5" w:rsidRDefault="004370B9">
            <w:pPr>
              <w:numPr>
                <w:ilvl w:val="0"/>
                <w:numId w:val="24"/>
              </w:numPr>
              <w:spacing w:after="19" w:line="259" w:lineRule="auto"/>
              <w:ind w:left="735" w:hanging="360"/>
              <w:jc w:val="left"/>
            </w:pPr>
            <w:r>
              <w:rPr>
                <w:sz w:val="20"/>
              </w:rPr>
              <w:t xml:space="preserve">malware, </w:t>
            </w:r>
          </w:p>
          <w:p w:rsidR="00C707C5" w:rsidRDefault="004370B9">
            <w:pPr>
              <w:spacing w:after="0" w:line="259" w:lineRule="auto"/>
              <w:ind w:left="15" w:firstLine="0"/>
              <w:jc w:val="left"/>
            </w:pPr>
            <w:r>
              <w:rPr>
                <w:sz w:val="20"/>
              </w:rPr>
              <w:t xml:space="preserve">a to ako samostatný proces, alebo ako súčasť procesu riešenia incidentov </w:t>
            </w:r>
          </w:p>
        </w:tc>
        <w:tc>
          <w:tcPr>
            <w:tcW w:w="170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9" w:firstLine="0"/>
              <w:jc w:val="center"/>
            </w:pPr>
            <w:r>
              <w:rPr>
                <w:sz w:val="20"/>
              </w:rPr>
              <w:t xml:space="preserve"> </w:t>
            </w:r>
          </w:p>
          <w:p w:rsidR="00C707C5" w:rsidRDefault="004370B9">
            <w:pPr>
              <w:spacing w:after="0" w:line="259" w:lineRule="auto"/>
              <w:ind w:left="19" w:firstLine="0"/>
              <w:jc w:val="center"/>
            </w:pPr>
            <w:r>
              <w:rPr>
                <w:sz w:val="20"/>
              </w:rPr>
              <w:t xml:space="preserve"> </w:t>
            </w:r>
          </w:p>
          <w:p w:rsidR="00C707C5" w:rsidRDefault="004370B9">
            <w:pPr>
              <w:spacing w:after="0" w:line="259" w:lineRule="auto"/>
              <w:ind w:left="19" w:firstLine="0"/>
              <w:jc w:val="center"/>
            </w:pPr>
            <w:r>
              <w:rPr>
                <w:sz w:val="20"/>
              </w:rPr>
              <w:t xml:space="preserve"> </w:t>
            </w:r>
          </w:p>
          <w:p w:rsidR="00C707C5" w:rsidRDefault="004370B9">
            <w:pPr>
              <w:spacing w:after="0" w:line="259" w:lineRule="auto"/>
              <w:ind w:left="19" w:firstLine="0"/>
              <w:jc w:val="center"/>
            </w:pPr>
            <w:r>
              <w:rPr>
                <w:sz w:val="20"/>
              </w:rPr>
              <w:t xml:space="preserve"> </w:t>
            </w:r>
          </w:p>
          <w:p w:rsidR="00C707C5" w:rsidRDefault="004370B9">
            <w:pPr>
              <w:spacing w:after="8" w:line="259" w:lineRule="auto"/>
              <w:ind w:left="19" w:firstLine="0"/>
              <w:jc w:val="center"/>
            </w:pPr>
            <w:r>
              <w:rPr>
                <w:sz w:val="20"/>
              </w:rPr>
              <w:t xml:space="preserve"> </w:t>
            </w:r>
          </w:p>
          <w:p w:rsidR="00C707C5" w:rsidRDefault="004370B9">
            <w:pPr>
              <w:spacing w:after="0" w:line="259" w:lineRule="auto"/>
              <w:ind w:left="0" w:right="32" w:firstLine="0"/>
              <w:jc w:val="center"/>
            </w:pPr>
            <w:r>
              <w:rPr>
                <w:sz w:val="20"/>
              </w:rPr>
              <w:t xml:space="preserve">100 človekodní </w:t>
            </w:r>
          </w:p>
        </w:tc>
      </w:tr>
    </w:tbl>
    <w:p w:rsidR="00C707C5" w:rsidRDefault="004370B9">
      <w:pPr>
        <w:spacing w:after="0" w:line="259" w:lineRule="auto"/>
        <w:ind w:left="0" w:firstLine="0"/>
        <w:jc w:val="left"/>
      </w:pPr>
      <w:r>
        <w:t xml:space="preserve"> </w:t>
      </w:r>
    </w:p>
    <w:p w:rsidR="00C707C5" w:rsidRDefault="004370B9">
      <w:pPr>
        <w:ind w:left="-5"/>
      </w:pPr>
      <w:r>
        <w:t xml:space="preserve">Verejný obstarávateľ požaduje garantovanú dostupnosť 8/5/NBD, t. j. 8 hodín 5 dní v týždni s nasledovnými parametrami:  </w:t>
      </w:r>
    </w:p>
    <w:tbl>
      <w:tblPr>
        <w:tblStyle w:val="TableGrid"/>
        <w:tblW w:w="7224" w:type="dxa"/>
        <w:tblInd w:w="1066" w:type="dxa"/>
        <w:tblCellMar>
          <w:top w:w="6" w:type="dxa"/>
          <w:left w:w="108" w:type="dxa"/>
          <w:right w:w="115" w:type="dxa"/>
        </w:tblCellMar>
        <w:tblLook w:val="04A0" w:firstRow="1" w:lastRow="0" w:firstColumn="1" w:lastColumn="0" w:noHBand="0" w:noVBand="1"/>
      </w:tblPr>
      <w:tblGrid>
        <w:gridCol w:w="2263"/>
        <w:gridCol w:w="1560"/>
        <w:gridCol w:w="1558"/>
        <w:gridCol w:w="1843"/>
      </w:tblGrid>
      <w:tr w:rsidR="00C707C5">
        <w:trPr>
          <w:trHeight w:val="263"/>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t xml:space="preserve"> </w:t>
            </w:r>
          </w:p>
          <w:p w:rsidR="00C707C5" w:rsidRDefault="004370B9">
            <w:pPr>
              <w:spacing w:after="0" w:line="259" w:lineRule="auto"/>
              <w:ind w:left="0" w:firstLine="0"/>
              <w:jc w:val="left"/>
            </w:pPr>
            <w:r>
              <w:rPr>
                <w:b/>
              </w:rPr>
              <w:t xml:space="preserve">Parametre </w:t>
            </w:r>
          </w:p>
        </w:tc>
        <w:tc>
          <w:tcPr>
            <w:tcW w:w="1560" w:type="dxa"/>
            <w:tcBorders>
              <w:top w:val="single" w:sz="4" w:space="0" w:color="000000"/>
              <w:left w:val="single" w:sz="4" w:space="0" w:color="000000"/>
              <w:bottom w:val="single" w:sz="4" w:space="0" w:color="000000"/>
              <w:right w:val="nil"/>
            </w:tcBorders>
            <w:shd w:val="clear" w:color="auto" w:fill="BDD6EE"/>
          </w:tcPr>
          <w:p w:rsidR="00C707C5" w:rsidRDefault="00C707C5">
            <w:pPr>
              <w:spacing w:after="160" w:line="259" w:lineRule="auto"/>
              <w:ind w:left="0" w:firstLine="0"/>
              <w:jc w:val="left"/>
            </w:pPr>
          </w:p>
        </w:tc>
        <w:tc>
          <w:tcPr>
            <w:tcW w:w="1558"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440" w:firstLine="0"/>
              <w:jc w:val="left"/>
            </w:pPr>
            <w:r>
              <w:rPr>
                <w:b/>
              </w:rPr>
              <w:t xml:space="preserve">Priorita </w:t>
            </w:r>
          </w:p>
        </w:tc>
        <w:tc>
          <w:tcPr>
            <w:tcW w:w="1843" w:type="dxa"/>
            <w:tcBorders>
              <w:top w:val="single" w:sz="4" w:space="0" w:color="000000"/>
              <w:left w:val="nil"/>
              <w:bottom w:val="single" w:sz="4" w:space="0" w:color="000000"/>
              <w:right w:val="single" w:sz="4" w:space="0" w:color="000000"/>
            </w:tcBorders>
            <w:shd w:val="clear" w:color="auto" w:fill="BDD6EE"/>
          </w:tcPr>
          <w:p w:rsidR="00C707C5" w:rsidRDefault="00C707C5">
            <w:pPr>
              <w:spacing w:after="160" w:line="259" w:lineRule="auto"/>
              <w:ind w:left="0" w:firstLine="0"/>
              <w:jc w:val="left"/>
            </w:pPr>
          </w:p>
        </w:tc>
      </w:tr>
      <w:tr w:rsidR="00C707C5">
        <w:trPr>
          <w:trHeight w:val="262"/>
        </w:trPr>
        <w:tc>
          <w:tcPr>
            <w:tcW w:w="0" w:type="auto"/>
            <w:vMerge/>
            <w:tcBorders>
              <w:top w:val="nil"/>
              <w:left w:val="single" w:sz="4" w:space="0" w:color="000000"/>
              <w:bottom w:val="single" w:sz="4" w:space="0" w:color="000000"/>
              <w:right w:val="single" w:sz="4" w:space="0" w:color="000000"/>
            </w:tcBorders>
          </w:tcPr>
          <w:p w:rsidR="00C707C5" w:rsidRDefault="00C707C5">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7" w:firstLine="0"/>
              <w:jc w:val="center"/>
            </w:pPr>
            <w:r>
              <w:rPr>
                <w:b/>
              </w:rPr>
              <w:t xml:space="preserve">1 </w:t>
            </w:r>
          </w:p>
        </w:tc>
        <w:tc>
          <w:tcPr>
            <w:tcW w:w="1558"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firstLine="0"/>
              <w:jc w:val="center"/>
            </w:pPr>
            <w:r>
              <w:rPr>
                <w:b/>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8" w:firstLine="0"/>
              <w:jc w:val="center"/>
            </w:pPr>
            <w:r>
              <w:rPr>
                <w:b/>
              </w:rPr>
              <w:t xml:space="preserve">3 </w:t>
            </w:r>
          </w:p>
        </w:tc>
      </w:tr>
      <w:tr w:rsidR="00C707C5">
        <w:trPr>
          <w:trHeight w:val="263"/>
        </w:trPr>
        <w:tc>
          <w:tcPr>
            <w:tcW w:w="2264"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t xml:space="preserve">Reakčná doba </w:t>
            </w:r>
          </w:p>
        </w:tc>
        <w:tc>
          <w:tcPr>
            <w:tcW w:w="156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firstLine="0"/>
              <w:jc w:val="center"/>
            </w:pPr>
            <w:r>
              <w:t xml:space="preserve">6 hod </w:t>
            </w:r>
          </w:p>
        </w:tc>
        <w:tc>
          <w:tcPr>
            <w:tcW w:w="155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2" w:firstLine="0"/>
              <w:jc w:val="center"/>
            </w:pPr>
            <w:r>
              <w:t xml:space="preserve">24 hod </w:t>
            </w:r>
          </w:p>
        </w:tc>
        <w:tc>
          <w:tcPr>
            <w:tcW w:w="184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firstLine="0"/>
              <w:jc w:val="center"/>
            </w:pPr>
            <w:r>
              <w:t xml:space="preserve">48 hod </w:t>
            </w:r>
          </w:p>
        </w:tc>
      </w:tr>
    </w:tbl>
    <w:p w:rsidR="00C707C5" w:rsidRDefault="004370B9">
      <w:pPr>
        <w:spacing w:after="199" w:line="259" w:lineRule="auto"/>
        <w:ind w:left="0" w:firstLine="0"/>
        <w:jc w:val="left"/>
      </w:pPr>
      <w:r>
        <w:t xml:space="preserve"> </w:t>
      </w:r>
    </w:p>
    <w:p w:rsidR="00C707C5" w:rsidRDefault="004370B9">
      <w:pPr>
        <w:ind w:left="-5"/>
      </w:pPr>
      <w:r>
        <w:t xml:space="preserve">Priorita incidentu sa určí na základe nasledovnej matice: </w:t>
      </w:r>
    </w:p>
    <w:tbl>
      <w:tblPr>
        <w:tblStyle w:val="TableGrid"/>
        <w:tblW w:w="9205" w:type="dxa"/>
        <w:tblInd w:w="76" w:type="dxa"/>
        <w:tblCellMar>
          <w:top w:w="6" w:type="dxa"/>
          <w:right w:w="61" w:type="dxa"/>
        </w:tblCellMar>
        <w:tblLook w:val="04A0" w:firstRow="1" w:lastRow="0" w:firstColumn="1" w:lastColumn="0" w:noHBand="0" w:noVBand="1"/>
      </w:tblPr>
      <w:tblGrid>
        <w:gridCol w:w="1841"/>
        <w:gridCol w:w="1841"/>
        <w:gridCol w:w="1841"/>
        <w:gridCol w:w="1841"/>
        <w:gridCol w:w="1841"/>
      </w:tblGrid>
      <w:tr w:rsidR="00C707C5">
        <w:trPr>
          <w:trHeight w:val="26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58" w:firstLine="0"/>
              <w:jc w:val="center"/>
            </w:pPr>
            <w:r>
              <w:rPr>
                <w:b/>
              </w:rPr>
              <w:t xml:space="preserve">Dopad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Vysoký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2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1 </w:t>
            </w:r>
          </w:p>
        </w:tc>
      </w:tr>
      <w:tr w:rsidR="00C707C5">
        <w:trPr>
          <w:trHeight w:val="264"/>
        </w:trPr>
        <w:tc>
          <w:tcPr>
            <w:tcW w:w="0" w:type="auto"/>
            <w:vMerge/>
            <w:tcBorders>
              <w:top w:val="nil"/>
              <w:left w:val="single" w:sz="4" w:space="0" w:color="000000"/>
              <w:bottom w:val="nil"/>
              <w:right w:val="single" w:sz="4" w:space="0" w:color="000000"/>
            </w:tcBorders>
          </w:tcPr>
          <w:p w:rsidR="00C707C5" w:rsidRDefault="00C707C5">
            <w:pPr>
              <w:spacing w:after="160" w:line="259" w:lineRule="auto"/>
              <w:ind w:lef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Stredný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2 </w:t>
            </w:r>
          </w:p>
        </w:tc>
      </w:tr>
      <w:tr w:rsidR="00C707C5">
        <w:trPr>
          <w:trHeight w:val="260"/>
        </w:trPr>
        <w:tc>
          <w:tcPr>
            <w:tcW w:w="0" w:type="auto"/>
            <w:vMerge/>
            <w:tcBorders>
              <w:top w:val="nil"/>
              <w:left w:val="single" w:sz="4" w:space="0" w:color="000000"/>
              <w:bottom w:val="single" w:sz="4" w:space="0" w:color="000000"/>
              <w:right w:val="single" w:sz="4" w:space="0" w:color="000000"/>
            </w:tcBorders>
          </w:tcPr>
          <w:p w:rsidR="00C707C5" w:rsidRDefault="00C707C5">
            <w:pPr>
              <w:spacing w:after="160" w:line="259" w:lineRule="auto"/>
              <w:ind w:lef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Nízky </w:t>
            </w:r>
            <w:r>
              <w:rPr>
                <w:b/>
              </w:rPr>
              <w:t xml:space="preserv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3 </w:t>
            </w:r>
          </w:p>
        </w:tc>
      </w:tr>
      <w:tr w:rsidR="00C707C5">
        <w:trPr>
          <w:trHeight w:val="266"/>
        </w:trPr>
        <w:tc>
          <w:tcPr>
            <w:tcW w:w="18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7"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8" w:firstLine="0"/>
              <w:jc w:val="left"/>
            </w:pPr>
            <w:r>
              <w:t xml:space="preserve">Nízka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Stredná </w:t>
            </w:r>
          </w:p>
        </w:tc>
        <w:tc>
          <w:tcPr>
            <w:tcW w:w="1841"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10" w:firstLine="0"/>
              <w:jc w:val="left"/>
            </w:pPr>
            <w:r>
              <w:t xml:space="preserve">Vysoká </w:t>
            </w:r>
          </w:p>
        </w:tc>
      </w:tr>
      <w:tr w:rsidR="00C707C5">
        <w:trPr>
          <w:trHeight w:val="262"/>
        </w:trPr>
        <w:tc>
          <w:tcPr>
            <w:tcW w:w="184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107" w:firstLine="0"/>
              <w:jc w:val="left"/>
            </w:pPr>
            <w:r>
              <w:t xml:space="preserve"> </w:t>
            </w:r>
          </w:p>
        </w:tc>
        <w:tc>
          <w:tcPr>
            <w:tcW w:w="1841" w:type="dxa"/>
            <w:tcBorders>
              <w:top w:val="single" w:sz="4" w:space="0" w:color="000000"/>
              <w:left w:val="single" w:sz="4" w:space="0" w:color="000000"/>
              <w:bottom w:val="single" w:sz="4" w:space="0" w:color="000000"/>
              <w:right w:val="nil"/>
            </w:tcBorders>
            <w:shd w:val="clear" w:color="auto" w:fill="BDD6EE"/>
          </w:tcPr>
          <w:p w:rsidR="00C707C5" w:rsidRDefault="00C707C5">
            <w:pPr>
              <w:spacing w:after="160" w:line="259" w:lineRule="auto"/>
              <w:ind w:left="0" w:firstLine="0"/>
              <w:jc w:val="left"/>
            </w:pPr>
          </w:p>
        </w:tc>
        <w:tc>
          <w:tcPr>
            <w:tcW w:w="1841"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0" w:firstLine="0"/>
              <w:jc w:val="right"/>
            </w:pPr>
            <w:proofErr w:type="spellStart"/>
            <w:r>
              <w:rPr>
                <w:b/>
              </w:rPr>
              <w:t>Urg</w:t>
            </w:r>
            <w:proofErr w:type="spellEnd"/>
          </w:p>
        </w:tc>
        <w:tc>
          <w:tcPr>
            <w:tcW w:w="1841" w:type="dxa"/>
            <w:tcBorders>
              <w:top w:val="single" w:sz="4" w:space="0" w:color="000000"/>
              <w:left w:val="nil"/>
              <w:bottom w:val="single" w:sz="4" w:space="0" w:color="000000"/>
              <w:right w:val="nil"/>
            </w:tcBorders>
            <w:shd w:val="clear" w:color="auto" w:fill="BDD6EE"/>
          </w:tcPr>
          <w:p w:rsidR="00C707C5" w:rsidRDefault="004370B9">
            <w:pPr>
              <w:spacing w:after="0" w:line="259" w:lineRule="auto"/>
              <w:ind w:left="-61" w:firstLine="0"/>
              <w:jc w:val="left"/>
            </w:pPr>
            <w:proofErr w:type="spellStart"/>
            <w:r>
              <w:rPr>
                <w:b/>
              </w:rPr>
              <w:t>encia</w:t>
            </w:r>
            <w:proofErr w:type="spellEnd"/>
            <w:r>
              <w:rPr>
                <w:b/>
              </w:rPr>
              <w:t xml:space="preserve"> </w:t>
            </w:r>
          </w:p>
        </w:tc>
        <w:tc>
          <w:tcPr>
            <w:tcW w:w="1841" w:type="dxa"/>
            <w:tcBorders>
              <w:top w:val="single" w:sz="4" w:space="0" w:color="000000"/>
              <w:left w:val="nil"/>
              <w:bottom w:val="single" w:sz="4" w:space="0" w:color="000000"/>
              <w:right w:val="single" w:sz="4" w:space="0" w:color="000000"/>
            </w:tcBorders>
            <w:shd w:val="clear" w:color="auto" w:fill="BDD6EE"/>
          </w:tcPr>
          <w:p w:rsidR="00C707C5" w:rsidRDefault="00C707C5">
            <w:pPr>
              <w:spacing w:after="160" w:line="259" w:lineRule="auto"/>
              <w:ind w:left="0" w:firstLine="0"/>
              <w:jc w:val="left"/>
            </w:pPr>
          </w:p>
        </w:tc>
      </w:tr>
    </w:tbl>
    <w:p w:rsidR="00C707C5" w:rsidRDefault="004370B9">
      <w:pPr>
        <w:spacing w:after="242" w:line="259" w:lineRule="auto"/>
        <w:ind w:left="0" w:firstLine="0"/>
        <w:jc w:val="left"/>
      </w:pPr>
      <w:r>
        <w:t xml:space="preserve"> </w:t>
      </w:r>
    </w:p>
    <w:p w:rsidR="00C707C5" w:rsidRDefault="004370B9">
      <w:pPr>
        <w:spacing w:line="306" w:lineRule="auto"/>
        <w:ind w:left="-15" w:firstLine="1440"/>
        <w:jc w:val="left"/>
      </w:pPr>
      <w:r>
        <w:rPr>
          <w:color w:val="2E74B5"/>
          <w:sz w:val="26"/>
        </w:rPr>
        <w:t>2.2.4</w:t>
      </w:r>
      <w:r>
        <w:rPr>
          <w:rFonts w:ascii="Arial" w:eastAsia="Arial" w:hAnsi="Arial" w:cs="Arial"/>
          <w:color w:val="2E74B5"/>
          <w:sz w:val="26"/>
        </w:rPr>
        <w:t xml:space="preserve"> </w:t>
      </w:r>
      <w:r>
        <w:rPr>
          <w:color w:val="2E74B5"/>
          <w:sz w:val="26"/>
        </w:rPr>
        <w:t xml:space="preserve">Špecializované </w:t>
      </w:r>
      <w:r>
        <w:rPr>
          <w:color w:val="2E74B5"/>
          <w:sz w:val="26"/>
        </w:rPr>
        <w:tab/>
        <w:t xml:space="preserve">služby </w:t>
      </w:r>
      <w:r>
        <w:rPr>
          <w:color w:val="2E74B5"/>
          <w:sz w:val="26"/>
        </w:rPr>
        <w:tab/>
        <w:t xml:space="preserve">testovania </w:t>
      </w:r>
      <w:r>
        <w:rPr>
          <w:color w:val="2E74B5"/>
          <w:sz w:val="26"/>
        </w:rPr>
        <w:tab/>
        <w:t xml:space="preserve">a hodnotenia </w:t>
      </w:r>
      <w:r>
        <w:rPr>
          <w:color w:val="2E74B5"/>
          <w:sz w:val="26"/>
        </w:rPr>
        <w:tab/>
        <w:t xml:space="preserve">zraniteľnosti informačných systémov    </w:t>
      </w:r>
      <w:r>
        <w:t xml:space="preserve">Pre zabezpečenie súladu s ustanoveniami § 20 zákona verejný obstarávateľ požaduje poskytnutie služieb pravidelného hodnotenia zraniteľností a penetračného testovania ako integrálnej súčasti pracoviska </w:t>
      </w:r>
      <w:r>
        <w:tab/>
        <w:t xml:space="preserve">CSIRT. </w:t>
      </w:r>
      <w:r>
        <w:tab/>
        <w:t xml:space="preserve">Súčasťou </w:t>
      </w:r>
      <w:r>
        <w:tab/>
        <w:t xml:space="preserve">požadovanej </w:t>
      </w:r>
      <w:r>
        <w:tab/>
        <w:t xml:space="preserve">služby </w:t>
      </w:r>
      <w:r>
        <w:tab/>
        <w:t xml:space="preserve">musia </w:t>
      </w:r>
      <w:r>
        <w:tab/>
        <w:t xml:space="preserve">byť </w:t>
      </w:r>
      <w:r>
        <w:tab/>
        <w:t xml:space="preserve">kontinuálne </w:t>
      </w:r>
      <w:r>
        <w:tab/>
        <w:t xml:space="preserve">činnosti </w:t>
      </w:r>
      <w:r>
        <w:tab/>
      </w:r>
      <w:proofErr w:type="spellStart"/>
      <w:r>
        <w:t>semiautomatizovaného</w:t>
      </w:r>
      <w:proofErr w:type="spellEnd"/>
      <w:r>
        <w:t xml:space="preserve">, resp. automatizovaného vyhľadávania zraniteľností. Verejný obstarávateľ požaduje poskytovať </w:t>
      </w:r>
      <w:r>
        <w:tab/>
        <w:t xml:space="preserve">špeciálne </w:t>
      </w:r>
      <w:r>
        <w:tab/>
        <w:t xml:space="preserve">služby </w:t>
      </w:r>
      <w:r>
        <w:tab/>
        <w:t xml:space="preserve">testovania </w:t>
      </w:r>
      <w:r>
        <w:tab/>
        <w:t xml:space="preserve">a hodnotenia </w:t>
      </w:r>
      <w:r>
        <w:tab/>
        <w:t xml:space="preserve">zraniteľností </w:t>
      </w:r>
      <w:r>
        <w:tab/>
        <w:t xml:space="preserve">informačných </w:t>
      </w:r>
      <w:r>
        <w:tab/>
        <w:t xml:space="preserve">systémov prostredníctvom tohto experta: </w:t>
      </w:r>
    </w:p>
    <w:tbl>
      <w:tblPr>
        <w:tblStyle w:val="TableGrid"/>
        <w:tblW w:w="9214" w:type="dxa"/>
        <w:tblInd w:w="71" w:type="dxa"/>
        <w:tblCellMar>
          <w:top w:w="9" w:type="dxa"/>
          <w:left w:w="108" w:type="dxa"/>
          <w:right w:w="61" w:type="dxa"/>
        </w:tblCellMar>
        <w:tblLook w:val="04A0" w:firstRow="1" w:lastRow="0" w:firstColumn="1" w:lastColumn="0" w:noHBand="0" w:noVBand="1"/>
      </w:tblPr>
      <w:tblGrid>
        <w:gridCol w:w="1134"/>
        <w:gridCol w:w="1844"/>
        <w:gridCol w:w="4536"/>
        <w:gridCol w:w="1700"/>
      </w:tblGrid>
      <w:tr w:rsidR="00C707C5">
        <w:trPr>
          <w:trHeight w:val="1020"/>
        </w:trPr>
        <w:tc>
          <w:tcPr>
            <w:tcW w:w="1134"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51" w:firstLine="0"/>
              <w:jc w:val="center"/>
            </w:pPr>
            <w:proofErr w:type="spellStart"/>
            <w:r>
              <w:rPr>
                <w:b/>
              </w:rPr>
              <w:t>P.č</w:t>
            </w:r>
            <w:proofErr w:type="spellEnd"/>
            <w:r>
              <w:rPr>
                <w:b/>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Názov pozície </w:t>
            </w:r>
          </w:p>
        </w:tc>
        <w:tc>
          <w:tcPr>
            <w:tcW w:w="4536"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Popis požadovaných činností </w:t>
            </w:r>
          </w:p>
        </w:tc>
        <w:tc>
          <w:tcPr>
            <w:tcW w:w="1700"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39" w:lineRule="auto"/>
              <w:ind w:left="0" w:firstLine="0"/>
              <w:jc w:val="center"/>
            </w:pPr>
            <w:r>
              <w:rPr>
                <w:b/>
              </w:rPr>
              <w:t xml:space="preserve">Predpokladaný rozsah činností </w:t>
            </w:r>
          </w:p>
          <w:p w:rsidR="00C707C5" w:rsidRDefault="004370B9">
            <w:pPr>
              <w:spacing w:after="0" w:line="259" w:lineRule="auto"/>
              <w:ind w:left="0" w:right="47" w:firstLine="0"/>
              <w:jc w:val="center"/>
            </w:pPr>
            <w:r>
              <w:rPr>
                <w:b/>
              </w:rPr>
              <w:t xml:space="preserve">počas trvania </w:t>
            </w:r>
          </w:p>
          <w:p w:rsidR="00C707C5" w:rsidRDefault="004370B9">
            <w:pPr>
              <w:spacing w:after="0" w:line="259" w:lineRule="auto"/>
              <w:ind w:left="0" w:right="47" w:firstLine="0"/>
              <w:jc w:val="center"/>
            </w:pPr>
            <w:r>
              <w:rPr>
                <w:b/>
              </w:rPr>
              <w:t xml:space="preserve">Dohody </w:t>
            </w:r>
          </w:p>
        </w:tc>
      </w:tr>
      <w:tr w:rsidR="00C707C5">
        <w:trPr>
          <w:trHeight w:val="2771"/>
        </w:trPr>
        <w:tc>
          <w:tcPr>
            <w:tcW w:w="1134"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52" w:firstLine="0"/>
              <w:jc w:val="center"/>
            </w:pPr>
            <w:r>
              <w:rPr>
                <w:sz w:val="20"/>
              </w:rPr>
              <w:lastRenderedPageBreak/>
              <w:t xml:space="preserve">4.1. </w:t>
            </w:r>
          </w:p>
        </w:tc>
        <w:tc>
          <w:tcPr>
            <w:tcW w:w="1844"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experta pre interné penetračné testovanie </w:t>
            </w:r>
          </w:p>
        </w:tc>
        <w:tc>
          <w:tcPr>
            <w:tcW w:w="4536"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80" w:lineRule="auto"/>
              <w:ind w:left="0" w:firstLine="0"/>
              <w:jc w:val="left"/>
            </w:pPr>
            <w:r>
              <w:rPr>
                <w:sz w:val="20"/>
              </w:rPr>
              <w:t xml:space="preserve">Automatizované, </w:t>
            </w:r>
            <w:proofErr w:type="spellStart"/>
            <w:r>
              <w:rPr>
                <w:sz w:val="20"/>
              </w:rPr>
              <w:t>semi</w:t>
            </w:r>
            <w:proofErr w:type="spellEnd"/>
            <w:r>
              <w:rPr>
                <w:sz w:val="20"/>
              </w:rPr>
              <w:t xml:space="preserve">-automatizované a manuálne vykonávanie penetračných testov z pohľadu  </w:t>
            </w:r>
          </w:p>
          <w:p w:rsidR="00C707C5" w:rsidRDefault="004370B9">
            <w:pPr>
              <w:numPr>
                <w:ilvl w:val="0"/>
                <w:numId w:val="25"/>
              </w:numPr>
              <w:spacing w:after="21" w:line="259" w:lineRule="auto"/>
              <w:ind w:right="52" w:hanging="360"/>
              <w:jc w:val="right"/>
            </w:pPr>
            <w:r>
              <w:rPr>
                <w:sz w:val="20"/>
              </w:rPr>
              <w:t xml:space="preserve">interného útočníka,  </w:t>
            </w:r>
          </w:p>
          <w:p w:rsidR="00C707C5" w:rsidRDefault="004370B9">
            <w:pPr>
              <w:numPr>
                <w:ilvl w:val="0"/>
                <w:numId w:val="25"/>
              </w:numPr>
              <w:spacing w:after="0" w:line="259" w:lineRule="auto"/>
              <w:ind w:right="52" w:hanging="360"/>
              <w:jc w:val="right"/>
            </w:pPr>
            <w:r>
              <w:rPr>
                <w:sz w:val="20"/>
              </w:rPr>
              <w:t xml:space="preserve">externého útočníka s fyzickým prístupom do </w:t>
            </w:r>
          </w:p>
          <w:p w:rsidR="00C707C5" w:rsidRDefault="004370B9">
            <w:pPr>
              <w:spacing w:after="19" w:line="259" w:lineRule="auto"/>
              <w:ind w:left="720" w:firstLine="0"/>
              <w:jc w:val="left"/>
            </w:pPr>
            <w:r>
              <w:rPr>
                <w:sz w:val="20"/>
              </w:rPr>
              <w:t xml:space="preserve">internej siete </w:t>
            </w:r>
          </w:p>
          <w:p w:rsidR="00C707C5" w:rsidRDefault="004370B9">
            <w:pPr>
              <w:numPr>
                <w:ilvl w:val="0"/>
                <w:numId w:val="25"/>
              </w:numPr>
              <w:spacing w:after="0" w:line="259" w:lineRule="auto"/>
              <w:ind w:right="52" w:hanging="360"/>
              <w:jc w:val="right"/>
            </w:pPr>
            <w:r>
              <w:rPr>
                <w:sz w:val="20"/>
              </w:rPr>
              <w:t xml:space="preserve">externého útočníka bez fyzického prístupu </w:t>
            </w:r>
          </w:p>
          <w:p w:rsidR="00C707C5" w:rsidRDefault="004370B9">
            <w:pPr>
              <w:spacing w:after="19" w:line="259" w:lineRule="auto"/>
              <w:ind w:left="720" w:firstLine="0"/>
              <w:jc w:val="left"/>
            </w:pPr>
            <w:r>
              <w:rPr>
                <w:sz w:val="20"/>
              </w:rPr>
              <w:t xml:space="preserve">do siete, </w:t>
            </w:r>
          </w:p>
          <w:p w:rsidR="00C707C5" w:rsidRDefault="004370B9">
            <w:pPr>
              <w:spacing w:after="0" w:line="259" w:lineRule="auto"/>
              <w:ind w:left="0" w:right="40" w:firstLine="0"/>
              <w:jc w:val="left"/>
            </w:pPr>
            <w:r>
              <w:rPr>
                <w:sz w:val="20"/>
              </w:rPr>
              <w:t xml:space="preserve">v celom rozsahu prostredia vrátane jednotlivých prvkov (napr. penetračné testovanie aplikácií). Služby musia obsahovať vyhľadávanie a hodnotenie zraniteľností ako samostatnú, resp. integrálnu časť penetračných testov. </w:t>
            </w:r>
          </w:p>
        </w:tc>
        <w:tc>
          <w:tcPr>
            <w:tcW w:w="170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3" w:firstLine="0"/>
              <w:jc w:val="center"/>
            </w:pPr>
            <w:r>
              <w:rPr>
                <w:sz w:val="20"/>
              </w:rPr>
              <w:t xml:space="preserve"> </w:t>
            </w:r>
          </w:p>
          <w:p w:rsidR="00C707C5" w:rsidRDefault="004370B9">
            <w:pPr>
              <w:spacing w:after="0" w:line="259" w:lineRule="auto"/>
              <w:ind w:left="3" w:firstLine="0"/>
              <w:jc w:val="center"/>
            </w:pPr>
            <w:r>
              <w:rPr>
                <w:sz w:val="20"/>
              </w:rPr>
              <w:t xml:space="preserve"> </w:t>
            </w:r>
          </w:p>
          <w:p w:rsidR="00C707C5" w:rsidRDefault="004370B9">
            <w:pPr>
              <w:spacing w:after="0" w:line="259" w:lineRule="auto"/>
              <w:ind w:left="3" w:firstLine="0"/>
              <w:jc w:val="center"/>
            </w:pPr>
            <w:r>
              <w:rPr>
                <w:sz w:val="20"/>
              </w:rPr>
              <w:t xml:space="preserve"> </w:t>
            </w:r>
          </w:p>
          <w:p w:rsidR="00C707C5" w:rsidRDefault="004370B9">
            <w:pPr>
              <w:spacing w:after="0" w:line="259" w:lineRule="auto"/>
              <w:ind w:left="3" w:firstLine="0"/>
              <w:jc w:val="center"/>
            </w:pPr>
            <w:r>
              <w:rPr>
                <w:sz w:val="20"/>
              </w:rPr>
              <w:t xml:space="preserve"> </w:t>
            </w:r>
          </w:p>
          <w:p w:rsidR="00C707C5" w:rsidRDefault="004370B9">
            <w:pPr>
              <w:spacing w:after="0" w:line="259" w:lineRule="auto"/>
              <w:ind w:left="3" w:firstLine="0"/>
              <w:jc w:val="center"/>
            </w:pPr>
            <w:r>
              <w:rPr>
                <w:sz w:val="20"/>
              </w:rPr>
              <w:t xml:space="preserve"> </w:t>
            </w:r>
          </w:p>
          <w:p w:rsidR="00C707C5" w:rsidRDefault="004370B9">
            <w:pPr>
              <w:spacing w:after="8" w:line="259" w:lineRule="auto"/>
              <w:ind w:left="3" w:firstLine="0"/>
              <w:jc w:val="center"/>
            </w:pPr>
            <w:r>
              <w:rPr>
                <w:sz w:val="20"/>
              </w:rPr>
              <w:t xml:space="preserve"> </w:t>
            </w:r>
          </w:p>
          <w:p w:rsidR="00C707C5" w:rsidRDefault="004370B9">
            <w:pPr>
              <w:spacing w:after="0" w:line="259" w:lineRule="auto"/>
              <w:ind w:left="0" w:right="47" w:firstLine="0"/>
              <w:jc w:val="center"/>
            </w:pPr>
            <w:r>
              <w:rPr>
                <w:sz w:val="20"/>
              </w:rPr>
              <w:t xml:space="preserve">160 človekodní </w:t>
            </w:r>
          </w:p>
        </w:tc>
      </w:tr>
    </w:tbl>
    <w:p w:rsidR="00C707C5" w:rsidRDefault="004370B9">
      <w:pPr>
        <w:spacing w:after="237" w:line="259" w:lineRule="auto"/>
        <w:ind w:left="720" w:firstLine="0"/>
        <w:jc w:val="left"/>
      </w:pPr>
      <w:r>
        <w:rPr>
          <w:b/>
        </w:rPr>
        <w:t xml:space="preserve"> </w:t>
      </w:r>
    </w:p>
    <w:p w:rsidR="00C707C5" w:rsidRDefault="004370B9">
      <w:pPr>
        <w:pStyle w:val="Nadpis3"/>
        <w:spacing w:after="0" w:line="259" w:lineRule="auto"/>
        <w:ind w:left="118" w:right="94"/>
        <w:jc w:val="center"/>
      </w:pPr>
      <w:r>
        <w:t>2.2.5</w:t>
      </w:r>
      <w:r>
        <w:rPr>
          <w:rFonts w:ascii="Arial" w:eastAsia="Arial" w:hAnsi="Arial" w:cs="Arial"/>
        </w:rPr>
        <w:t xml:space="preserve"> </w:t>
      </w:r>
      <w:r>
        <w:t>Špeciálne služby „</w:t>
      </w:r>
      <w:proofErr w:type="spellStart"/>
      <w:r>
        <w:t>threat</w:t>
      </w:r>
      <w:proofErr w:type="spellEnd"/>
      <w:r>
        <w:t xml:space="preserve"> </w:t>
      </w:r>
      <w:proofErr w:type="spellStart"/>
      <w:r>
        <w:t>hunting</w:t>
      </w:r>
      <w:proofErr w:type="spellEnd"/>
      <w:r>
        <w:t>“ a „</w:t>
      </w:r>
      <w:proofErr w:type="spellStart"/>
      <w:r>
        <w:t>threat</w:t>
      </w:r>
      <w:proofErr w:type="spellEnd"/>
      <w:r>
        <w:t xml:space="preserve"> </w:t>
      </w:r>
      <w:proofErr w:type="spellStart"/>
      <w:r>
        <w:t>inteligence</w:t>
      </w:r>
      <w:proofErr w:type="spellEnd"/>
      <w:r>
        <w:t xml:space="preserve">“  </w:t>
      </w:r>
    </w:p>
    <w:p w:rsidR="00C707C5" w:rsidRDefault="004370B9">
      <w:pPr>
        <w:spacing w:after="199" w:line="259" w:lineRule="auto"/>
        <w:ind w:left="708" w:firstLine="0"/>
        <w:jc w:val="left"/>
      </w:pPr>
      <w:r>
        <w:t xml:space="preserve"> </w:t>
      </w:r>
    </w:p>
    <w:p w:rsidR="00C707C5" w:rsidRDefault="004370B9">
      <w:pPr>
        <w:spacing w:after="196"/>
        <w:ind w:left="718"/>
      </w:pPr>
      <w:r>
        <w:t>Služby „</w:t>
      </w:r>
      <w:proofErr w:type="spellStart"/>
      <w:r>
        <w:t>threat</w:t>
      </w:r>
      <w:proofErr w:type="spellEnd"/>
      <w:r>
        <w:t xml:space="preserve"> </w:t>
      </w:r>
      <w:proofErr w:type="spellStart"/>
      <w:r>
        <w:t>hunting</w:t>
      </w:r>
      <w:proofErr w:type="spellEnd"/>
      <w:r>
        <w:t>“ a „</w:t>
      </w:r>
      <w:proofErr w:type="spellStart"/>
      <w:r>
        <w:t>threat</w:t>
      </w:r>
      <w:proofErr w:type="spellEnd"/>
      <w:r>
        <w:t xml:space="preserve"> </w:t>
      </w:r>
      <w:proofErr w:type="spellStart"/>
      <w:r>
        <w:t>inteligence</w:t>
      </w:r>
      <w:proofErr w:type="spellEnd"/>
      <w:r>
        <w:t xml:space="preserve">“ musia zahŕňať minimálne: </w:t>
      </w:r>
    </w:p>
    <w:p w:rsidR="00C707C5" w:rsidRDefault="004370B9">
      <w:pPr>
        <w:numPr>
          <w:ilvl w:val="0"/>
          <w:numId w:val="11"/>
        </w:numPr>
        <w:spacing w:line="306" w:lineRule="auto"/>
        <w:ind w:hanging="360"/>
      </w:pPr>
      <w:r>
        <w:t xml:space="preserve">proaktívne vyhľadávanie potencionálnych zraniteľností v prostredí </w:t>
      </w:r>
      <w:r>
        <w:rPr>
          <w:rFonts w:ascii="Courier New" w:eastAsia="Courier New" w:hAnsi="Courier New" w:cs="Courier New"/>
        </w:rPr>
        <w:t>o</w:t>
      </w:r>
      <w:r>
        <w:rPr>
          <w:rFonts w:ascii="Arial" w:eastAsia="Arial" w:hAnsi="Arial" w:cs="Arial"/>
        </w:rPr>
        <w:t xml:space="preserve"> </w:t>
      </w:r>
      <w:r>
        <w:t xml:space="preserve">proaktívne odhaľovanie sofistikovaných foriem útokov, napr. útokov typu APT </w:t>
      </w:r>
      <w:r>
        <w:rPr>
          <w:rFonts w:ascii="Courier New" w:eastAsia="Courier New" w:hAnsi="Courier New" w:cs="Courier New"/>
        </w:rPr>
        <w:t>o</w:t>
      </w:r>
      <w:r>
        <w:rPr>
          <w:rFonts w:ascii="Arial" w:eastAsia="Arial" w:hAnsi="Arial" w:cs="Arial"/>
        </w:rPr>
        <w:t xml:space="preserve"> </w:t>
      </w:r>
      <w:r>
        <w:t xml:space="preserve">návrhy na optimalizáciu monitorovacieho systému </w:t>
      </w:r>
    </w:p>
    <w:p w:rsidR="00C707C5" w:rsidRDefault="004370B9">
      <w:pPr>
        <w:numPr>
          <w:ilvl w:val="0"/>
          <w:numId w:val="11"/>
        </w:numPr>
        <w:spacing w:after="40"/>
        <w:ind w:hanging="360"/>
      </w:pPr>
      <w:r>
        <w:t xml:space="preserve">sledovanie nových typov a foriem hrozieb s následnou kontrolou prostredia na ich možný výskyt </w:t>
      </w:r>
    </w:p>
    <w:p w:rsidR="00C707C5" w:rsidRDefault="004370B9">
      <w:pPr>
        <w:numPr>
          <w:ilvl w:val="0"/>
          <w:numId w:val="11"/>
        </w:numPr>
        <w:spacing w:line="318" w:lineRule="auto"/>
        <w:ind w:hanging="360"/>
      </w:pPr>
      <w:r>
        <w:t xml:space="preserve">vytváranie </w:t>
      </w:r>
      <w:proofErr w:type="spellStart"/>
      <w:r>
        <w:t>IOCs</w:t>
      </w:r>
      <w:proofErr w:type="spellEnd"/>
      <w:r>
        <w:t xml:space="preserve"> a návrh na ich implementáciu (napr. ako </w:t>
      </w:r>
      <w:proofErr w:type="spellStart"/>
      <w:r>
        <w:t>threat</w:t>
      </w:r>
      <w:proofErr w:type="spellEnd"/>
      <w:r>
        <w:t xml:space="preserve"> </w:t>
      </w:r>
      <w:proofErr w:type="spellStart"/>
      <w:r>
        <w:t>intelligence</w:t>
      </w:r>
      <w:proofErr w:type="spellEnd"/>
      <w:r>
        <w:t xml:space="preserve"> </w:t>
      </w:r>
      <w:proofErr w:type="spellStart"/>
      <w:r>
        <w:t>feed</w:t>
      </w:r>
      <w:proofErr w:type="spellEnd"/>
      <w:r>
        <w:t xml:space="preserve">) </w:t>
      </w:r>
      <w:r>
        <w:rPr>
          <w:rFonts w:ascii="Courier New" w:eastAsia="Courier New" w:hAnsi="Courier New" w:cs="Courier New"/>
        </w:rPr>
        <w:t>o</w:t>
      </w:r>
      <w:r>
        <w:rPr>
          <w:rFonts w:ascii="Arial" w:eastAsia="Arial" w:hAnsi="Arial" w:cs="Arial"/>
        </w:rPr>
        <w:t xml:space="preserve"> </w:t>
      </w:r>
      <w:r>
        <w:t xml:space="preserve">poskytovanie návrhov na penetračné testovanie vytipovaných častí prostredia, resp. </w:t>
      </w:r>
    </w:p>
    <w:p w:rsidR="00C707C5" w:rsidRDefault="004370B9">
      <w:pPr>
        <w:spacing w:after="36"/>
        <w:ind w:left="1450"/>
      </w:pPr>
      <w:r>
        <w:t xml:space="preserve">použitím vytipovaných foriem útokov  </w:t>
      </w:r>
    </w:p>
    <w:p w:rsidR="00C707C5" w:rsidRDefault="004370B9">
      <w:pPr>
        <w:numPr>
          <w:ilvl w:val="0"/>
          <w:numId w:val="11"/>
        </w:numPr>
        <w:spacing w:after="166"/>
        <w:ind w:hanging="360"/>
      </w:pPr>
      <w:r>
        <w:t>automatické využívanie „</w:t>
      </w:r>
      <w:proofErr w:type="spellStart"/>
      <w:r>
        <w:t>threat</w:t>
      </w:r>
      <w:proofErr w:type="spellEnd"/>
      <w:r>
        <w:t xml:space="preserve"> </w:t>
      </w:r>
      <w:proofErr w:type="spellStart"/>
      <w:r>
        <w:t>inteligence</w:t>
      </w:r>
      <w:proofErr w:type="spellEnd"/>
      <w:r>
        <w:t xml:space="preserve">“ zdrojov v používaných nástrojoch </w:t>
      </w:r>
    </w:p>
    <w:p w:rsidR="00C707C5" w:rsidRDefault="004370B9">
      <w:pPr>
        <w:ind w:left="-5"/>
      </w:pPr>
      <w:r>
        <w:t>Verejný obstarávateľ požaduje poskytovať špeciálne služby „</w:t>
      </w:r>
      <w:proofErr w:type="spellStart"/>
      <w:r>
        <w:t>threat</w:t>
      </w:r>
      <w:proofErr w:type="spellEnd"/>
      <w:r>
        <w:t xml:space="preserve"> </w:t>
      </w:r>
      <w:proofErr w:type="spellStart"/>
      <w:r>
        <w:t>hunting</w:t>
      </w:r>
      <w:proofErr w:type="spellEnd"/>
      <w:r>
        <w:t>“ a „</w:t>
      </w:r>
      <w:proofErr w:type="spellStart"/>
      <w:r>
        <w:t>threat</w:t>
      </w:r>
      <w:proofErr w:type="spellEnd"/>
      <w:r>
        <w:t xml:space="preserve"> </w:t>
      </w:r>
      <w:proofErr w:type="spellStart"/>
      <w:r>
        <w:t>inteligence</w:t>
      </w:r>
      <w:proofErr w:type="spellEnd"/>
      <w:r>
        <w:t xml:space="preserve">“  prostredníctvom týchto expertov: </w:t>
      </w:r>
      <w:r>
        <w:rPr>
          <w:b/>
        </w:rPr>
        <w:t xml:space="preserve"> </w:t>
      </w:r>
    </w:p>
    <w:tbl>
      <w:tblPr>
        <w:tblStyle w:val="TableGrid"/>
        <w:tblW w:w="9214" w:type="dxa"/>
        <w:tblInd w:w="71" w:type="dxa"/>
        <w:tblCellMar>
          <w:top w:w="8" w:type="dxa"/>
          <w:left w:w="108" w:type="dxa"/>
          <w:right w:w="72" w:type="dxa"/>
        </w:tblCellMar>
        <w:tblLook w:val="04A0" w:firstRow="1" w:lastRow="0" w:firstColumn="1" w:lastColumn="0" w:noHBand="0" w:noVBand="1"/>
      </w:tblPr>
      <w:tblGrid>
        <w:gridCol w:w="1134"/>
        <w:gridCol w:w="1844"/>
        <w:gridCol w:w="4536"/>
        <w:gridCol w:w="1700"/>
      </w:tblGrid>
      <w:tr w:rsidR="00C707C5">
        <w:trPr>
          <w:trHeight w:val="1020"/>
        </w:trPr>
        <w:tc>
          <w:tcPr>
            <w:tcW w:w="1134"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right="39" w:firstLine="0"/>
              <w:jc w:val="center"/>
            </w:pPr>
            <w:proofErr w:type="spellStart"/>
            <w:r>
              <w:rPr>
                <w:b/>
              </w:rPr>
              <w:t>P.č</w:t>
            </w:r>
            <w:proofErr w:type="spellEnd"/>
            <w:r>
              <w:rPr>
                <w:b/>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Názov pozície </w:t>
            </w:r>
          </w:p>
        </w:tc>
        <w:tc>
          <w:tcPr>
            <w:tcW w:w="4536"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Popis požadovaných činností </w:t>
            </w:r>
          </w:p>
        </w:tc>
        <w:tc>
          <w:tcPr>
            <w:tcW w:w="1700"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39" w:lineRule="auto"/>
              <w:ind w:left="0" w:firstLine="0"/>
              <w:jc w:val="center"/>
            </w:pPr>
            <w:r>
              <w:rPr>
                <w:b/>
              </w:rPr>
              <w:t xml:space="preserve">Predpokladaný rozsah činností </w:t>
            </w:r>
          </w:p>
          <w:p w:rsidR="00C707C5" w:rsidRDefault="004370B9">
            <w:pPr>
              <w:spacing w:after="0" w:line="259" w:lineRule="auto"/>
              <w:ind w:left="0" w:right="35" w:firstLine="0"/>
              <w:jc w:val="center"/>
            </w:pPr>
            <w:r>
              <w:rPr>
                <w:b/>
              </w:rPr>
              <w:t xml:space="preserve">počas trvania </w:t>
            </w:r>
          </w:p>
          <w:p w:rsidR="00C707C5" w:rsidRDefault="004370B9">
            <w:pPr>
              <w:spacing w:after="0" w:line="259" w:lineRule="auto"/>
              <w:ind w:left="0" w:right="35" w:firstLine="0"/>
              <w:jc w:val="center"/>
            </w:pPr>
            <w:r>
              <w:rPr>
                <w:b/>
              </w:rPr>
              <w:t xml:space="preserve">Dohody </w:t>
            </w:r>
          </w:p>
        </w:tc>
      </w:tr>
      <w:tr w:rsidR="00C707C5">
        <w:trPr>
          <w:trHeight w:val="702"/>
        </w:trPr>
        <w:tc>
          <w:tcPr>
            <w:tcW w:w="1134"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40" w:firstLine="0"/>
              <w:jc w:val="center"/>
            </w:pPr>
            <w:r>
              <w:rPr>
                <w:sz w:val="20"/>
              </w:rPr>
              <w:t xml:space="preserve">5.1. </w:t>
            </w:r>
          </w:p>
        </w:tc>
        <w:tc>
          <w:tcPr>
            <w:tcW w:w="1844"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Služby experta pre činnosti „</w:t>
            </w:r>
            <w:proofErr w:type="spellStart"/>
            <w:r>
              <w:rPr>
                <w:sz w:val="20"/>
              </w:rPr>
              <w:t>threat</w:t>
            </w:r>
            <w:proofErr w:type="spellEnd"/>
            <w:r>
              <w:rPr>
                <w:sz w:val="20"/>
              </w:rPr>
              <w:t xml:space="preserve"> </w:t>
            </w:r>
            <w:proofErr w:type="spellStart"/>
            <w:r>
              <w:rPr>
                <w:sz w:val="20"/>
              </w:rPr>
              <w:t>hunting</w:t>
            </w:r>
            <w:proofErr w:type="spellEnd"/>
            <w:r>
              <w:rPr>
                <w:sz w:val="20"/>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Všetky činnosti popísané v zozname služieb tejto kapitoly. </w:t>
            </w:r>
          </w:p>
        </w:tc>
        <w:tc>
          <w:tcPr>
            <w:tcW w:w="1700"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35" w:firstLine="0"/>
              <w:jc w:val="center"/>
            </w:pPr>
            <w:r>
              <w:rPr>
                <w:sz w:val="20"/>
              </w:rPr>
              <w:t xml:space="preserve">160 človekodní </w:t>
            </w:r>
          </w:p>
        </w:tc>
      </w:tr>
      <w:tr w:rsidR="00C707C5">
        <w:trPr>
          <w:trHeight w:val="699"/>
        </w:trPr>
        <w:tc>
          <w:tcPr>
            <w:tcW w:w="1134"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40" w:firstLine="0"/>
              <w:jc w:val="center"/>
            </w:pPr>
            <w:r>
              <w:rPr>
                <w:sz w:val="20"/>
              </w:rPr>
              <w:t xml:space="preserve">5.2. </w:t>
            </w:r>
          </w:p>
        </w:tc>
        <w:tc>
          <w:tcPr>
            <w:tcW w:w="1844"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Služby experta pre činnosť využívania „</w:t>
            </w:r>
            <w:proofErr w:type="spellStart"/>
            <w:r>
              <w:rPr>
                <w:sz w:val="20"/>
              </w:rPr>
              <w:t>threat</w:t>
            </w:r>
            <w:proofErr w:type="spellEnd"/>
            <w:r>
              <w:rPr>
                <w:sz w:val="20"/>
              </w:rPr>
              <w:t xml:space="preserve"> </w:t>
            </w:r>
            <w:proofErr w:type="spellStart"/>
            <w:r>
              <w:rPr>
                <w:sz w:val="20"/>
              </w:rPr>
              <w:t>inteligence</w:t>
            </w:r>
            <w:proofErr w:type="spellEnd"/>
            <w:r>
              <w:rPr>
                <w:sz w:val="20"/>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Riešenie automatizovaného využívania „</w:t>
            </w:r>
            <w:proofErr w:type="spellStart"/>
            <w:r>
              <w:rPr>
                <w:sz w:val="20"/>
              </w:rPr>
              <w:t>threat</w:t>
            </w:r>
            <w:proofErr w:type="spellEnd"/>
            <w:r>
              <w:rPr>
                <w:sz w:val="20"/>
              </w:rPr>
              <w:t xml:space="preserve"> </w:t>
            </w:r>
            <w:proofErr w:type="spellStart"/>
            <w:r>
              <w:rPr>
                <w:sz w:val="20"/>
              </w:rPr>
              <w:t>inteligence</w:t>
            </w:r>
            <w:proofErr w:type="spellEnd"/>
            <w:r>
              <w:rPr>
                <w:sz w:val="20"/>
              </w:rPr>
              <w:t xml:space="preserve">“ zdrojov v existujúcich riešeniach zabezpečujúcich predmet zákazky. </w:t>
            </w:r>
          </w:p>
        </w:tc>
        <w:tc>
          <w:tcPr>
            <w:tcW w:w="1700" w:type="dxa"/>
            <w:tcBorders>
              <w:top w:val="single" w:sz="4" w:space="0" w:color="000000"/>
              <w:left w:val="single" w:sz="4" w:space="0" w:color="000000"/>
              <w:bottom w:val="single" w:sz="4" w:space="0" w:color="000000"/>
              <w:right w:val="single" w:sz="4" w:space="0" w:color="000000"/>
            </w:tcBorders>
          </w:tcPr>
          <w:p w:rsidR="00C707C5" w:rsidRDefault="004370B9">
            <w:pPr>
              <w:spacing w:after="11" w:line="259" w:lineRule="auto"/>
              <w:ind w:left="15" w:firstLine="0"/>
              <w:jc w:val="center"/>
            </w:pPr>
            <w:r>
              <w:rPr>
                <w:sz w:val="20"/>
              </w:rPr>
              <w:t xml:space="preserve"> </w:t>
            </w:r>
          </w:p>
          <w:p w:rsidR="00C707C5" w:rsidRDefault="004370B9">
            <w:pPr>
              <w:spacing w:after="0" w:line="259" w:lineRule="auto"/>
              <w:ind w:left="0" w:right="35" w:firstLine="0"/>
              <w:jc w:val="center"/>
            </w:pPr>
            <w:r>
              <w:rPr>
                <w:sz w:val="20"/>
              </w:rPr>
              <w:t xml:space="preserve">80 človekodní </w:t>
            </w:r>
          </w:p>
        </w:tc>
      </w:tr>
    </w:tbl>
    <w:p w:rsidR="00C707C5" w:rsidRDefault="004370B9">
      <w:pPr>
        <w:spacing w:after="238" w:line="259" w:lineRule="auto"/>
        <w:ind w:left="0" w:firstLine="0"/>
        <w:jc w:val="left"/>
      </w:pPr>
      <w:r>
        <w:rPr>
          <w:b/>
        </w:rPr>
        <w:t xml:space="preserve"> </w:t>
      </w:r>
    </w:p>
    <w:p w:rsidR="00C707C5" w:rsidRDefault="004370B9">
      <w:pPr>
        <w:pStyle w:val="Nadpis3"/>
        <w:spacing w:after="0" w:line="259" w:lineRule="auto"/>
        <w:ind w:left="118"/>
        <w:jc w:val="center"/>
      </w:pPr>
      <w:r>
        <w:t>2.2.6</w:t>
      </w:r>
      <w:r>
        <w:rPr>
          <w:rFonts w:ascii="Arial" w:eastAsia="Arial" w:hAnsi="Arial" w:cs="Arial"/>
        </w:rPr>
        <w:t xml:space="preserve"> </w:t>
      </w:r>
      <w:r>
        <w:t xml:space="preserve">Služby  asistencie pri riešení kybernetických  incidentov </w:t>
      </w:r>
    </w:p>
    <w:p w:rsidR="00C707C5" w:rsidRDefault="004370B9">
      <w:pPr>
        <w:spacing w:after="193"/>
        <w:ind w:left="-15" w:firstLine="708"/>
      </w:pPr>
      <w:r>
        <w:t xml:space="preserve">Služby asistencie pri riešení kybernetických  incidentov musia poskytnúť jednotke CSIRT centralizovanú správu legislatívnych a normatívnych požiadaviek v oblasti kybernetickej bezpečnosti (ako najmä analýza rizík a posudzovanie súladu). Zabezpečením poskytovania služieb analýzy rizík (realizovaných v rámci služieb SOC), vyhľadávania zraniteľností a prepojením výsledkov sa musí dosiahnuť komplexný procesne-technický pohľad na aktuálny stav kybernetickej bezpečnosti v sektore „Zdravotníctvo“. Verejný obstarávateľ požaduje poskytnutie služieb v nasledovnom rozsahu: </w:t>
      </w:r>
    </w:p>
    <w:p w:rsidR="00C707C5" w:rsidRDefault="004370B9">
      <w:pPr>
        <w:numPr>
          <w:ilvl w:val="0"/>
          <w:numId w:val="12"/>
        </w:numPr>
        <w:spacing w:after="32"/>
        <w:ind w:hanging="360"/>
      </w:pPr>
      <w:r>
        <w:lastRenderedPageBreak/>
        <w:t xml:space="preserve">poradenskú a konzultačnú podporu pre riadenie kybernetickej bezpečnosti v súlade so zákonom  č. 69/2018 Z. z. o kybernetickej bezpečnosti, </w:t>
      </w:r>
    </w:p>
    <w:p w:rsidR="00C707C5" w:rsidRDefault="004370B9">
      <w:pPr>
        <w:numPr>
          <w:ilvl w:val="0"/>
          <w:numId w:val="12"/>
        </w:numPr>
        <w:spacing w:after="43"/>
        <w:ind w:hanging="360"/>
      </w:pPr>
      <w:r>
        <w:t xml:space="preserve">vypracovanie  plánov kontinuity činnosti BCP kritických procesov, plány obnovy činnosti a plány reakcie na kybernetické bezpečnostné incident   </w:t>
      </w:r>
    </w:p>
    <w:p w:rsidR="00C707C5" w:rsidRDefault="004370B9">
      <w:pPr>
        <w:numPr>
          <w:ilvl w:val="0"/>
          <w:numId w:val="12"/>
        </w:numPr>
        <w:spacing w:after="35"/>
        <w:ind w:hanging="360"/>
      </w:pPr>
      <w:r>
        <w:t xml:space="preserve">poskytnutie podpory pri testovaní plánov kontinuity činnosti, plánov obnovy prevádzky aj plánov reakcie na kybernetické bezpečnostné incidenty s cieľom identifikovať slabé miesta plánov a navrhnúť opatrenia na ich zlepšenie   </w:t>
      </w:r>
    </w:p>
    <w:p w:rsidR="00C707C5" w:rsidRDefault="004370B9">
      <w:pPr>
        <w:numPr>
          <w:ilvl w:val="0"/>
          <w:numId w:val="12"/>
        </w:numPr>
        <w:spacing w:after="28"/>
        <w:ind w:hanging="360"/>
      </w:pPr>
      <w:r>
        <w:t xml:space="preserve">vypracovanie analýz dopadov BIA - analytické aktivity zamerané na vyhodnotenie dopadov na inštitúciu pri narušení alebo prerušení procesov, určenie kritických procesov a špecifikácií pre ich obnovu, tvorbu a vyhodnocovanie dotazníkov, spracovanie analytických výstupov, prenos spracovaných údajov do plánov, </w:t>
      </w:r>
    </w:p>
    <w:p w:rsidR="00C707C5" w:rsidRDefault="004370B9">
      <w:pPr>
        <w:numPr>
          <w:ilvl w:val="0"/>
          <w:numId w:val="12"/>
        </w:numPr>
        <w:ind w:hanging="360"/>
      </w:pPr>
      <w:r>
        <w:t xml:space="preserve">vypracovanie analýzy rizík - analytické aktivity zamerané na definovanie a vyhodnotenie rizík pôsobiacich na IKT podporujúce kritické procesy a návrh opatrení na ich eliminovanie alebo zníženie, </w:t>
      </w:r>
    </w:p>
    <w:p w:rsidR="00C707C5" w:rsidRDefault="004370B9">
      <w:pPr>
        <w:numPr>
          <w:ilvl w:val="0"/>
          <w:numId w:val="12"/>
        </w:numPr>
        <w:spacing w:after="145"/>
        <w:ind w:hanging="360"/>
      </w:pPr>
      <w:r>
        <w:t xml:space="preserve">integrácia plánov kontinuity činnosti BCP  so systémom bezpečnostného a technologického monitoringu na účely zabezpečenia trvalej dôvernosti, integrity, dostupnosti a odolnosti systémov spracúvajúce osobné údaje, ako aj zaistenia schopnosti včas obnoviť dostupnosť osobných údajov a prístup k nim v prípade fyzického alebo technického incidentu. </w:t>
      </w:r>
    </w:p>
    <w:p w:rsidR="00C707C5" w:rsidRDefault="004370B9">
      <w:pPr>
        <w:ind w:left="-5"/>
      </w:pPr>
      <w:r>
        <w:t>Verejný obstarávateľ požaduje poskytovať služby asistencie pri riešení kybernetických  incidentov  prostredníctvom týchto expertov:</w:t>
      </w:r>
      <w:r>
        <w:rPr>
          <w:b/>
        </w:rPr>
        <w:t xml:space="preserve"> </w:t>
      </w:r>
    </w:p>
    <w:tbl>
      <w:tblPr>
        <w:tblStyle w:val="TableGrid"/>
        <w:tblW w:w="9356" w:type="dxa"/>
        <w:tblInd w:w="0" w:type="dxa"/>
        <w:tblCellMar>
          <w:top w:w="9" w:type="dxa"/>
          <w:left w:w="108" w:type="dxa"/>
          <w:right w:w="111" w:type="dxa"/>
        </w:tblCellMar>
        <w:tblLook w:val="04A0" w:firstRow="1" w:lastRow="0" w:firstColumn="1" w:lastColumn="0" w:noHBand="0" w:noVBand="1"/>
      </w:tblPr>
      <w:tblGrid>
        <w:gridCol w:w="1133"/>
        <w:gridCol w:w="1928"/>
        <w:gridCol w:w="4452"/>
        <w:gridCol w:w="1843"/>
      </w:tblGrid>
      <w:tr w:rsidR="00C707C5">
        <w:trPr>
          <w:trHeight w:val="1019"/>
        </w:trPr>
        <w:tc>
          <w:tcPr>
            <w:tcW w:w="1133"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3" w:firstLine="0"/>
              <w:jc w:val="center"/>
            </w:pPr>
            <w:proofErr w:type="spellStart"/>
            <w:r>
              <w:rPr>
                <w:b/>
              </w:rPr>
              <w:t>P.č</w:t>
            </w:r>
            <w:proofErr w:type="spellEnd"/>
            <w:r>
              <w:rPr>
                <w:b/>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Názov pozície </w:t>
            </w:r>
          </w:p>
        </w:tc>
        <w:tc>
          <w:tcPr>
            <w:tcW w:w="4452"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59" w:lineRule="auto"/>
              <w:ind w:left="0" w:firstLine="0"/>
              <w:jc w:val="left"/>
            </w:pPr>
            <w:r>
              <w:rPr>
                <w:b/>
              </w:rPr>
              <w:t xml:space="preserve">Popis požadovaných činností </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cPr>
          <w:p w:rsidR="00C707C5" w:rsidRDefault="004370B9">
            <w:pPr>
              <w:spacing w:after="0" w:line="278" w:lineRule="auto"/>
              <w:ind w:left="0" w:firstLine="0"/>
              <w:jc w:val="center"/>
            </w:pPr>
            <w:r>
              <w:rPr>
                <w:b/>
              </w:rPr>
              <w:t xml:space="preserve">Predpokladaný rozsah činností </w:t>
            </w:r>
          </w:p>
          <w:p w:rsidR="00C707C5" w:rsidRDefault="004370B9">
            <w:pPr>
              <w:spacing w:after="0" w:line="259" w:lineRule="auto"/>
              <w:ind w:left="4" w:firstLine="0"/>
              <w:jc w:val="center"/>
            </w:pPr>
            <w:r>
              <w:rPr>
                <w:b/>
              </w:rPr>
              <w:t xml:space="preserve">počas trvania </w:t>
            </w:r>
          </w:p>
          <w:p w:rsidR="00C707C5" w:rsidRDefault="004370B9">
            <w:pPr>
              <w:spacing w:after="0" w:line="259" w:lineRule="auto"/>
              <w:ind w:left="5" w:firstLine="0"/>
              <w:jc w:val="center"/>
            </w:pPr>
            <w:r>
              <w:rPr>
                <w:b/>
              </w:rPr>
              <w:t xml:space="preserve">Dohody </w:t>
            </w:r>
          </w:p>
        </w:tc>
      </w:tr>
      <w:tr w:rsidR="00C707C5">
        <w:trPr>
          <w:trHeight w:val="1391"/>
        </w:trPr>
        <w:tc>
          <w:tcPr>
            <w:tcW w:w="113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 w:firstLine="0"/>
              <w:jc w:val="center"/>
            </w:pPr>
            <w:r>
              <w:rPr>
                <w:sz w:val="20"/>
              </w:rPr>
              <w:t xml:space="preserve">6.1. </w:t>
            </w:r>
          </w:p>
        </w:tc>
        <w:tc>
          <w:tcPr>
            <w:tcW w:w="192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Služby bezpečnostného architekta </w:t>
            </w:r>
          </w:p>
        </w:tc>
        <w:tc>
          <w:tcPr>
            <w:tcW w:w="44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Vypracovávanie návrhu architektúr, posudzovanie spôsobu pripájania nových dátových zdrojov prostredníctvom  služby prevádzkovanej centrálnou bezpečnostnou, logovacou a vyhodnocovacou platformou, spracovávanie HLD a LLD, poradenská a konzultačná činnosť  </w:t>
            </w:r>
          </w:p>
        </w:tc>
        <w:tc>
          <w:tcPr>
            <w:tcW w:w="184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55" w:firstLine="0"/>
              <w:jc w:val="center"/>
            </w:pPr>
            <w:r>
              <w:rPr>
                <w:sz w:val="20"/>
              </w:rPr>
              <w:t xml:space="preserve"> </w:t>
            </w:r>
          </w:p>
          <w:p w:rsidR="00C707C5" w:rsidRDefault="004370B9">
            <w:pPr>
              <w:spacing w:after="11" w:line="259" w:lineRule="auto"/>
              <w:ind w:left="55" w:firstLine="0"/>
              <w:jc w:val="center"/>
            </w:pPr>
            <w:r>
              <w:rPr>
                <w:sz w:val="20"/>
              </w:rPr>
              <w:t xml:space="preserve"> </w:t>
            </w:r>
          </w:p>
          <w:p w:rsidR="00C707C5" w:rsidRDefault="004370B9">
            <w:pPr>
              <w:spacing w:after="0" w:line="259" w:lineRule="auto"/>
              <w:ind w:left="4" w:firstLine="0"/>
              <w:jc w:val="center"/>
            </w:pPr>
            <w:r>
              <w:rPr>
                <w:sz w:val="20"/>
              </w:rPr>
              <w:t xml:space="preserve">60 človekodní </w:t>
            </w:r>
          </w:p>
        </w:tc>
      </w:tr>
      <w:tr w:rsidR="00C707C5">
        <w:trPr>
          <w:trHeight w:val="931"/>
        </w:trPr>
        <w:tc>
          <w:tcPr>
            <w:tcW w:w="1133"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2" w:firstLine="0"/>
              <w:jc w:val="center"/>
            </w:pPr>
            <w:r>
              <w:rPr>
                <w:sz w:val="20"/>
              </w:rPr>
              <w:t xml:space="preserve">6.2. </w:t>
            </w:r>
          </w:p>
        </w:tc>
        <w:tc>
          <w:tcPr>
            <w:tcW w:w="1928"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right="52" w:firstLine="0"/>
            </w:pPr>
            <w:r>
              <w:rPr>
                <w:sz w:val="20"/>
              </w:rPr>
              <w:t xml:space="preserve">Služby experta  pre riadenie informačnej bezpečnosti </w:t>
            </w:r>
          </w:p>
        </w:tc>
        <w:tc>
          <w:tcPr>
            <w:tcW w:w="4452" w:type="dxa"/>
            <w:tcBorders>
              <w:top w:val="single" w:sz="4" w:space="0" w:color="000000"/>
              <w:left w:val="single" w:sz="4" w:space="0" w:color="000000"/>
              <w:bottom w:val="single" w:sz="4" w:space="0" w:color="000000"/>
              <w:right w:val="single" w:sz="4" w:space="0" w:color="000000"/>
            </w:tcBorders>
          </w:tcPr>
          <w:p w:rsidR="00C707C5" w:rsidRDefault="004370B9">
            <w:pPr>
              <w:spacing w:after="0" w:line="259" w:lineRule="auto"/>
              <w:ind w:left="0" w:firstLine="0"/>
              <w:jc w:val="left"/>
            </w:pPr>
            <w:r>
              <w:rPr>
                <w:sz w:val="20"/>
              </w:rPr>
              <w:t xml:space="preserve">Poradenská a konzultačná činnosť a podpora, vypracovanie bezpečnostných politík, koncepcií, návrhu postupov pre riadenie informačnej bezpečnosti </w:t>
            </w:r>
          </w:p>
        </w:tc>
        <w:tc>
          <w:tcPr>
            <w:tcW w:w="1843" w:type="dxa"/>
            <w:tcBorders>
              <w:top w:val="single" w:sz="4" w:space="0" w:color="000000"/>
              <w:left w:val="single" w:sz="4" w:space="0" w:color="000000"/>
              <w:bottom w:val="single" w:sz="4" w:space="0" w:color="000000"/>
              <w:right w:val="single" w:sz="4" w:space="0" w:color="000000"/>
            </w:tcBorders>
          </w:tcPr>
          <w:p w:rsidR="00C707C5" w:rsidRDefault="004370B9">
            <w:pPr>
              <w:spacing w:after="10" w:line="259" w:lineRule="auto"/>
              <w:ind w:left="55" w:firstLine="0"/>
              <w:jc w:val="center"/>
            </w:pPr>
            <w:r>
              <w:rPr>
                <w:sz w:val="20"/>
              </w:rPr>
              <w:t xml:space="preserve"> </w:t>
            </w:r>
          </w:p>
          <w:p w:rsidR="00C707C5" w:rsidRDefault="00832D78">
            <w:pPr>
              <w:spacing w:after="0" w:line="259" w:lineRule="auto"/>
              <w:ind w:left="0" w:firstLine="0"/>
              <w:jc w:val="left"/>
            </w:pPr>
            <w:r>
              <w:rPr>
                <w:sz w:val="20"/>
              </w:rPr>
              <w:t>40</w:t>
            </w:r>
            <w:r w:rsidR="00AE39EE">
              <w:rPr>
                <w:sz w:val="20"/>
              </w:rPr>
              <w:t>2</w:t>
            </w:r>
            <w:r w:rsidR="004370B9">
              <w:rPr>
                <w:sz w:val="20"/>
              </w:rPr>
              <w:t xml:space="preserve"> človekodní </w:t>
            </w:r>
          </w:p>
        </w:tc>
      </w:tr>
    </w:tbl>
    <w:p w:rsidR="00C707C5" w:rsidRDefault="00C707C5" w:rsidP="00236EEA">
      <w:pPr>
        <w:ind w:left="0" w:firstLine="0"/>
        <w:sectPr w:rsidR="00C707C5">
          <w:headerReference w:type="even" r:id="rId7"/>
          <w:headerReference w:type="default" r:id="rId8"/>
          <w:footerReference w:type="even" r:id="rId9"/>
          <w:footerReference w:type="default" r:id="rId10"/>
          <w:headerReference w:type="first" r:id="rId11"/>
          <w:footerReference w:type="first" r:id="rId12"/>
          <w:pgSz w:w="11906" w:h="16838"/>
          <w:pgMar w:top="1426" w:right="1415" w:bottom="1546" w:left="1133" w:header="708" w:footer="709" w:gutter="0"/>
          <w:cols w:space="708"/>
        </w:sectPr>
      </w:pPr>
    </w:p>
    <w:p w:rsidR="00C707C5" w:rsidRDefault="00C707C5" w:rsidP="00236EEA">
      <w:pPr>
        <w:spacing w:after="158" w:line="259" w:lineRule="auto"/>
        <w:ind w:left="0" w:firstLine="0"/>
        <w:jc w:val="left"/>
      </w:pPr>
    </w:p>
    <w:sectPr w:rsidR="00C707C5">
      <w:footerReference w:type="even" r:id="rId13"/>
      <w:footerReference w:type="default" r:id="rId14"/>
      <w:footerReference w:type="first" r:id="rId15"/>
      <w:pgSz w:w="16838" w:h="11906" w:orient="landscape"/>
      <w:pgMar w:top="1136" w:right="1416" w:bottom="1433"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E2A" w:rsidRDefault="00FF5E2A">
      <w:pPr>
        <w:spacing w:after="0" w:line="240" w:lineRule="auto"/>
      </w:pPr>
      <w:r>
        <w:separator/>
      </w:r>
    </w:p>
  </w:endnote>
  <w:endnote w:type="continuationSeparator" w:id="0">
    <w:p w:rsidR="00FF5E2A" w:rsidRDefault="00FF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C5" w:rsidRPr="00F9438C" w:rsidRDefault="004370B9" w:rsidP="00F9438C">
    <w:pPr>
      <w:pStyle w:val="Pta"/>
    </w:pPr>
    <w:r w:rsidRPr="00F9438C">
      <w:rPr>
        <w:rFonts w:eastAsia="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C5" w:rsidRPr="00F9438C" w:rsidRDefault="004370B9" w:rsidP="00F9438C">
    <w:pPr>
      <w:pStyle w:val="Pta"/>
    </w:pPr>
    <w:r w:rsidRPr="00F9438C">
      <w:rPr>
        <w:rFonts w:eastAsia="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C5" w:rsidRPr="00F9438C" w:rsidRDefault="004370B9" w:rsidP="00F9438C">
    <w:pPr>
      <w:pStyle w:val="Pta"/>
    </w:pPr>
    <w:r w:rsidRPr="00F9438C">
      <w:rPr>
        <w:rFonts w:eastAsia="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C5" w:rsidRPr="00F9438C" w:rsidRDefault="004370B9" w:rsidP="00F9438C">
    <w:pPr>
      <w:pStyle w:val="Pta"/>
    </w:pPr>
    <w:r w:rsidRPr="00F9438C">
      <w:rPr>
        <w:rFonts w:eastAsia="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C5" w:rsidRPr="00F9438C" w:rsidRDefault="004370B9" w:rsidP="00F9438C">
    <w:pPr>
      <w:pStyle w:val="Pta"/>
    </w:pPr>
    <w:r w:rsidRPr="00F9438C">
      <w:rPr>
        <w:rFonts w:eastAsia="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C5" w:rsidRPr="00F9438C" w:rsidRDefault="004370B9" w:rsidP="00F9438C">
    <w:pPr>
      <w:pStyle w:val="Pta"/>
    </w:pPr>
    <w:r w:rsidRPr="00F9438C">
      <w:rPr>
        <w:rFonts w:eastAsia="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E2A" w:rsidRDefault="00FF5E2A">
      <w:pPr>
        <w:spacing w:after="0" w:line="240" w:lineRule="auto"/>
      </w:pPr>
      <w:r>
        <w:separator/>
      </w:r>
    </w:p>
  </w:footnote>
  <w:footnote w:type="continuationSeparator" w:id="0">
    <w:p w:rsidR="00FF5E2A" w:rsidRDefault="00FF5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8C" w:rsidRDefault="00F9438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8C" w:rsidRDefault="00F9438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8C" w:rsidRDefault="00F9438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1B7"/>
    <w:multiLevelType w:val="hybridMultilevel"/>
    <w:tmpl w:val="B018023E"/>
    <w:lvl w:ilvl="0" w:tplc="3E12A402">
      <w:start w:val="1"/>
      <w:numFmt w:val="bullet"/>
      <w:lvlText w:val="-"/>
      <w:lvlJc w:val="left"/>
      <w:pPr>
        <w:ind w:left="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2EFBC2">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34AF72">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CCAC8E">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F655C2">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8C16DA">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9A4A1C">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52066C">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6E8890">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7203F6"/>
    <w:multiLevelType w:val="hybridMultilevel"/>
    <w:tmpl w:val="5A9C7DA4"/>
    <w:lvl w:ilvl="0" w:tplc="69066DC6">
      <w:start w:val="1"/>
      <w:numFmt w:val="bullet"/>
      <w:lvlText w:val="-"/>
      <w:lvlJc w:val="left"/>
      <w:pPr>
        <w:ind w:left="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1EB15E">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C644CE">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0EA578">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186DE8">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88D6CE">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0E8624">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588B5C">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E409A2">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D7029E"/>
    <w:multiLevelType w:val="hybridMultilevel"/>
    <w:tmpl w:val="4746CF6A"/>
    <w:lvl w:ilvl="0" w:tplc="AA82E3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20AAB2">
      <w:start w:val="1"/>
      <w:numFmt w:val="decimal"/>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38C42E">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4809F0">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B6958A">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E5182">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6C1C2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3C4D2E">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BAA160">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5C4FFF"/>
    <w:multiLevelType w:val="hybridMultilevel"/>
    <w:tmpl w:val="735E49EC"/>
    <w:lvl w:ilvl="0" w:tplc="4CF6F66C">
      <w:start w:val="1"/>
      <w:numFmt w:val="bullet"/>
      <w:lvlText w:val="-"/>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7E4B98">
      <w:start w:val="1"/>
      <w:numFmt w:val="bullet"/>
      <w:lvlText w:val="o"/>
      <w:lvlJc w:val="left"/>
      <w:pPr>
        <w:ind w:left="1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5BE44C4">
      <w:start w:val="1"/>
      <w:numFmt w:val="bullet"/>
      <w:lvlText w:val="▪"/>
      <w:lvlJc w:val="left"/>
      <w:pPr>
        <w:ind w:left="1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CE1B38">
      <w:start w:val="1"/>
      <w:numFmt w:val="bullet"/>
      <w:lvlText w:val="•"/>
      <w:lvlJc w:val="left"/>
      <w:pPr>
        <w:ind w:left="2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4102C04">
      <w:start w:val="1"/>
      <w:numFmt w:val="bullet"/>
      <w:lvlText w:val="o"/>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93C78BC">
      <w:start w:val="1"/>
      <w:numFmt w:val="bullet"/>
      <w:lvlText w:val="▪"/>
      <w:lvlJc w:val="left"/>
      <w:pPr>
        <w:ind w:left="3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9CAE7C">
      <w:start w:val="1"/>
      <w:numFmt w:val="bullet"/>
      <w:lvlText w:val="•"/>
      <w:lvlJc w:val="left"/>
      <w:pPr>
        <w:ind w:left="4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46694A">
      <w:start w:val="1"/>
      <w:numFmt w:val="bullet"/>
      <w:lvlText w:val="o"/>
      <w:lvlJc w:val="left"/>
      <w:pPr>
        <w:ind w:left="5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3507610">
      <w:start w:val="1"/>
      <w:numFmt w:val="bullet"/>
      <w:lvlText w:val="▪"/>
      <w:lvlJc w:val="left"/>
      <w:pPr>
        <w:ind w:left="6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9064A3"/>
    <w:multiLevelType w:val="hybridMultilevel"/>
    <w:tmpl w:val="2ED86886"/>
    <w:lvl w:ilvl="0" w:tplc="401E11EA">
      <w:start w:val="1"/>
      <w:numFmt w:val="lowerLetter"/>
      <w:lvlText w:val="%1)"/>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1EE714">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78C568">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0487F2">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CA03B2">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9E2686">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6244EA">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EC4AF4">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FEE30C">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B82117"/>
    <w:multiLevelType w:val="hybridMultilevel"/>
    <w:tmpl w:val="3E801744"/>
    <w:lvl w:ilvl="0" w:tplc="0A76A0E8">
      <w:start w:val="1"/>
      <w:numFmt w:val="bullet"/>
      <w:lvlText w:val="-"/>
      <w:lvlJc w:val="left"/>
      <w:pPr>
        <w:ind w:left="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08AD86">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FC37AA">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2EDD32">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7076FE">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68656E">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D27C80">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CCE00C">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2C9D10">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A0020D"/>
    <w:multiLevelType w:val="hybridMultilevel"/>
    <w:tmpl w:val="CC86B76A"/>
    <w:lvl w:ilvl="0" w:tplc="EC40DC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60A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BAD7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D8FE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FA5B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A62D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629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684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BE5E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B9126B"/>
    <w:multiLevelType w:val="hybridMultilevel"/>
    <w:tmpl w:val="A14A0550"/>
    <w:lvl w:ilvl="0" w:tplc="49A80B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9C946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C4D56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C8785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728DC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8E051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2262C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2CE3F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2625B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B16723"/>
    <w:multiLevelType w:val="hybridMultilevel"/>
    <w:tmpl w:val="D5F84786"/>
    <w:lvl w:ilvl="0" w:tplc="554A74A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F0B9D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7E132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FEF10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40BBE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106BB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A244C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96D2A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A2AD2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22253F"/>
    <w:multiLevelType w:val="hybridMultilevel"/>
    <w:tmpl w:val="165E662A"/>
    <w:lvl w:ilvl="0" w:tplc="B802D4F6">
      <w:start w:val="2"/>
      <w:numFmt w:val="decimal"/>
      <w:lvlText w:val="%1."/>
      <w:lvlJc w:val="left"/>
      <w:pPr>
        <w:ind w:left="705"/>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1" w:tplc="8B70D590">
      <w:start w:val="1"/>
      <w:numFmt w:val="lowerLetter"/>
      <w:lvlText w:val="%2"/>
      <w:lvlJc w:val="left"/>
      <w:pPr>
        <w:ind w:left="144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2" w:tplc="AEE2BB32">
      <w:start w:val="1"/>
      <w:numFmt w:val="lowerRoman"/>
      <w:lvlText w:val="%3"/>
      <w:lvlJc w:val="left"/>
      <w:pPr>
        <w:ind w:left="216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3" w:tplc="18086744">
      <w:start w:val="1"/>
      <w:numFmt w:val="decimal"/>
      <w:lvlText w:val="%4"/>
      <w:lvlJc w:val="left"/>
      <w:pPr>
        <w:ind w:left="288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4" w:tplc="194025D8">
      <w:start w:val="1"/>
      <w:numFmt w:val="lowerLetter"/>
      <w:lvlText w:val="%5"/>
      <w:lvlJc w:val="left"/>
      <w:pPr>
        <w:ind w:left="360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5" w:tplc="182A7856">
      <w:start w:val="1"/>
      <w:numFmt w:val="lowerRoman"/>
      <w:lvlText w:val="%6"/>
      <w:lvlJc w:val="left"/>
      <w:pPr>
        <w:ind w:left="432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6" w:tplc="20C0F0E0">
      <w:start w:val="1"/>
      <w:numFmt w:val="decimal"/>
      <w:lvlText w:val="%7"/>
      <w:lvlJc w:val="left"/>
      <w:pPr>
        <w:ind w:left="504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7" w:tplc="87D807C4">
      <w:start w:val="1"/>
      <w:numFmt w:val="lowerLetter"/>
      <w:lvlText w:val="%8"/>
      <w:lvlJc w:val="left"/>
      <w:pPr>
        <w:ind w:left="576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8" w:tplc="31B8EBFA">
      <w:start w:val="1"/>
      <w:numFmt w:val="lowerRoman"/>
      <w:lvlText w:val="%9"/>
      <w:lvlJc w:val="left"/>
      <w:pPr>
        <w:ind w:left="648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abstractNum>
  <w:abstractNum w:abstractNumId="10" w15:restartNumberingAfterBreak="0">
    <w:nsid w:val="2DEB514A"/>
    <w:multiLevelType w:val="hybridMultilevel"/>
    <w:tmpl w:val="7B42F3E6"/>
    <w:lvl w:ilvl="0" w:tplc="438CB0D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554B1F2">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9CA06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88A0C2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832D0A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3C053E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4C032B4">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3865D8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BA67338">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8B6815"/>
    <w:multiLevelType w:val="hybridMultilevel"/>
    <w:tmpl w:val="7E88B8BA"/>
    <w:lvl w:ilvl="0" w:tplc="57548F1A">
      <w:start w:val="1"/>
      <w:numFmt w:val="bullet"/>
      <w:lvlText w:val="-"/>
      <w:lvlJc w:val="left"/>
      <w:pPr>
        <w:ind w:left="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6AEF1C">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FE7DD2">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CC0D88">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742C98">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8EB570">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6E737C">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B47BAE">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10A706">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353668"/>
    <w:multiLevelType w:val="hybridMultilevel"/>
    <w:tmpl w:val="FA38DE80"/>
    <w:lvl w:ilvl="0" w:tplc="81F03A14">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FA7356">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96F88A">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F6B86C">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14A3C4">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FE74B4">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E8862E">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88D7A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6ED130">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DA48BA"/>
    <w:multiLevelType w:val="hybridMultilevel"/>
    <w:tmpl w:val="B5ACFA92"/>
    <w:lvl w:ilvl="0" w:tplc="4E3267DC">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AAF78">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590E12E">
      <w:start w:val="1"/>
      <w:numFmt w:val="bullet"/>
      <w:lvlText w:val="▪"/>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66093A6">
      <w:start w:val="1"/>
      <w:numFmt w:val="bullet"/>
      <w:lvlText w:val="•"/>
      <w:lvlJc w:val="left"/>
      <w:pPr>
        <w:ind w:left="2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0EEF63E">
      <w:start w:val="1"/>
      <w:numFmt w:val="bullet"/>
      <w:lvlText w:val="o"/>
      <w:lvlJc w:val="left"/>
      <w:pPr>
        <w:ind w:left="3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DACD9C8">
      <w:start w:val="1"/>
      <w:numFmt w:val="bullet"/>
      <w:lvlText w:val="▪"/>
      <w:lvlJc w:val="left"/>
      <w:pPr>
        <w:ind w:left="4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87A2C8C">
      <w:start w:val="1"/>
      <w:numFmt w:val="bullet"/>
      <w:lvlText w:val="•"/>
      <w:lvlJc w:val="left"/>
      <w:pPr>
        <w:ind w:left="4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6066862">
      <w:start w:val="1"/>
      <w:numFmt w:val="bullet"/>
      <w:lvlText w:val="o"/>
      <w:lvlJc w:val="left"/>
      <w:pPr>
        <w:ind w:left="5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DD0541C">
      <w:start w:val="1"/>
      <w:numFmt w:val="bullet"/>
      <w:lvlText w:val="▪"/>
      <w:lvlJc w:val="left"/>
      <w:pPr>
        <w:ind w:left="62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324240"/>
    <w:multiLevelType w:val="hybridMultilevel"/>
    <w:tmpl w:val="BCBCEA7C"/>
    <w:lvl w:ilvl="0" w:tplc="279CEDB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6678F8">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D4ADA2">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EA92CE">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3ADD6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54F37C">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ACD8A">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38D4DE">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2C4216">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EAE6899"/>
    <w:multiLevelType w:val="hybridMultilevel"/>
    <w:tmpl w:val="298EA8A0"/>
    <w:lvl w:ilvl="0" w:tplc="7F4868A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785618">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309704">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0E9842">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7CA86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C6812C">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20AD60">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7ED388">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629BD8">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7F25B3"/>
    <w:multiLevelType w:val="hybridMultilevel"/>
    <w:tmpl w:val="EB582DF2"/>
    <w:lvl w:ilvl="0" w:tplc="00CAC42C">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4A2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AD46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A1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4507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565BF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386C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16ABE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A88F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C15E2B"/>
    <w:multiLevelType w:val="hybridMultilevel"/>
    <w:tmpl w:val="B7420584"/>
    <w:lvl w:ilvl="0" w:tplc="00BC99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42A1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3E8E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1A1E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6B75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84FD2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0892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FE040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24B38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6F0F25"/>
    <w:multiLevelType w:val="hybridMultilevel"/>
    <w:tmpl w:val="3E9409D6"/>
    <w:lvl w:ilvl="0" w:tplc="B4780E6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D36A44A">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3821D7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CB0920A">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E98D83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4A80A3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7CDA5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F1833F4">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13EBBC8">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B56B86"/>
    <w:multiLevelType w:val="hybridMultilevel"/>
    <w:tmpl w:val="9412DBA4"/>
    <w:lvl w:ilvl="0" w:tplc="9B64D0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48431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62A61C">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AC36B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54587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00CB9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AC629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4C8C2">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46024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E72B30"/>
    <w:multiLevelType w:val="hybridMultilevel"/>
    <w:tmpl w:val="1DF6D7C4"/>
    <w:lvl w:ilvl="0" w:tplc="110093AC">
      <w:start w:val="1"/>
      <w:numFmt w:val="bullet"/>
      <w:lvlText w:val="-"/>
      <w:lvlJc w:val="left"/>
      <w:pPr>
        <w:ind w:left="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6E0B42">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5EF7DE">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7C1FFA">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10433C">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BA55FA">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BEA790">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542852">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C2BC22">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9F7B09"/>
    <w:multiLevelType w:val="hybridMultilevel"/>
    <w:tmpl w:val="DD06E98E"/>
    <w:lvl w:ilvl="0" w:tplc="92346D0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2C3B8E">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0E12F8">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D206D8">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0AFE2A">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8EAFA8">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F62654">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7CD82A">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842CE4">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1A681B"/>
    <w:multiLevelType w:val="hybridMultilevel"/>
    <w:tmpl w:val="48F8C87C"/>
    <w:lvl w:ilvl="0" w:tplc="BC3E4986">
      <w:start w:val="1"/>
      <w:numFmt w:val="bullet"/>
      <w:lvlText w:val="-"/>
      <w:lvlJc w:val="left"/>
      <w:pPr>
        <w:ind w:left="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C64D94">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4E5EEA">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56442A">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B4D06E">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B4F510">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782650">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80897E">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4EC260">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FF503E"/>
    <w:multiLevelType w:val="hybridMultilevel"/>
    <w:tmpl w:val="428203E8"/>
    <w:lvl w:ilvl="0" w:tplc="44721C9C">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9CF5EE">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328F20">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7A4C0A">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22D418">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38D404">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360DB2">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107050">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84708E">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62A20E7"/>
    <w:multiLevelType w:val="hybridMultilevel"/>
    <w:tmpl w:val="CB66873A"/>
    <w:lvl w:ilvl="0" w:tplc="3B14C0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45E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601E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904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14D3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0AA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60AC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B8AB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CED2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594930"/>
    <w:multiLevelType w:val="hybridMultilevel"/>
    <w:tmpl w:val="D060AC58"/>
    <w:lvl w:ilvl="0" w:tplc="270699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C75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8686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7257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CC5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8D6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2AE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320F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7E2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25"/>
  </w:num>
  <w:num w:numId="4">
    <w:abstractNumId w:val="16"/>
  </w:num>
  <w:num w:numId="5">
    <w:abstractNumId w:val="2"/>
  </w:num>
  <w:num w:numId="6">
    <w:abstractNumId w:val="9"/>
  </w:num>
  <w:num w:numId="7">
    <w:abstractNumId w:val="17"/>
  </w:num>
  <w:num w:numId="8">
    <w:abstractNumId w:val="13"/>
  </w:num>
  <w:num w:numId="9">
    <w:abstractNumId w:val="3"/>
  </w:num>
  <w:num w:numId="10">
    <w:abstractNumId w:val="24"/>
  </w:num>
  <w:num w:numId="11">
    <w:abstractNumId w:val="10"/>
  </w:num>
  <w:num w:numId="12">
    <w:abstractNumId w:val="18"/>
  </w:num>
  <w:num w:numId="13">
    <w:abstractNumId w:val="14"/>
  </w:num>
  <w:num w:numId="14">
    <w:abstractNumId w:val="21"/>
  </w:num>
  <w:num w:numId="15">
    <w:abstractNumId w:val="15"/>
  </w:num>
  <w:num w:numId="16">
    <w:abstractNumId w:val="7"/>
  </w:num>
  <w:num w:numId="17">
    <w:abstractNumId w:val="19"/>
  </w:num>
  <w:num w:numId="18">
    <w:abstractNumId w:val="22"/>
  </w:num>
  <w:num w:numId="19">
    <w:abstractNumId w:val="11"/>
  </w:num>
  <w:num w:numId="20">
    <w:abstractNumId w:val="5"/>
  </w:num>
  <w:num w:numId="21">
    <w:abstractNumId w:val="1"/>
  </w:num>
  <w:num w:numId="22">
    <w:abstractNumId w:val="0"/>
  </w:num>
  <w:num w:numId="23">
    <w:abstractNumId w:val="20"/>
  </w:num>
  <w:num w:numId="24">
    <w:abstractNumId w:val="4"/>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C5"/>
    <w:rsid w:val="0001720A"/>
    <w:rsid w:val="00187181"/>
    <w:rsid w:val="00236EEA"/>
    <w:rsid w:val="002C3D5E"/>
    <w:rsid w:val="004370B9"/>
    <w:rsid w:val="00823E9A"/>
    <w:rsid w:val="00832D78"/>
    <w:rsid w:val="00840AB4"/>
    <w:rsid w:val="008D3753"/>
    <w:rsid w:val="009E675E"/>
    <w:rsid w:val="00AE39EE"/>
    <w:rsid w:val="00C707C5"/>
    <w:rsid w:val="00D77B47"/>
    <w:rsid w:val="00DA40AC"/>
    <w:rsid w:val="00F9438C"/>
    <w:rsid w:val="00FF5E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E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68"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0" w:line="256" w:lineRule="auto"/>
      <w:ind w:left="3732" w:hanging="3521"/>
      <w:outlineLvl w:val="0"/>
    </w:pPr>
    <w:rPr>
      <w:rFonts w:ascii="Times New Roman" w:eastAsia="Times New Roman" w:hAnsi="Times New Roman" w:cs="Times New Roman"/>
      <w:b/>
      <w:color w:val="000000"/>
      <w:sz w:val="36"/>
    </w:rPr>
  </w:style>
  <w:style w:type="paragraph" w:styleId="Nadpis2">
    <w:name w:val="heading 2"/>
    <w:next w:val="Normlny"/>
    <w:link w:val="Nadpis2Char"/>
    <w:uiPriority w:val="9"/>
    <w:unhideWhenUsed/>
    <w:qFormat/>
    <w:pPr>
      <w:keepNext/>
      <w:keepLines/>
      <w:spacing w:after="4" w:line="258" w:lineRule="auto"/>
      <w:ind w:left="1450" w:hanging="10"/>
      <w:jc w:val="both"/>
      <w:outlineLvl w:val="1"/>
    </w:pPr>
    <w:rPr>
      <w:rFonts w:ascii="Times New Roman" w:eastAsia="Times New Roman" w:hAnsi="Times New Roman" w:cs="Times New Roman"/>
      <w:color w:val="2E74B5"/>
      <w:sz w:val="26"/>
    </w:rPr>
  </w:style>
  <w:style w:type="paragraph" w:styleId="Nadpis3">
    <w:name w:val="heading 3"/>
    <w:next w:val="Normlny"/>
    <w:link w:val="Nadpis3Char"/>
    <w:uiPriority w:val="9"/>
    <w:unhideWhenUsed/>
    <w:qFormat/>
    <w:pPr>
      <w:keepNext/>
      <w:keepLines/>
      <w:spacing w:after="4" w:line="258" w:lineRule="auto"/>
      <w:ind w:left="1450" w:hanging="10"/>
      <w:jc w:val="both"/>
      <w:outlineLvl w:val="2"/>
    </w:pPr>
    <w:rPr>
      <w:rFonts w:ascii="Times New Roman" w:eastAsia="Times New Roman" w:hAnsi="Times New Roman" w:cs="Times New Roman"/>
      <w:color w:val="2E74B5"/>
      <w:sz w:val="26"/>
    </w:rPr>
  </w:style>
  <w:style w:type="paragraph" w:styleId="Nadpis4">
    <w:name w:val="heading 4"/>
    <w:next w:val="Normlny"/>
    <w:link w:val="Nadpis4Char"/>
    <w:uiPriority w:val="9"/>
    <w:unhideWhenUsed/>
    <w:qFormat/>
    <w:pPr>
      <w:keepNext/>
      <w:keepLines/>
      <w:spacing w:after="0"/>
      <w:ind w:left="1450" w:hanging="10"/>
      <w:jc w:val="right"/>
      <w:outlineLvl w:val="3"/>
    </w:pPr>
    <w:rPr>
      <w:rFonts w:ascii="Times New Roman" w:eastAsia="Times New Roman" w:hAnsi="Times New Roman" w:cs="Times New Roman"/>
      <w:color w:val="2E74B5"/>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2E74B5"/>
      <w:sz w:val="26"/>
    </w:rPr>
  </w:style>
  <w:style w:type="character" w:customStyle="1" w:styleId="Nadpis1Char">
    <w:name w:val="Nadpis 1 Char"/>
    <w:link w:val="Nadpis1"/>
    <w:rPr>
      <w:rFonts w:ascii="Times New Roman" w:eastAsia="Times New Roman" w:hAnsi="Times New Roman" w:cs="Times New Roman"/>
      <w:b/>
      <w:color w:val="000000"/>
      <w:sz w:val="36"/>
    </w:rPr>
  </w:style>
  <w:style w:type="character" w:customStyle="1" w:styleId="Nadpis4Char">
    <w:name w:val="Nadpis 4 Char"/>
    <w:link w:val="Nadpis4"/>
    <w:rPr>
      <w:rFonts w:ascii="Times New Roman" w:eastAsia="Times New Roman" w:hAnsi="Times New Roman" w:cs="Times New Roman"/>
      <w:color w:val="2E74B5"/>
      <w:sz w:val="26"/>
    </w:rPr>
  </w:style>
  <w:style w:type="character" w:customStyle="1" w:styleId="Nadpis3Char">
    <w:name w:val="Nadpis 3 Char"/>
    <w:link w:val="Nadpis3"/>
    <w:rPr>
      <w:rFonts w:ascii="Times New Roman" w:eastAsia="Times New Roman" w:hAnsi="Times New Roman" w:cs="Times New Roman"/>
      <w:color w:val="2E74B5"/>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943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38C"/>
    <w:rPr>
      <w:rFonts w:ascii="Times New Roman" w:eastAsia="Times New Roman" w:hAnsi="Times New Roman" w:cs="Times New Roman"/>
      <w:color w:val="000000"/>
    </w:rPr>
  </w:style>
  <w:style w:type="paragraph" w:styleId="Pta">
    <w:name w:val="footer"/>
    <w:basedOn w:val="Normlny"/>
    <w:link w:val="PtaChar"/>
    <w:uiPriority w:val="99"/>
    <w:semiHidden/>
    <w:unhideWhenUsed/>
    <w:rsid w:val="00F9438C"/>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F9438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3578</Words>
  <Characters>20401</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2022-12-13T10:01:00Z</dcterms:created>
  <dcterms:modified xsi:type="dcterms:W3CDTF">2022-12-13T10:02:00Z</dcterms:modified>
</cp:coreProperties>
</file>