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Psychiatrická nemocnica Philippa Pinela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t xml:space="preserve">neplatca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52304BB1" w:rsidR="00A57C67" w:rsidRDefault="00A57C67" w:rsidP="00EB70B3">
      <w:pPr>
        <w:numPr>
          <w:ilvl w:val="1"/>
          <w:numId w:val="7"/>
        </w:numPr>
        <w:pBdr>
          <w:top w:val="nil"/>
          <w:left w:val="nil"/>
          <w:bottom w:val="nil"/>
          <w:right w:val="nil"/>
          <w:between w:val="nil"/>
        </w:pBdr>
        <w:spacing w:before="240" w:after="0"/>
        <w:ind w:left="567" w:hanging="567"/>
        <w:jc w:val="both"/>
        <w:rPr>
          <w:b/>
          <w:color w:val="000000"/>
          <w:sz w:val="20"/>
          <w:szCs w:val="20"/>
        </w:rPr>
      </w:pPr>
      <w:r>
        <w:rPr>
          <w:color w:val="000000"/>
          <w:sz w:val="20"/>
          <w:szCs w:val="20"/>
        </w:rPr>
        <w:t>Táto zmluva sa uzatvára ako výsledok verejného obstarávania v zmysle zákona č. 343/2015 Z.z. o verejnom obstarávaní a o zmene a doplnení niektorých zákonov v znení neskorších predpisov (ďalej len „zákon o verejnom obstarávaní“)</w:t>
      </w:r>
      <w:r w:rsidR="00254D42">
        <w:rPr>
          <w:color w:val="000000"/>
          <w:sz w:val="20"/>
          <w:szCs w:val="20"/>
        </w:rPr>
        <w:t>.</w:t>
      </w:r>
      <w:r>
        <w:rPr>
          <w:color w:val="000000"/>
          <w:sz w:val="20"/>
          <w:szCs w:val="20"/>
        </w:rPr>
        <w:t xml:space="preserve">. </w:t>
      </w:r>
    </w:p>
    <w:p w14:paraId="73049440" w14:textId="77777777" w:rsidR="00A57C67" w:rsidRPr="00FB7275" w:rsidRDefault="00A57C67" w:rsidP="00EB70B3">
      <w:pPr>
        <w:numPr>
          <w:ilvl w:val="1"/>
          <w:numId w:val="7"/>
        </w:numPr>
        <w:pBdr>
          <w:top w:val="nil"/>
          <w:left w:val="nil"/>
          <w:bottom w:val="nil"/>
          <w:right w:val="nil"/>
          <w:between w:val="nil"/>
        </w:pBdr>
        <w:spacing w:before="240" w:after="0"/>
        <w:ind w:left="567" w:hanging="567"/>
        <w:jc w:val="both"/>
        <w:rPr>
          <w:rFonts w:asciiTheme="minorHAnsi" w:hAnsiTheme="minorHAnsi" w:cstheme="minorHAnsi"/>
          <w:b/>
          <w:color w:val="000000"/>
          <w:sz w:val="20"/>
          <w:szCs w:val="20"/>
        </w:rPr>
      </w:pPr>
      <w:r>
        <w:rPr>
          <w:rFonts w:asciiTheme="minorHAnsi" w:hAnsiTheme="minorHAnsi" w:cstheme="minorHAnsi"/>
          <w:sz w:val="20"/>
          <w:szCs w:val="20"/>
        </w:rPr>
        <w:lastRenderedPageBreak/>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77777777" w:rsidR="00A57C67" w:rsidRPr="00FB7275" w:rsidRDefault="00A57C67" w:rsidP="00EB70B3">
      <w:pPr>
        <w:numPr>
          <w:ilvl w:val="1"/>
          <w:numId w:val="9"/>
        </w:numPr>
        <w:pBdr>
          <w:top w:val="nil"/>
          <w:left w:val="nil"/>
          <w:bottom w:val="nil"/>
          <w:right w:val="nil"/>
          <w:between w:val="nil"/>
        </w:pBdr>
        <w:ind w:left="567" w:hanging="567"/>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„Chlieb a pečivo“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EB70B3">
      <w:pPr>
        <w:spacing w:after="0" w:line="240" w:lineRule="auto"/>
        <w:ind w:left="567" w:hanging="567"/>
        <w:jc w:val="both"/>
        <w:rPr>
          <w:rFonts w:asciiTheme="minorHAnsi" w:hAnsiTheme="minorHAnsi" w:cstheme="minorHAnsi"/>
          <w:color w:val="000000"/>
          <w:sz w:val="20"/>
          <w:szCs w:val="20"/>
        </w:rPr>
      </w:pPr>
    </w:p>
    <w:p w14:paraId="32B5E3EC" w14:textId="77777777" w:rsidR="00A57C67" w:rsidRPr="00FB7275" w:rsidRDefault="00A57C67" w:rsidP="00EB70B3">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EB70B3">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EB70B3">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EB70B3">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EB70B3">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EB70B3">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EB70B3">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EB70B3">
      <w:p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EB70B3">
      <w:p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EB70B3">
      <w:pPr>
        <w:pStyle w:val="Odsekzoznamu"/>
        <w:numPr>
          <w:ilvl w:val="0"/>
          <w:numId w:val="13"/>
        </w:num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EB70B3">
      <w:p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t.j.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EB70B3">
      <w:pPr>
        <w:pStyle w:val="Odsekzoznamu"/>
        <w:numPr>
          <w:ilvl w:val="0"/>
          <w:numId w:val="13"/>
        </w:num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EB70B3">
      <w:pPr>
        <w:spacing w:after="0" w:line="240" w:lineRule="auto"/>
        <w:ind w:left="567" w:hanging="567"/>
        <w:jc w:val="both"/>
        <w:rPr>
          <w:rFonts w:asciiTheme="minorHAnsi" w:hAnsiTheme="minorHAnsi" w:cstheme="minorHAnsi"/>
          <w:sz w:val="20"/>
          <w:szCs w:val="20"/>
        </w:rPr>
      </w:pPr>
    </w:p>
    <w:p w14:paraId="52B08C61" w14:textId="77777777" w:rsidR="00A57C67" w:rsidRPr="00FB7275" w:rsidRDefault="00A57C67" w:rsidP="00EB70B3">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 xml:space="preserve">bjednávku bez zbytočného odkladu (t.j.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EB70B3">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p>
    <w:p w14:paraId="3D892A1C" w14:textId="77777777" w:rsidR="00A57C67" w:rsidRPr="00FB7275" w:rsidRDefault="00A57C67" w:rsidP="00EB70B3">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EB70B3">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EB70B3">
      <w:pPr>
        <w:pStyle w:val="Odsekzoznamu"/>
        <w:numPr>
          <w:ilvl w:val="0"/>
          <w:numId w:val="10"/>
        </w:numPr>
        <w:pBdr>
          <w:top w:val="nil"/>
          <w:left w:val="nil"/>
          <w:bottom w:val="nil"/>
          <w:right w:val="nil"/>
          <w:between w:val="nil"/>
        </w:pBdr>
        <w:spacing w:after="0"/>
        <w:ind w:left="567" w:hanging="567"/>
        <w:contextualSpacing w:val="0"/>
        <w:jc w:val="both"/>
        <w:rPr>
          <w:rFonts w:asciiTheme="minorHAnsi" w:hAnsiTheme="minorHAnsi" w:cstheme="minorHAnsi"/>
          <w:vanish/>
          <w:color w:val="000000"/>
          <w:sz w:val="20"/>
          <w:szCs w:val="20"/>
        </w:rPr>
      </w:pPr>
    </w:p>
    <w:p w14:paraId="670ECA11" w14:textId="77777777" w:rsidR="00A57C67" w:rsidRPr="00FE5062" w:rsidRDefault="00A57C67" w:rsidP="00EB70B3">
      <w:pPr>
        <w:pStyle w:val="Odsekzoznamu"/>
        <w:numPr>
          <w:ilvl w:val="0"/>
          <w:numId w:val="10"/>
        </w:numPr>
        <w:pBdr>
          <w:top w:val="nil"/>
          <w:left w:val="nil"/>
          <w:bottom w:val="nil"/>
          <w:right w:val="nil"/>
          <w:between w:val="nil"/>
        </w:pBdr>
        <w:spacing w:after="0"/>
        <w:ind w:left="567" w:hanging="567"/>
        <w:contextualSpacing w:val="0"/>
        <w:jc w:val="both"/>
        <w:rPr>
          <w:rFonts w:asciiTheme="minorHAnsi" w:hAnsiTheme="minorHAnsi" w:cstheme="minorHAnsi"/>
          <w:vanish/>
          <w:color w:val="000000"/>
          <w:sz w:val="20"/>
          <w:szCs w:val="20"/>
        </w:rPr>
      </w:pPr>
    </w:p>
    <w:p w14:paraId="3D6AE769" w14:textId="77777777" w:rsidR="00A57C67" w:rsidRPr="00FE5062" w:rsidRDefault="00A57C67" w:rsidP="00EB70B3">
      <w:pPr>
        <w:pStyle w:val="Odsekzoznamu"/>
        <w:numPr>
          <w:ilvl w:val="0"/>
          <w:numId w:val="10"/>
        </w:numPr>
        <w:pBdr>
          <w:top w:val="nil"/>
          <w:left w:val="nil"/>
          <w:bottom w:val="nil"/>
          <w:right w:val="nil"/>
          <w:between w:val="nil"/>
        </w:pBdr>
        <w:spacing w:after="0"/>
        <w:ind w:left="567" w:hanging="567"/>
        <w:contextualSpacing w:val="0"/>
        <w:jc w:val="both"/>
        <w:rPr>
          <w:rFonts w:asciiTheme="minorHAnsi" w:hAnsiTheme="minorHAnsi" w:cstheme="minorHAnsi"/>
          <w:vanish/>
          <w:color w:val="000000"/>
          <w:sz w:val="20"/>
          <w:szCs w:val="20"/>
        </w:rPr>
      </w:pPr>
    </w:p>
    <w:p w14:paraId="493C7CF0" w14:textId="77777777" w:rsidR="00A57C67" w:rsidRDefault="00A57C67" w:rsidP="00EB70B3">
      <w:pPr>
        <w:numPr>
          <w:ilvl w:val="1"/>
          <w:numId w:val="10"/>
        </w:numPr>
        <w:pBdr>
          <w:top w:val="nil"/>
          <w:left w:val="nil"/>
          <w:bottom w:val="nil"/>
          <w:right w:val="nil"/>
          <w:between w:val="nil"/>
        </w:pBdr>
        <w:spacing w:after="0"/>
        <w:ind w:left="567" w:hanging="567"/>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EB70B3">
      <w:pPr>
        <w:pBdr>
          <w:top w:val="nil"/>
          <w:left w:val="nil"/>
          <w:bottom w:val="nil"/>
          <w:right w:val="nil"/>
          <w:between w:val="nil"/>
        </w:pBdr>
        <w:spacing w:after="0"/>
        <w:ind w:left="567" w:hanging="567"/>
        <w:jc w:val="both"/>
        <w:rPr>
          <w:color w:val="000000"/>
          <w:sz w:val="20"/>
          <w:szCs w:val="20"/>
        </w:rPr>
      </w:pPr>
    </w:p>
    <w:p w14:paraId="66B988A3" w14:textId="77777777" w:rsidR="00A57C67" w:rsidRDefault="00A57C67" w:rsidP="00EB70B3">
      <w:pPr>
        <w:numPr>
          <w:ilvl w:val="1"/>
          <w:numId w:val="10"/>
        </w:numPr>
        <w:pBdr>
          <w:top w:val="nil"/>
          <w:left w:val="nil"/>
          <w:bottom w:val="nil"/>
          <w:right w:val="nil"/>
          <w:between w:val="nil"/>
        </w:pBdr>
        <w:spacing w:after="0"/>
        <w:ind w:left="567" w:hanging="567"/>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EB70B3">
      <w:pPr>
        <w:pBdr>
          <w:top w:val="nil"/>
          <w:left w:val="nil"/>
          <w:bottom w:val="nil"/>
          <w:right w:val="nil"/>
          <w:between w:val="nil"/>
        </w:pBdr>
        <w:spacing w:after="0"/>
        <w:ind w:left="567" w:hanging="567"/>
        <w:jc w:val="both"/>
        <w:rPr>
          <w:color w:val="000000"/>
          <w:sz w:val="20"/>
          <w:szCs w:val="20"/>
        </w:rPr>
      </w:pPr>
    </w:p>
    <w:p w14:paraId="1A319282" w14:textId="77777777" w:rsidR="00A57C67" w:rsidRDefault="00A57C67" w:rsidP="00EB70B3">
      <w:pPr>
        <w:numPr>
          <w:ilvl w:val="1"/>
          <w:numId w:val="10"/>
        </w:numPr>
        <w:pBdr>
          <w:top w:val="nil"/>
          <w:left w:val="nil"/>
          <w:bottom w:val="nil"/>
          <w:right w:val="nil"/>
          <w:between w:val="nil"/>
        </w:pBdr>
        <w:spacing w:after="0"/>
        <w:ind w:left="567" w:hanging="567"/>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77777777" w:rsidR="00A57C67" w:rsidRDefault="00A57C67" w:rsidP="00A57C67">
      <w:pPr>
        <w:numPr>
          <w:ilvl w:val="1"/>
          <w:numId w:val="10"/>
        </w:numPr>
        <w:pBdr>
          <w:top w:val="nil"/>
          <w:left w:val="nil"/>
          <w:bottom w:val="nil"/>
          <w:right w:val="nil"/>
          <w:between w:val="nil"/>
        </w:pBdr>
        <w:spacing w:after="0"/>
        <w:ind w:left="567" w:hanging="567"/>
        <w:jc w:val="both"/>
        <w:rPr>
          <w:color w:val="000000"/>
          <w:sz w:val="20"/>
          <w:szCs w:val="20"/>
        </w:rPr>
      </w:pPr>
      <w:r w:rsidRPr="007F1463">
        <w:rPr>
          <w:color w:val="000000"/>
          <w:sz w:val="20"/>
          <w:szCs w:val="20"/>
        </w:rPr>
        <w:t xml:space="preserve">Potravinárske výrobky </w:t>
      </w:r>
      <w:r>
        <w:rPr>
          <w:color w:val="000000"/>
          <w:sz w:val="20"/>
          <w:szCs w:val="20"/>
        </w:rPr>
        <w:t>je predávajúci povinný dodávať</w:t>
      </w:r>
      <w:r w:rsidRPr="007F1463">
        <w:rPr>
          <w:color w:val="000000"/>
          <w:sz w:val="20"/>
          <w:szCs w:val="20"/>
        </w:rPr>
        <w:t xml:space="preserve"> denne, v čase do 06:00 hod,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567" w:hanging="567"/>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Kontaktnou osobou kupujúceho je: Bc. Lydia Sílešová, </w:t>
      </w:r>
      <w:hyperlink r:id="rId6">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567" w:hanging="567"/>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ind w:left="567" w:hanging="567"/>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567" w:hanging="567"/>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ind w:left="567" w:hanging="567"/>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567" w:hanging="567"/>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ind w:left="567" w:hanging="567"/>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567" w:hanging="567"/>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ind w:left="567" w:hanging="567"/>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567" w:hanging="567"/>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06CF0DBC" w14:textId="77777777" w:rsidR="00A57C67" w:rsidRPr="00EB70B3" w:rsidRDefault="00A57C67" w:rsidP="00EB70B3">
      <w:pPr>
        <w:numPr>
          <w:ilvl w:val="1"/>
          <w:numId w:val="10"/>
        </w:numPr>
        <w:pBdr>
          <w:top w:val="nil"/>
          <w:left w:val="nil"/>
          <w:bottom w:val="nil"/>
          <w:right w:val="nil"/>
          <w:between w:val="nil"/>
        </w:pBdr>
        <w:spacing w:after="0"/>
        <w:ind w:left="567" w:hanging="567"/>
        <w:jc w:val="both"/>
        <w:rPr>
          <w:color w:val="000000"/>
          <w:sz w:val="20"/>
          <w:szCs w:val="20"/>
        </w:rPr>
      </w:pPr>
      <w:r w:rsidRPr="00EB70B3">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77777777" w:rsidR="00A57C67" w:rsidRPr="00F23C02" w:rsidRDefault="00A57C67" w:rsidP="00EB70B3">
      <w:pPr>
        <w:pStyle w:val="Default"/>
        <w:ind w:left="567"/>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EB70B3">
      <w:pPr>
        <w:pStyle w:val="Default"/>
        <w:ind w:left="567"/>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EB70B3">
      <w:pPr>
        <w:pStyle w:val="Default"/>
        <w:ind w:left="567"/>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EB70B3">
      <w:pPr>
        <w:pStyle w:val="Default"/>
        <w:ind w:left="567"/>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567" w:hanging="567"/>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ind w:left="567" w:hanging="567"/>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213E22">
      <w:pPr>
        <w:pBdr>
          <w:top w:val="nil"/>
          <w:left w:val="nil"/>
          <w:bottom w:val="nil"/>
          <w:right w:val="nil"/>
          <w:between w:val="nil"/>
        </w:pBdr>
        <w:spacing w:after="0"/>
        <w:ind w:left="567" w:hanging="567"/>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ind w:left="567" w:hanging="567"/>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ind w:left="567" w:hanging="567"/>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EB70B3">
      <w:pPr>
        <w:pBdr>
          <w:top w:val="nil"/>
          <w:left w:val="nil"/>
          <w:bottom w:val="nil"/>
          <w:right w:val="nil"/>
          <w:between w:val="nil"/>
        </w:pBdr>
        <w:spacing w:after="0"/>
        <w:ind w:left="567" w:hanging="567"/>
        <w:rPr>
          <w:color w:val="000000"/>
          <w:sz w:val="20"/>
          <w:szCs w:val="20"/>
        </w:rPr>
      </w:pPr>
    </w:p>
    <w:p w14:paraId="67A2FBDD"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Maximálna zmluvná cena rámcovej dohody je stanovená na:</w:t>
      </w:r>
    </w:p>
    <w:p w14:paraId="72A53AE7" w14:textId="77777777" w:rsidR="00A57C67" w:rsidRDefault="00A57C67" w:rsidP="006A1987">
      <w:pPr>
        <w:pBdr>
          <w:top w:val="nil"/>
          <w:left w:val="nil"/>
          <w:bottom w:val="nil"/>
          <w:right w:val="nil"/>
          <w:between w:val="nil"/>
        </w:pBdr>
        <w:spacing w:after="0"/>
        <w:ind w:left="567" w:firstLine="142"/>
        <w:jc w:val="both"/>
        <w:rPr>
          <w:b/>
          <w:color w:val="000000"/>
          <w:sz w:val="20"/>
          <w:szCs w:val="20"/>
        </w:rPr>
      </w:pPr>
      <w:r>
        <w:rPr>
          <w:b/>
          <w:color w:val="000000"/>
          <w:sz w:val="20"/>
          <w:szCs w:val="20"/>
        </w:rPr>
        <w:t>- EUR bez DPH</w:t>
      </w:r>
    </w:p>
    <w:p w14:paraId="47D1A628" w14:textId="77777777" w:rsidR="00A57C67" w:rsidRDefault="00A57C67" w:rsidP="006A1987">
      <w:pPr>
        <w:pBdr>
          <w:top w:val="nil"/>
          <w:left w:val="nil"/>
          <w:bottom w:val="nil"/>
          <w:right w:val="nil"/>
          <w:between w:val="nil"/>
        </w:pBdr>
        <w:spacing w:after="0"/>
        <w:ind w:left="567" w:firstLine="142"/>
        <w:jc w:val="both"/>
        <w:rPr>
          <w:b/>
          <w:color w:val="000000"/>
          <w:sz w:val="20"/>
          <w:szCs w:val="20"/>
        </w:rPr>
      </w:pPr>
      <w:r>
        <w:rPr>
          <w:b/>
          <w:color w:val="000000"/>
          <w:sz w:val="20"/>
          <w:szCs w:val="20"/>
        </w:rPr>
        <w:t>- EUR s DPH.</w:t>
      </w:r>
    </w:p>
    <w:p w14:paraId="50E01848" w14:textId="77777777" w:rsidR="00A57C67" w:rsidRDefault="00A57C67" w:rsidP="00EB70B3">
      <w:pPr>
        <w:spacing w:after="0"/>
        <w:ind w:left="567" w:hanging="567"/>
        <w:jc w:val="both"/>
        <w:rPr>
          <w:sz w:val="20"/>
          <w:szCs w:val="20"/>
        </w:rPr>
      </w:pPr>
    </w:p>
    <w:p w14:paraId="4010747F"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EB70B3">
      <w:pPr>
        <w:pBdr>
          <w:top w:val="nil"/>
          <w:left w:val="nil"/>
          <w:bottom w:val="nil"/>
          <w:right w:val="nil"/>
          <w:between w:val="nil"/>
        </w:pBdr>
        <w:spacing w:after="0"/>
        <w:ind w:left="567" w:hanging="567"/>
        <w:jc w:val="both"/>
        <w:rPr>
          <w:color w:val="000000"/>
          <w:sz w:val="20"/>
          <w:szCs w:val="20"/>
        </w:rPr>
      </w:pPr>
    </w:p>
    <w:p w14:paraId="30CA4D56"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EB70B3">
      <w:pPr>
        <w:pBdr>
          <w:top w:val="nil"/>
          <w:left w:val="nil"/>
          <w:bottom w:val="nil"/>
          <w:right w:val="nil"/>
          <w:between w:val="nil"/>
        </w:pBdr>
        <w:spacing w:after="0"/>
        <w:ind w:left="567" w:hanging="567"/>
        <w:jc w:val="both"/>
        <w:rPr>
          <w:color w:val="000000"/>
          <w:sz w:val="20"/>
          <w:szCs w:val="20"/>
        </w:rPr>
      </w:pPr>
    </w:p>
    <w:p w14:paraId="61861C8B"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EB70B3">
      <w:pPr>
        <w:pBdr>
          <w:top w:val="nil"/>
          <w:left w:val="nil"/>
          <w:bottom w:val="nil"/>
          <w:right w:val="nil"/>
          <w:between w:val="nil"/>
        </w:pBdr>
        <w:spacing w:after="0"/>
        <w:ind w:left="567" w:hanging="567"/>
        <w:rPr>
          <w:color w:val="000000"/>
          <w:sz w:val="20"/>
          <w:szCs w:val="20"/>
        </w:rPr>
      </w:pPr>
    </w:p>
    <w:p w14:paraId="6F27A6A7"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EB70B3">
      <w:pPr>
        <w:pBdr>
          <w:top w:val="nil"/>
          <w:left w:val="nil"/>
          <w:bottom w:val="nil"/>
          <w:right w:val="nil"/>
          <w:between w:val="nil"/>
        </w:pBdr>
        <w:spacing w:after="0"/>
        <w:ind w:left="567" w:hanging="567"/>
        <w:rPr>
          <w:color w:val="000000"/>
          <w:sz w:val="20"/>
          <w:szCs w:val="20"/>
        </w:rPr>
      </w:pPr>
    </w:p>
    <w:p w14:paraId="01444FC4"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EB70B3">
      <w:pPr>
        <w:pBdr>
          <w:top w:val="nil"/>
          <w:left w:val="nil"/>
          <w:bottom w:val="nil"/>
          <w:right w:val="nil"/>
          <w:between w:val="nil"/>
        </w:pBdr>
        <w:spacing w:after="0"/>
        <w:ind w:left="567" w:hanging="567"/>
        <w:rPr>
          <w:color w:val="000000"/>
          <w:sz w:val="20"/>
          <w:szCs w:val="20"/>
        </w:rPr>
      </w:pPr>
    </w:p>
    <w:p w14:paraId="13F12E54"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EB70B3">
      <w:pPr>
        <w:pBdr>
          <w:top w:val="nil"/>
          <w:left w:val="nil"/>
          <w:bottom w:val="nil"/>
          <w:right w:val="nil"/>
          <w:between w:val="nil"/>
        </w:pBdr>
        <w:spacing w:after="0"/>
        <w:ind w:left="567" w:hanging="567"/>
        <w:rPr>
          <w:color w:val="000000"/>
          <w:sz w:val="20"/>
          <w:szCs w:val="20"/>
        </w:rPr>
      </w:pPr>
    </w:p>
    <w:p w14:paraId="40F10DD3"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EB70B3">
      <w:pPr>
        <w:pBdr>
          <w:top w:val="nil"/>
          <w:left w:val="nil"/>
          <w:bottom w:val="nil"/>
          <w:right w:val="nil"/>
          <w:between w:val="nil"/>
        </w:pBdr>
        <w:spacing w:after="0"/>
        <w:ind w:left="567" w:hanging="567"/>
        <w:rPr>
          <w:color w:val="000000"/>
          <w:sz w:val="20"/>
          <w:szCs w:val="20"/>
        </w:rPr>
      </w:pPr>
    </w:p>
    <w:p w14:paraId="3AE970DC"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43EED">
      <w:pPr>
        <w:numPr>
          <w:ilvl w:val="0"/>
          <w:numId w:val="8"/>
        </w:numPr>
        <w:pBdr>
          <w:top w:val="nil"/>
          <w:left w:val="nil"/>
          <w:bottom w:val="nil"/>
          <w:right w:val="nil"/>
          <w:between w:val="nil"/>
        </w:pBdr>
        <w:spacing w:after="0"/>
        <w:ind w:left="1134" w:hanging="567"/>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43EED">
      <w:pPr>
        <w:numPr>
          <w:ilvl w:val="0"/>
          <w:numId w:val="8"/>
        </w:numPr>
        <w:pBdr>
          <w:top w:val="nil"/>
          <w:left w:val="nil"/>
          <w:bottom w:val="nil"/>
          <w:right w:val="nil"/>
          <w:between w:val="nil"/>
        </w:pBdr>
        <w:spacing w:after="0"/>
        <w:ind w:left="1134" w:hanging="567"/>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43EED">
      <w:pPr>
        <w:pBdr>
          <w:top w:val="nil"/>
          <w:left w:val="nil"/>
          <w:bottom w:val="nil"/>
          <w:right w:val="nil"/>
          <w:between w:val="nil"/>
        </w:pBdr>
        <w:spacing w:after="0"/>
        <w:ind w:left="1134"/>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EB70B3">
      <w:pPr>
        <w:pBdr>
          <w:top w:val="nil"/>
          <w:left w:val="nil"/>
          <w:bottom w:val="nil"/>
          <w:right w:val="nil"/>
          <w:between w:val="nil"/>
        </w:pBdr>
        <w:spacing w:after="0"/>
        <w:ind w:left="567" w:hanging="567"/>
        <w:jc w:val="both"/>
        <w:rPr>
          <w:color w:val="000000"/>
          <w:sz w:val="20"/>
          <w:szCs w:val="20"/>
        </w:rPr>
      </w:pPr>
    </w:p>
    <w:p w14:paraId="0BABF402"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EB70B3">
      <w:pPr>
        <w:pBdr>
          <w:top w:val="nil"/>
          <w:left w:val="nil"/>
          <w:bottom w:val="nil"/>
          <w:right w:val="nil"/>
          <w:between w:val="nil"/>
        </w:pBdr>
        <w:spacing w:after="0"/>
        <w:ind w:left="567" w:hanging="567"/>
        <w:rPr>
          <w:color w:val="000000"/>
          <w:sz w:val="20"/>
          <w:szCs w:val="20"/>
        </w:rPr>
      </w:pPr>
    </w:p>
    <w:p w14:paraId="08F3AE09"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EB70B3">
      <w:pPr>
        <w:pBdr>
          <w:top w:val="nil"/>
          <w:left w:val="nil"/>
          <w:bottom w:val="nil"/>
          <w:right w:val="nil"/>
          <w:between w:val="nil"/>
        </w:pBdr>
        <w:spacing w:after="0"/>
        <w:ind w:left="567" w:hanging="567"/>
        <w:rPr>
          <w:color w:val="000000"/>
          <w:sz w:val="20"/>
          <w:szCs w:val="20"/>
        </w:rPr>
      </w:pPr>
    </w:p>
    <w:p w14:paraId="4798B6C1"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Nezníženie ceny za tovar v zmysle ods. 6.10., 6.11. a 6.12 tohto čl. zmluvy bude považovať za podstatné porušenie zmluvných podmienok.</w:t>
      </w:r>
    </w:p>
    <w:p w14:paraId="48A7E8AC" w14:textId="77777777" w:rsidR="00A57C67" w:rsidRDefault="00A57C67" w:rsidP="00EB70B3">
      <w:pPr>
        <w:pBdr>
          <w:top w:val="nil"/>
          <w:left w:val="nil"/>
          <w:bottom w:val="nil"/>
          <w:right w:val="nil"/>
          <w:between w:val="nil"/>
        </w:pBdr>
        <w:spacing w:after="0"/>
        <w:ind w:left="567" w:hanging="567"/>
        <w:rPr>
          <w:color w:val="000000"/>
          <w:sz w:val="20"/>
          <w:szCs w:val="20"/>
        </w:rPr>
      </w:pPr>
    </w:p>
    <w:p w14:paraId="6C95F12A" w14:textId="77777777" w:rsidR="00A57C67" w:rsidRDefault="00A57C67" w:rsidP="00EB70B3">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EB70B3">
      <w:pPr>
        <w:pBdr>
          <w:top w:val="nil"/>
          <w:left w:val="nil"/>
          <w:bottom w:val="nil"/>
          <w:right w:val="nil"/>
          <w:between w:val="nil"/>
        </w:pBdr>
        <w:spacing w:after="0"/>
        <w:ind w:left="567" w:hanging="567"/>
        <w:jc w:val="both"/>
        <w:rPr>
          <w:color w:val="000000"/>
          <w:sz w:val="20"/>
          <w:szCs w:val="20"/>
        </w:rPr>
      </w:pPr>
    </w:p>
    <w:p w14:paraId="0D6F0C25" w14:textId="77777777" w:rsidR="00A57C67" w:rsidRDefault="00A57C67" w:rsidP="00EB70B3">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VII</w:t>
      </w:r>
    </w:p>
    <w:p w14:paraId="78319525" w14:textId="77777777" w:rsidR="00A57C67" w:rsidRDefault="00A57C67" w:rsidP="00EB70B3">
      <w:pPr>
        <w:pBdr>
          <w:top w:val="nil"/>
          <w:left w:val="nil"/>
          <w:bottom w:val="nil"/>
          <w:right w:val="nil"/>
          <w:between w:val="nil"/>
        </w:pBdr>
        <w:spacing w:after="0"/>
        <w:ind w:left="567" w:hanging="567"/>
        <w:jc w:val="center"/>
        <w:rPr>
          <w:b/>
          <w:color w:val="000000"/>
          <w:sz w:val="20"/>
          <w:szCs w:val="20"/>
        </w:rPr>
      </w:pPr>
      <w:r>
        <w:rPr>
          <w:b/>
          <w:color w:val="000000"/>
          <w:sz w:val="20"/>
          <w:szCs w:val="20"/>
        </w:rPr>
        <w:t>Doba trvania zmluvy a zánik zmluvy</w:t>
      </w:r>
    </w:p>
    <w:p w14:paraId="2133A501" w14:textId="068EFCF3" w:rsidR="00A57C67" w:rsidRDefault="00A57C67" w:rsidP="00EB70B3">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Zmluva sa uzatvára na dobu určitú, a to </w:t>
      </w:r>
      <w:r w:rsidRPr="00213E22">
        <w:rPr>
          <w:b/>
          <w:color w:val="000000"/>
          <w:sz w:val="20"/>
          <w:szCs w:val="20"/>
        </w:rPr>
        <w:t xml:space="preserve">do </w:t>
      </w:r>
      <w:r w:rsidR="00213E22" w:rsidRPr="00213E22">
        <w:rPr>
          <w:b/>
          <w:color w:val="000000"/>
          <w:sz w:val="20"/>
          <w:szCs w:val="20"/>
        </w:rPr>
        <w:t>3</w:t>
      </w:r>
      <w:r w:rsidR="00254D42">
        <w:rPr>
          <w:b/>
          <w:color w:val="000000"/>
          <w:sz w:val="20"/>
          <w:szCs w:val="20"/>
        </w:rPr>
        <w:t>0</w:t>
      </w:r>
      <w:r w:rsidR="00213E22" w:rsidRPr="00213E22">
        <w:rPr>
          <w:b/>
          <w:color w:val="000000"/>
          <w:sz w:val="20"/>
          <w:szCs w:val="20"/>
        </w:rPr>
        <w:t>.</w:t>
      </w:r>
      <w:r w:rsidR="00254D42">
        <w:rPr>
          <w:b/>
          <w:color w:val="000000"/>
          <w:sz w:val="20"/>
          <w:szCs w:val="20"/>
        </w:rPr>
        <w:t>06</w:t>
      </w:r>
      <w:r w:rsidR="00213E22" w:rsidRPr="00213E22">
        <w:rPr>
          <w:b/>
          <w:color w:val="000000"/>
          <w:sz w:val="20"/>
          <w:szCs w:val="20"/>
        </w:rPr>
        <w:t>.</w:t>
      </w:r>
      <w:r w:rsidRPr="00213E22">
        <w:rPr>
          <w:b/>
          <w:color w:val="000000"/>
          <w:sz w:val="20"/>
          <w:szCs w:val="20"/>
        </w:rPr>
        <w:t>202</w:t>
      </w:r>
      <w:r w:rsidR="00254D42">
        <w:rPr>
          <w:b/>
          <w:color w:val="000000"/>
          <w:sz w:val="20"/>
          <w:szCs w:val="20"/>
        </w:rPr>
        <w:t>3</w:t>
      </w:r>
      <w:r w:rsidRPr="00213E22">
        <w:rPr>
          <w:color w:val="000000"/>
          <w:sz w:val="20"/>
          <w:szCs w:val="20"/>
        </w:rPr>
        <w:t>, zmluva</w:t>
      </w:r>
      <w:r>
        <w:rPr>
          <w:color w:val="000000"/>
          <w:sz w:val="20"/>
          <w:szCs w:val="20"/>
        </w:rPr>
        <w:t xml:space="preserve"> je platná odo dňa nadobudnutia jej účinnosti alebo do vyčerpania finančného limitu uvedeného v ods. 6.3. podľa toho, ktorá skutočnosť nastane skôr.</w:t>
      </w:r>
    </w:p>
    <w:p w14:paraId="554DD4E1" w14:textId="77777777" w:rsidR="00A57C67" w:rsidRDefault="00A57C67" w:rsidP="00EB70B3">
      <w:pPr>
        <w:pBdr>
          <w:top w:val="nil"/>
          <w:left w:val="nil"/>
          <w:bottom w:val="nil"/>
          <w:right w:val="nil"/>
          <w:between w:val="nil"/>
        </w:pBdr>
        <w:spacing w:after="0"/>
        <w:ind w:left="567" w:hanging="567"/>
        <w:jc w:val="both"/>
        <w:rPr>
          <w:color w:val="000000"/>
          <w:sz w:val="20"/>
          <w:szCs w:val="20"/>
        </w:rPr>
      </w:pPr>
    </w:p>
    <w:p w14:paraId="25EC9A73" w14:textId="77777777" w:rsidR="00A57C67" w:rsidRDefault="00A57C67" w:rsidP="00EB70B3">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EB70B3">
      <w:pPr>
        <w:pBdr>
          <w:top w:val="nil"/>
          <w:left w:val="nil"/>
          <w:bottom w:val="nil"/>
          <w:right w:val="nil"/>
          <w:between w:val="nil"/>
        </w:pBdr>
        <w:spacing w:after="0"/>
        <w:ind w:left="567" w:hanging="567"/>
        <w:rPr>
          <w:color w:val="000000"/>
          <w:sz w:val="20"/>
          <w:szCs w:val="20"/>
        </w:rPr>
      </w:pPr>
    </w:p>
    <w:p w14:paraId="445124F8" w14:textId="77777777" w:rsidR="00A57C67" w:rsidRDefault="00A57C67" w:rsidP="00EB70B3">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EB70B3">
      <w:pPr>
        <w:pBdr>
          <w:top w:val="nil"/>
          <w:left w:val="nil"/>
          <w:bottom w:val="nil"/>
          <w:right w:val="nil"/>
          <w:between w:val="nil"/>
        </w:pBdr>
        <w:spacing w:after="0"/>
        <w:ind w:left="567" w:hanging="567"/>
        <w:rPr>
          <w:color w:val="000000"/>
          <w:sz w:val="20"/>
          <w:szCs w:val="20"/>
        </w:rPr>
      </w:pPr>
    </w:p>
    <w:p w14:paraId="51FFB2F9" w14:textId="77777777" w:rsidR="00A57C67" w:rsidRDefault="00A57C67" w:rsidP="00EB70B3">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EB70B3">
      <w:pPr>
        <w:pBdr>
          <w:top w:val="nil"/>
          <w:left w:val="nil"/>
          <w:bottom w:val="nil"/>
          <w:right w:val="nil"/>
          <w:between w:val="nil"/>
        </w:pBdr>
        <w:spacing w:after="0"/>
        <w:ind w:left="567" w:hanging="567"/>
        <w:rPr>
          <w:color w:val="000000"/>
          <w:sz w:val="20"/>
          <w:szCs w:val="20"/>
        </w:rPr>
      </w:pPr>
    </w:p>
    <w:p w14:paraId="67B6D6E1" w14:textId="77777777" w:rsidR="00A57C67" w:rsidRDefault="00A57C67" w:rsidP="00EB70B3">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EB70B3">
      <w:pPr>
        <w:pBdr>
          <w:top w:val="nil"/>
          <w:left w:val="nil"/>
          <w:bottom w:val="nil"/>
          <w:right w:val="nil"/>
          <w:between w:val="nil"/>
        </w:pBdr>
        <w:spacing w:after="0"/>
        <w:ind w:left="567" w:hanging="567"/>
        <w:rPr>
          <w:color w:val="000000"/>
          <w:sz w:val="20"/>
          <w:szCs w:val="20"/>
        </w:rPr>
      </w:pPr>
    </w:p>
    <w:p w14:paraId="7B811704" w14:textId="77777777" w:rsidR="00A57C67" w:rsidRDefault="00A57C67" w:rsidP="00EB70B3">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EB70B3">
      <w:pPr>
        <w:pBdr>
          <w:top w:val="nil"/>
          <w:left w:val="nil"/>
          <w:bottom w:val="nil"/>
          <w:right w:val="nil"/>
          <w:between w:val="nil"/>
        </w:pBdr>
        <w:spacing w:after="0"/>
        <w:ind w:left="567" w:hanging="567"/>
        <w:rPr>
          <w:color w:val="000000"/>
          <w:sz w:val="20"/>
          <w:szCs w:val="20"/>
        </w:rPr>
      </w:pPr>
    </w:p>
    <w:p w14:paraId="6464944B" w14:textId="35D67F8F" w:rsidR="00A57C67" w:rsidRDefault="00A57C67" w:rsidP="00EB70B3">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Za podstatné porušenie zmluvného záväzku sa považujú najmä nasledovné skutočnosti:</w:t>
      </w:r>
    </w:p>
    <w:p w14:paraId="00E85271" w14:textId="6E72F902" w:rsidR="006A1987" w:rsidRDefault="006A1987" w:rsidP="006A1987">
      <w:pPr>
        <w:pStyle w:val="Odsekzoznamu"/>
        <w:numPr>
          <w:ilvl w:val="0"/>
          <w:numId w:val="14"/>
        </w:numPr>
        <w:pBdr>
          <w:top w:val="nil"/>
          <w:left w:val="nil"/>
          <w:bottom w:val="nil"/>
          <w:right w:val="nil"/>
          <w:between w:val="nil"/>
        </w:pBdr>
        <w:spacing w:after="0"/>
        <w:ind w:left="567" w:firstLine="0"/>
        <w:jc w:val="both"/>
        <w:rPr>
          <w:color w:val="000000"/>
          <w:sz w:val="20"/>
          <w:szCs w:val="20"/>
        </w:rPr>
      </w:pPr>
      <w:r>
        <w:rPr>
          <w:color w:val="000000"/>
          <w:sz w:val="20"/>
          <w:szCs w:val="20"/>
        </w:rPr>
        <w:t>Opakované nedodanie tovaru podľa požiadaviek kupujúceho</w:t>
      </w:r>
    </w:p>
    <w:p w14:paraId="6A9FFF64" w14:textId="64B53EE7" w:rsidR="006A1987" w:rsidRDefault="006A1987" w:rsidP="006A1987">
      <w:pPr>
        <w:pStyle w:val="Odsekzoznamu"/>
        <w:numPr>
          <w:ilvl w:val="0"/>
          <w:numId w:val="14"/>
        </w:numPr>
        <w:pBdr>
          <w:top w:val="nil"/>
          <w:left w:val="nil"/>
          <w:bottom w:val="nil"/>
          <w:right w:val="nil"/>
          <w:between w:val="nil"/>
        </w:pBdr>
        <w:spacing w:after="0"/>
        <w:ind w:left="567" w:firstLine="0"/>
        <w:jc w:val="both"/>
        <w:rPr>
          <w:color w:val="000000"/>
          <w:sz w:val="20"/>
          <w:szCs w:val="20"/>
        </w:rPr>
      </w:pPr>
      <w:r>
        <w:rPr>
          <w:color w:val="000000"/>
          <w:sz w:val="20"/>
          <w:szCs w:val="20"/>
        </w:rPr>
        <w:t>nesplnenie povinnosti predávajúceho uvedenej v čl. VIII. ods. 8.4. zmluvy</w:t>
      </w:r>
    </w:p>
    <w:p w14:paraId="60EC9B31" w14:textId="77777777" w:rsidR="006A1987" w:rsidRDefault="006A1987" w:rsidP="006A1987">
      <w:pPr>
        <w:numPr>
          <w:ilvl w:val="0"/>
          <w:numId w:val="14"/>
        </w:numPr>
        <w:pBdr>
          <w:top w:val="nil"/>
          <w:left w:val="nil"/>
          <w:bottom w:val="nil"/>
          <w:right w:val="nil"/>
          <w:between w:val="nil"/>
        </w:pBdr>
        <w:spacing w:after="0"/>
        <w:ind w:left="567" w:firstLine="0"/>
        <w:jc w:val="both"/>
        <w:rPr>
          <w:color w:val="000000"/>
          <w:sz w:val="20"/>
          <w:szCs w:val="20"/>
        </w:rPr>
      </w:pPr>
      <w:r>
        <w:rPr>
          <w:color w:val="000000"/>
          <w:sz w:val="20"/>
          <w:szCs w:val="20"/>
        </w:rPr>
        <w:t>nedodržanie cien potravín podľa zmluvy,</w:t>
      </w:r>
    </w:p>
    <w:p w14:paraId="4FFC53A7" w14:textId="77777777" w:rsidR="006A1987" w:rsidRDefault="006A1987" w:rsidP="006A1987">
      <w:pPr>
        <w:numPr>
          <w:ilvl w:val="0"/>
          <w:numId w:val="14"/>
        </w:numPr>
        <w:pBdr>
          <w:top w:val="nil"/>
          <w:left w:val="nil"/>
          <w:bottom w:val="nil"/>
          <w:right w:val="nil"/>
          <w:between w:val="nil"/>
        </w:pBdr>
        <w:spacing w:after="0"/>
        <w:ind w:left="567" w:firstLine="0"/>
        <w:jc w:val="both"/>
        <w:rPr>
          <w:color w:val="000000"/>
          <w:sz w:val="20"/>
          <w:szCs w:val="20"/>
        </w:rPr>
      </w:pPr>
      <w:r>
        <w:rPr>
          <w:color w:val="000000"/>
          <w:sz w:val="20"/>
          <w:szCs w:val="20"/>
        </w:rPr>
        <w:t>predávajúci podal na seba návrh na vyhlásenie konkurzu,</w:t>
      </w:r>
    </w:p>
    <w:p w14:paraId="3B2E9F3A" w14:textId="1A00DA2E" w:rsidR="006A1987" w:rsidRDefault="006A1987" w:rsidP="006A1987">
      <w:pPr>
        <w:numPr>
          <w:ilvl w:val="0"/>
          <w:numId w:val="14"/>
        </w:numPr>
        <w:pBdr>
          <w:top w:val="nil"/>
          <w:left w:val="nil"/>
          <w:bottom w:val="nil"/>
          <w:right w:val="nil"/>
          <w:between w:val="nil"/>
        </w:pBdr>
        <w:spacing w:after="0"/>
        <w:ind w:left="1418" w:hanging="851"/>
        <w:jc w:val="both"/>
        <w:rPr>
          <w:color w:val="000000"/>
          <w:sz w:val="20"/>
          <w:szCs w:val="20"/>
        </w:rPr>
      </w:pPr>
      <w:r>
        <w:rPr>
          <w:color w:val="000000"/>
          <w:sz w:val="20"/>
          <w:szCs w:val="20"/>
        </w:rPr>
        <w:t>bol podaný návrh na vyhlásenie konkurzu voči predávajúcemu treťou je platobne neschopný, alebo je v situácii, ktorá odôvodňuje začatie konkurzného konania,</w:t>
      </w:r>
      <w:r w:rsidR="00A43EED">
        <w:rPr>
          <w:color w:val="000000"/>
          <w:sz w:val="20"/>
          <w:szCs w:val="20"/>
        </w:rPr>
        <w:t xml:space="preserve"> </w:t>
      </w:r>
      <w:r>
        <w:rPr>
          <w:color w:val="000000"/>
          <w:sz w:val="20"/>
          <w:szCs w:val="20"/>
        </w:rPr>
        <w:t xml:space="preserve">osobou, pričom predávajúci </w:t>
      </w:r>
    </w:p>
    <w:p w14:paraId="46A8EEF7" w14:textId="77777777" w:rsidR="006A1987" w:rsidRDefault="006A1987" w:rsidP="006A1987">
      <w:pPr>
        <w:numPr>
          <w:ilvl w:val="0"/>
          <w:numId w:val="14"/>
        </w:numPr>
        <w:pBdr>
          <w:top w:val="nil"/>
          <w:left w:val="nil"/>
          <w:bottom w:val="nil"/>
          <w:right w:val="nil"/>
          <w:between w:val="nil"/>
        </w:pBdr>
        <w:spacing w:after="0"/>
        <w:ind w:left="1418" w:hanging="851"/>
        <w:jc w:val="both"/>
        <w:rPr>
          <w:color w:val="000000"/>
          <w:sz w:val="20"/>
          <w:szCs w:val="20"/>
        </w:rPr>
      </w:pPr>
      <w:r>
        <w:rPr>
          <w:color w:val="000000"/>
          <w:sz w:val="20"/>
          <w:szCs w:val="20"/>
        </w:rPr>
        <w:t>bol na majetok predávajúceho vyhlásený konkurz, alebo bol návrh na vyhlásenie konkurzu zamietnutý pre nedostatok majetku,</w:t>
      </w:r>
    </w:p>
    <w:p w14:paraId="06BD7974" w14:textId="77777777" w:rsidR="006A1987" w:rsidRDefault="006A1987" w:rsidP="0033492F">
      <w:pPr>
        <w:numPr>
          <w:ilvl w:val="0"/>
          <w:numId w:val="14"/>
        </w:numPr>
        <w:pBdr>
          <w:top w:val="nil"/>
          <w:left w:val="nil"/>
          <w:bottom w:val="nil"/>
          <w:right w:val="nil"/>
          <w:between w:val="nil"/>
        </w:pBdr>
        <w:spacing w:after="0"/>
        <w:ind w:left="1418" w:hanging="851"/>
        <w:jc w:val="both"/>
        <w:rPr>
          <w:color w:val="000000"/>
          <w:sz w:val="20"/>
          <w:szCs w:val="20"/>
        </w:rPr>
      </w:pPr>
      <w:r>
        <w:rPr>
          <w:color w:val="000000"/>
          <w:sz w:val="20"/>
          <w:szCs w:val="20"/>
        </w:rPr>
        <w:t>predávajúci vstúpil do likvidácie alebo bola naňho zriadená nútená správa.</w:t>
      </w:r>
    </w:p>
    <w:p w14:paraId="183B137D" w14:textId="77777777" w:rsidR="006A1987" w:rsidRPr="006A1987" w:rsidRDefault="006A1987" w:rsidP="006A1987">
      <w:pPr>
        <w:pStyle w:val="Odsekzoznamu"/>
        <w:pBdr>
          <w:top w:val="nil"/>
          <w:left w:val="nil"/>
          <w:bottom w:val="nil"/>
          <w:right w:val="nil"/>
          <w:between w:val="nil"/>
        </w:pBdr>
        <w:spacing w:after="0"/>
        <w:ind w:left="567"/>
        <w:jc w:val="both"/>
        <w:rPr>
          <w:color w:val="000000"/>
          <w:sz w:val="20"/>
          <w:szCs w:val="20"/>
        </w:rPr>
      </w:pPr>
    </w:p>
    <w:p w14:paraId="31C00C39" w14:textId="3C301CD7" w:rsidR="006A1987" w:rsidRDefault="006A1987" w:rsidP="006A1987">
      <w:pPr>
        <w:pStyle w:val="Odsekzoznamu"/>
        <w:numPr>
          <w:ilvl w:val="0"/>
          <w:numId w:val="6"/>
        </w:numPr>
        <w:spacing w:after="0"/>
        <w:ind w:left="567" w:hanging="567"/>
        <w:jc w:val="both"/>
        <w:rPr>
          <w:sz w:val="20"/>
          <w:szCs w:val="20"/>
        </w:rPr>
      </w:pPr>
      <w:r w:rsidRPr="006A1987">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CCF279E" w14:textId="3C301CD7" w:rsidR="006A1987" w:rsidRPr="006A1987" w:rsidRDefault="006A1987" w:rsidP="006A1987">
      <w:pPr>
        <w:pStyle w:val="Odsekzoznamu"/>
        <w:spacing w:after="0"/>
        <w:ind w:left="142" w:hanging="142"/>
        <w:jc w:val="both"/>
        <w:rPr>
          <w:sz w:val="20"/>
          <w:szCs w:val="20"/>
        </w:rPr>
      </w:pPr>
    </w:p>
    <w:p w14:paraId="20E4A877" w14:textId="48189F41" w:rsidR="006A1987" w:rsidRDefault="006A1987" w:rsidP="00A43EED">
      <w:pPr>
        <w:pStyle w:val="Odsekzoznamu"/>
        <w:numPr>
          <w:ilvl w:val="0"/>
          <w:numId w:val="6"/>
        </w:numPr>
        <w:spacing w:after="0"/>
        <w:ind w:left="567" w:hanging="501"/>
        <w:jc w:val="both"/>
        <w:rPr>
          <w:sz w:val="20"/>
          <w:szCs w:val="20"/>
        </w:rPr>
      </w:pPr>
      <w:r w:rsidRPr="006A1987">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3A249D1" w14:textId="77777777" w:rsidR="006A1987" w:rsidRPr="006A1987" w:rsidRDefault="006A1987" w:rsidP="006A1987">
      <w:pPr>
        <w:pStyle w:val="Odsekzoznamu"/>
        <w:spacing w:after="0"/>
        <w:jc w:val="both"/>
        <w:rPr>
          <w:sz w:val="20"/>
          <w:szCs w:val="20"/>
        </w:rPr>
      </w:pPr>
    </w:p>
    <w:p w14:paraId="2D1089E3" w14:textId="77777777" w:rsidR="006A1987" w:rsidRPr="006A1987" w:rsidRDefault="006A1987" w:rsidP="00A43EED">
      <w:pPr>
        <w:pStyle w:val="Odsekzoznamu"/>
        <w:numPr>
          <w:ilvl w:val="0"/>
          <w:numId w:val="6"/>
        </w:numPr>
        <w:spacing w:after="0"/>
        <w:ind w:left="567" w:hanging="501"/>
        <w:jc w:val="both"/>
        <w:rPr>
          <w:sz w:val="20"/>
          <w:szCs w:val="20"/>
        </w:rPr>
      </w:pPr>
      <w:r w:rsidRPr="006A1987">
        <w:rPr>
          <w:sz w:val="20"/>
          <w:szCs w:val="20"/>
        </w:rPr>
        <w:t>Verejný obstarávateľ o tejto skutočnosti informuje prostredníctvom elektronickej komunikácie kontaktné osoby uvedené v rámcovej dohode oboch uchádzačov.</w:t>
      </w:r>
    </w:p>
    <w:p w14:paraId="5A602774" w14:textId="77777777" w:rsidR="006A1987" w:rsidRDefault="006A1987" w:rsidP="00A57C67">
      <w:pPr>
        <w:pBdr>
          <w:top w:val="nil"/>
          <w:left w:val="nil"/>
          <w:bottom w:val="nil"/>
          <w:right w:val="nil"/>
          <w:between w:val="nil"/>
        </w:pBdr>
        <w:spacing w:after="0"/>
        <w:jc w:val="center"/>
        <w:rPr>
          <w:b/>
          <w:color w:val="000000"/>
          <w:sz w:val="20"/>
          <w:szCs w:val="20"/>
        </w:rPr>
      </w:pPr>
    </w:p>
    <w:p w14:paraId="458EAFCF" w14:textId="294F1833"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Zodpovednosť za vady a záruka</w:t>
      </w:r>
    </w:p>
    <w:p w14:paraId="0124E8E3" w14:textId="6275CAFE" w:rsidR="00A57C67" w:rsidRDefault="00A57C67" w:rsidP="00A43EED">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5BF968E2" w14:textId="77777777" w:rsidR="00A43EED" w:rsidRDefault="00A43EED" w:rsidP="00A43EED">
      <w:pPr>
        <w:pBdr>
          <w:top w:val="nil"/>
          <w:left w:val="nil"/>
          <w:bottom w:val="nil"/>
          <w:right w:val="nil"/>
          <w:between w:val="nil"/>
        </w:pBdr>
        <w:spacing w:after="0"/>
        <w:ind w:left="567"/>
        <w:jc w:val="both"/>
        <w:rPr>
          <w:color w:val="000000"/>
          <w:sz w:val="20"/>
          <w:szCs w:val="20"/>
        </w:rPr>
      </w:pPr>
    </w:p>
    <w:p w14:paraId="00070A36" w14:textId="68FBEE71" w:rsidR="00A57C67" w:rsidRDefault="00A43EED" w:rsidP="00A57C67">
      <w:pPr>
        <w:numPr>
          <w:ilvl w:val="0"/>
          <w:numId w:val="1"/>
        </w:numPr>
        <w:pBdr>
          <w:top w:val="nil"/>
          <w:left w:val="nil"/>
          <w:bottom w:val="nil"/>
          <w:right w:val="nil"/>
          <w:between w:val="nil"/>
        </w:pBdr>
        <w:spacing w:after="0"/>
        <w:ind w:left="567" w:hanging="567"/>
        <w:jc w:val="both"/>
        <w:rPr>
          <w:color w:val="000000"/>
          <w:sz w:val="20"/>
          <w:szCs w:val="20"/>
        </w:rPr>
      </w:pPr>
      <w:r w:rsidRPr="00D03C21">
        <w:rPr>
          <w:color w:val="000000"/>
          <w:sz w:val="20"/>
          <w:szCs w:val="20"/>
        </w:rPr>
        <w:t xml:space="preserve">V prípade poručenia bodu 8.1., je predávajúci </w:t>
      </w:r>
      <w:r w:rsidR="00D03C21" w:rsidRPr="00D03C21">
        <w:rPr>
          <w:color w:val="000000"/>
          <w:sz w:val="20"/>
          <w:szCs w:val="20"/>
        </w:rPr>
        <w:t xml:space="preserve">povinný v ten istý deň  v čase do 7.30 hod </w:t>
      </w:r>
      <w:r w:rsidR="00D03C21">
        <w:rPr>
          <w:color w:val="000000"/>
          <w:sz w:val="20"/>
          <w:szCs w:val="20"/>
        </w:rPr>
        <w:t>zjednať nápravu. V opačnom prípade sa to bude považovať za porušenie zmluvných podmienok.</w:t>
      </w:r>
    </w:p>
    <w:p w14:paraId="244F0BEA" w14:textId="77777777" w:rsidR="00D03C21" w:rsidRPr="00D03C21" w:rsidRDefault="00D03C21" w:rsidP="00D03C21">
      <w:pPr>
        <w:pBdr>
          <w:top w:val="nil"/>
          <w:left w:val="nil"/>
          <w:bottom w:val="nil"/>
          <w:right w:val="nil"/>
          <w:between w:val="nil"/>
        </w:pBdr>
        <w:spacing w:after="0"/>
        <w:ind w:left="567"/>
        <w:jc w:val="both"/>
        <w:rPr>
          <w:color w:val="000000"/>
          <w:sz w:val="20"/>
          <w:szCs w:val="20"/>
        </w:rPr>
      </w:pPr>
    </w:p>
    <w:p w14:paraId="291F6082" w14:textId="77777777" w:rsidR="00A57C67" w:rsidRDefault="00A57C67" w:rsidP="00254D42">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254D42">
      <w:pPr>
        <w:pBdr>
          <w:top w:val="nil"/>
          <w:left w:val="nil"/>
          <w:bottom w:val="nil"/>
          <w:right w:val="nil"/>
          <w:between w:val="nil"/>
        </w:pBdr>
        <w:spacing w:after="0"/>
        <w:ind w:left="567" w:hanging="567"/>
        <w:rPr>
          <w:color w:val="000000"/>
          <w:sz w:val="20"/>
          <w:szCs w:val="20"/>
        </w:rPr>
      </w:pPr>
    </w:p>
    <w:p w14:paraId="53779667" w14:textId="77777777" w:rsidR="00A57C67" w:rsidRDefault="00A57C67" w:rsidP="00254D42">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254D42">
      <w:pPr>
        <w:pBdr>
          <w:top w:val="nil"/>
          <w:left w:val="nil"/>
          <w:bottom w:val="nil"/>
          <w:right w:val="nil"/>
          <w:between w:val="nil"/>
        </w:pBdr>
        <w:spacing w:after="0"/>
        <w:ind w:left="567" w:hanging="567"/>
        <w:rPr>
          <w:color w:val="000000"/>
          <w:sz w:val="20"/>
          <w:szCs w:val="20"/>
        </w:rPr>
      </w:pPr>
    </w:p>
    <w:p w14:paraId="671ECAC8" w14:textId="77777777" w:rsidR="00A57C67" w:rsidRDefault="00A57C67" w:rsidP="00254D42">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254D42">
      <w:pPr>
        <w:pBdr>
          <w:top w:val="nil"/>
          <w:left w:val="nil"/>
          <w:bottom w:val="nil"/>
          <w:right w:val="nil"/>
          <w:between w:val="nil"/>
        </w:pBdr>
        <w:spacing w:after="0"/>
        <w:ind w:left="567" w:hanging="567"/>
        <w:rPr>
          <w:color w:val="000000"/>
          <w:sz w:val="20"/>
          <w:szCs w:val="20"/>
        </w:rPr>
      </w:pPr>
    </w:p>
    <w:p w14:paraId="3FE61E41" w14:textId="77777777" w:rsidR="00A57C67" w:rsidRPr="00F23C02" w:rsidRDefault="00A57C67" w:rsidP="00254D42">
      <w:pPr>
        <w:numPr>
          <w:ilvl w:val="0"/>
          <w:numId w:val="1"/>
        </w:numPr>
        <w:pBdr>
          <w:top w:val="nil"/>
          <w:left w:val="nil"/>
          <w:bottom w:val="nil"/>
          <w:right w:val="nil"/>
          <w:between w:val="nil"/>
        </w:pBdr>
        <w:spacing w:after="0"/>
        <w:ind w:left="567" w:hanging="567"/>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254D42">
      <w:pPr>
        <w:pStyle w:val="Odsekzoznamu"/>
        <w:ind w:left="567" w:hanging="567"/>
        <w:rPr>
          <w:rFonts w:asciiTheme="minorHAnsi" w:hAnsiTheme="minorHAnsi" w:cstheme="minorHAnsi"/>
          <w:color w:val="000000"/>
          <w:sz w:val="20"/>
          <w:szCs w:val="20"/>
        </w:rPr>
      </w:pPr>
    </w:p>
    <w:p w14:paraId="3D48EB8E" w14:textId="77777777" w:rsidR="00A57C67" w:rsidRPr="00F23C02" w:rsidRDefault="00A57C67" w:rsidP="00254D42">
      <w:pPr>
        <w:pStyle w:val="Odsekzoznamu"/>
        <w:numPr>
          <w:ilvl w:val="0"/>
          <w:numId w:val="1"/>
        </w:numPr>
        <w:ind w:left="567" w:hanging="567"/>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33492F">
      <w:pPr>
        <w:pStyle w:val="Odsekzoznamu"/>
        <w:ind w:left="1134" w:hanging="567"/>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33492F">
      <w:pPr>
        <w:pStyle w:val="Odsekzoznamu"/>
        <w:ind w:left="1134" w:hanging="567"/>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33492F">
      <w:pPr>
        <w:pStyle w:val="Odsekzoznamu"/>
        <w:ind w:left="1134" w:hanging="567"/>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33492F">
      <w:pPr>
        <w:pStyle w:val="Odsekzoznamu"/>
        <w:ind w:left="1134" w:hanging="567"/>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254D42">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254D42">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254D42">
      <w:pPr>
        <w:pBdr>
          <w:top w:val="nil"/>
          <w:left w:val="nil"/>
          <w:bottom w:val="nil"/>
          <w:right w:val="nil"/>
          <w:between w:val="nil"/>
        </w:pBdr>
        <w:spacing w:after="0"/>
        <w:ind w:left="567" w:hanging="567"/>
        <w:rPr>
          <w:color w:val="000000"/>
          <w:sz w:val="20"/>
          <w:szCs w:val="20"/>
        </w:rPr>
      </w:pPr>
    </w:p>
    <w:p w14:paraId="6CAD1E01" w14:textId="77777777" w:rsidR="00A57C67" w:rsidRDefault="00A57C67" w:rsidP="00254D42">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254D42">
      <w:pPr>
        <w:pBdr>
          <w:top w:val="nil"/>
          <w:left w:val="nil"/>
          <w:bottom w:val="nil"/>
          <w:right w:val="nil"/>
          <w:between w:val="nil"/>
        </w:pBdr>
        <w:spacing w:after="0"/>
        <w:ind w:left="567" w:hanging="567"/>
        <w:jc w:val="both"/>
        <w:rPr>
          <w:color w:val="000000"/>
          <w:sz w:val="20"/>
          <w:szCs w:val="20"/>
        </w:rPr>
      </w:pPr>
    </w:p>
    <w:p w14:paraId="65866088" w14:textId="77777777" w:rsidR="00A57C67" w:rsidRDefault="00A57C67" w:rsidP="00254D42">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254D42">
      <w:pPr>
        <w:pBdr>
          <w:top w:val="nil"/>
          <w:left w:val="nil"/>
          <w:bottom w:val="nil"/>
          <w:right w:val="nil"/>
          <w:between w:val="nil"/>
        </w:pBdr>
        <w:spacing w:after="0"/>
        <w:ind w:left="567" w:hanging="567"/>
        <w:jc w:val="both"/>
        <w:rPr>
          <w:color w:val="000000"/>
          <w:sz w:val="20"/>
          <w:szCs w:val="20"/>
        </w:rPr>
      </w:pPr>
    </w:p>
    <w:p w14:paraId="70BC2C83" w14:textId="77777777" w:rsidR="00A57C67" w:rsidRDefault="00A57C67" w:rsidP="00254D42">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X</w:t>
      </w:r>
    </w:p>
    <w:p w14:paraId="7E049625" w14:textId="77777777" w:rsidR="00A57C67" w:rsidRDefault="00A57C67" w:rsidP="00254D42">
      <w:pPr>
        <w:pBdr>
          <w:top w:val="nil"/>
          <w:left w:val="nil"/>
          <w:bottom w:val="nil"/>
          <w:right w:val="nil"/>
          <w:between w:val="nil"/>
        </w:pBdr>
        <w:spacing w:after="0"/>
        <w:ind w:left="567" w:hanging="567"/>
        <w:jc w:val="center"/>
        <w:rPr>
          <w:b/>
          <w:color w:val="000000"/>
          <w:sz w:val="20"/>
          <w:szCs w:val="20"/>
        </w:rPr>
      </w:pPr>
      <w:r>
        <w:rPr>
          <w:b/>
          <w:color w:val="000000"/>
          <w:sz w:val="20"/>
          <w:szCs w:val="20"/>
        </w:rPr>
        <w:t>Spoločné a záverečné ustanovenia</w:t>
      </w:r>
    </w:p>
    <w:p w14:paraId="110113B0" w14:textId="77777777"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254D42">
      <w:pPr>
        <w:pBdr>
          <w:top w:val="nil"/>
          <w:left w:val="nil"/>
          <w:bottom w:val="nil"/>
          <w:right w:val="nil"/>
          <w:between w:val="nil"/>
        </w:pBdr>
        <w:spacing w:after="0"/>
        <w:ind w:left="567" w:hanging="567"/>
        <w:rPr>
          <w:color w:val="000000"/>
          <w:sz w:val="20"/>
          <w:szCs w:val="20"/>
        </w:rPr>
      </w:pPr>
    </w:p>
    <w:p w14:paraId="67AB9D0D" w14:textId="77777777"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254D42">
      <w:pPr>
        <w:pBdr>
          <w:top w:val="nil"/>
          <w:left w:val="nil"/>
          <w:bottom w:val="nil"/>
          <w:right w:val="nil"/>
          <w:between w:val="nil"/>
        </w:pBdr>
        <w:spacing w:after="0"/>
        <w:ind w:left="567" w:hanging="567"/>
        <w:rPr>
          <w:color w:val="000000"/>
          <w:sz w:val="20"/>
          <w:szCs w:val="20"/>
        </w:rPr>
      </w:pPr>
    </w:p>
    <w:p w14:paraId="60BEE0F6" w14:textId="77777777"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254D42">
      <w:pPr>
        <w:pBdr>
          <w:top w:val="nil"/>
          <w:left w:val="nil"/>
          <w:bottom w:val="nil"/>
          <w:right w:val="nil"/>
          <w:between w:val="nil"/>
        </w:pBdr>
        <w:spacing w:after="0"/>
        <w:ind w:left="567" w:hanging="567"/>
        <w:rPr>
          <w:color w:val="000000"/>
          <w:sz w:val="20"/>
          <w:szCs w:val="20"/>
        </w:rPr>
      </w:pPr>
    </w:p>
    <w:p w14:paraId="60E20306" w14:textId="77777777"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254D42">
      <w:pPr>
        <w:pBdr>
          <w:top w:val="nil"/>
          <w:left w:val="nil"/>
          <w:bottom w:val="nil"/>
          <w:right w:val="nil"/>
          <w:between w:val="nil"/>
        </w:pBdr>
        <w:spacing w:after="0"/>
        <w:ind w:left="567" w:hanging="567"/>
        <w:jc w:val="both"/>
        <w:rPr>
          <w:color w:val="000000"/>
          <w:sz w:val="20"/>
          <w:szCs w:val="20"/>
        </w:rPr>
      </w:pPr>
    </w:p>
    <w:p w14:paraId="27EC41D0" w14:textId="77777777"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254D42">
      <w:pPr>
        <w:numPr>
          <w:ilvl w:val="0"/>
          <w:numId w:val="11"/>
        </w:numPr>
        <w:pBdr>
          <w:top w:val="nil"/>
          <w:left w:val="nil"/>
          <w:bottom w:val="nil"/>
          <w:right w:val="nil"/>
          <w:between w:val="nil"/>
        </w:pBdr>
        <w:spacing w:after="0"/>
        <w:ind w:left="567" w:firstLine="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254D42">
      <w:pPr>
        <w:numPr>
          <w:ilvl w:val="0"/>
          <w:numId w:val="11"/>
        </w:numPr>
        <w:pBdr>
          <w:top w:val="nil"/>
          <w:left w:val="nil"/>
          <w:bottom w:val="nil"/>
          <w:right w:val="nil"/>
          <w:between w:val="nil"/>
        </w:pBdr>
        <w:spacing w:after="0"/>
        <w:ind w:left="567" w:firstLine="0"/>
        <w:jc w:val="both"/>
        <w:rPr>
          <w:color w:val="000000"/>
          <w:sz w:val="20"/>
          <w:szCs w:val="20"/>
        </w:rPr>
      </w:pPr>
      <w:r>
        <w:rPr>
          <w:color w:val="000000"/>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1D47618E"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Neoddeliteľnou súčasťou tejto zmluvy je: Príloha č. 1 – </w:t>
      </w:r>
      <w:r w:rsidR="00213E22">
        <w:rPr>
          <w:color w:val="000000"/>
          <w:sz w:val="20"/>
          <w:szCs w:val="20"/>
        </w:rPr>
        <w:t>Špecifikácia cien a položiek.</w:t>
      </w:r>
    </w:p>
    <w:p w14:paraId="35B0DF01" w14:textId="541B2040"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254D42">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7C070EF1" w14:textId="77777777" w:rsidR="00A57C67" w:rsidRDefault="00A57C67" w:rsidP="00A57C67">
      <w:pPr>
        <w:rPr>
          <w:rFonts w:ascii="Garamond" w:eastAsia="Garamond" w:hAnsi="Garamond" w:cs="Garamond"/>
          <w:b/>
        </w:rPr>
      </w:pPr>
      <w:r>
        <w:rPr>
          <w:rFonts w:ascii="Garamond" w:eastAsia="Garamond" w:hAnsi="Garamond" w:cs="Garamond"/>
          <w:b/>
        </w:rPr>
        <w:lastRenderedPageBreak/>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rsidSect="00254D42">
      <w:pgSz w:w="11906" w:h="16838"/>
      <w:pgMar w:top="1417" w:right="141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225AC3"/>
    <w:multiLevelType w:val="hybridMultilevel"/>
    <w:tmpl w:val="62420C7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7"/>
  </w:num>
  <w:num w:numId="2" w16cid:durableId="1057899203">
    <w:abstractNumId w:val="10"/>
  </w:num>
  <w:num w:numId="3" w16cid:durableId="1647316518">
    <w:abstractNumId w:val="2"/>
  </w:num>
  <w:num w:numId="4" w16cid:durableId="1936329481">
    <w:abstractNumId w:val="1"/>
  </w:num>
  <w:num w:numId="5" w16cid:durableId="155927139">
    <w:abstractNumId w:val="11"/>
  </w:num>
  <w:num w:numId="6" w16cid:durableId="594244321">
    <w:abstractNumId w:val="3"/>
  </w:num>
  <w:num w:numId="7" w16cid:durableId="87774392">
    <w:abstractNumId w:val="12"/>
  </w:num>
  <w:num w:numId="8" w16cid:durableId="1483542646">
    <w:abstractNumId w:val="0"/>
  </w:num>
  <w:num w:numId="9" w16cid:durableId="742987912">
    <w:abstractNumId w:val="13"/>
  </w:num>
  <w:num w:numId="10" w16cid:durableId="1423650628">
    <w:abstractNumId w:val="9"/>
  </w:num>
  <w:num w:numId="11" w16cid:durableId="2081100607">
    <w:abstractNumId w:val="8"/>
  </w:num>
  <w:num w:numId="12" w16cid:durableId="467213159">
    <w:abstractNumId w:val="5"/>
  </w:num>
  <w:num w:numId="13" w16cid:durableId="4132556">
    <w:abstractNumId w:val="4"/>
  </w:num>
  <w:num w:numId="14" w16cid:durableId="207375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213E22"/>
    <w:rsid w:val="00254D42"/>
    <w:rsid w:val="0033492F"/>
    <w:rsid w:val="005F26EF"/>
    <w:rsid w:val="006A1987"/>
    <w:rsid w:val="00A43EED"/>
    <w:rsid w:val="00A57C67"/>
    <w:rsid w:val="00CE6804"/>
    <w:rsid w:val="00D03C21"/>
    <w:rsid w:val="00DC79B2"/>
    <w:rsid w:val="00EB70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sova@pnpp.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7382-0FF7-4C01-AFB3-77916A0E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3315</Words>
  <Characters>18896</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8</cp:revision>
  <dcterms:created xsi:type="dcterms:W3CDTF">2022-04-12T13:45:00Z</dcterms:created>
  <dcterms:modified xsi:type="dcterms:W3CDTF">2022-12-06T12:22:00Z</dcterms:modified>
</cp:coreProperties>
</file>