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4911AA6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5E68A4" w:rsidRPr="00690A8E">
        <w:rPr>
          <w:rFonts w:ascii="Garamond" w:hAnsi="Garamond"/>
        </w:rPr>
        <w:t>2</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3C17C0AC"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r w:rsidRPr="002A606E">
        <w:rPr>
          <w:rFonts w:ascii="Garamond" w:hAnsi="Garamond"/>
        </w:rPr>
        <w:t>a.s.,</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296600" w:rsidRPr="002A606E">
        <w:rPr>
          <w:rFonts w:ascii="Garamond" w:hAnsi="Garamond"/>
        </w:rPr>
        <w:t>Martin</w:t>
      </w:r>
      <w:r w:rsidR="003E67B4" w:rsidRPr="002A606E">
        <w:rPr>
          <w:rFonts w:ascii="Garamond" w:hAnsi="Garamond"/>
        </w:rPr>
        <w:t xml:space="preserve"> </w:t>
      </w:r>
      <w:r w:rsidR="00296600" w:rsidRPr="002A606E">
        <w:rPr>
          <w:rFonts w:ascii="Garamond" w:hAnsi="Garamond"/>
        </w:rPr>
        <w:t>Rybanský,</w:t>
      </w:r>
      <w:r w:rsidR="003E67B4" w:rsidRPr="002A606E">
        <w:rPr>
          <w:rFonts w:ascii="Garamond" w:hAnsi="Garamond"/>
        </w:rPr>
        <w:t xml:space="preserve"> </w:t>
      </w:r>
      <w:r w:rsidR="00296600" w:rsidRPr="002A606E">
        <w:rPr>
          <w:rFonts w:ascii="Garamond" w:hAnsi="Garamond"/>
        </w:rPr>
        <w:t>predseda</w:t>
      </w:r>
      <w:r w:rsidR="003E67B4" w:rsidRPr="002A606E">
        <w:rPr>
          <w:rFonts w:ascii="Garamond" w:hAnsi="Garamond"/>
        </w:rPr>
        <w:t xml:space="preserve"> </w:t>
      </w:r>
      <w:r w:rsidR="00296600" w:rsidRPr="002A606E">
        <w:rPr>
          <w:rFonts w:ascii="Garamond" w:hAnsi="Garamond"/>
        </w:rPr>
        <w:t>predstavenstva</w:t>
      </w:r>
      <w:r w:rsidR="003E67B4" w:rsidRPr="002A606E">
        <w:rPr>
          <w:rFonts w:ascii="Garamond" w:hAnsi="Garamond"/>
        </w:rPr>
        <w:t xml:space="preserve"> </w:t>
      </w:r>
      <w:r w:rsidR="00296600" w:rsidRPr="002A606E">
        <w:rPr>
          <w:rFonts w:ascii="Garamond" w:hAnsi="Garamond"/>
        </w:rPr>
        <w:t>a</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BC1AE2" w:rsidRPr="002A606E">
        <w:rPr>
          <w:rFonts w:ascii="Garamond" w:hAnsi="Garamond"/>
        </w:rPr>
        <w:t>Michal Halomi</w:t>
      </w:r>
      <w:r w:rsidR="00296600" w:rsidRPr="002A606E">
        <w:rPr>
          <w:rFonts w:ascii="Garamond" w:hAnsi="Garamond"/>
        </w:rPr>
        <w:t>,</w:t>
      </w:r>
      <w:r w:rsidR="003E67B4" w:rsidRPr="002A606E">
        <w:rPr>
          <w:rFonts w:ascii="Garamond" w:hAnsi="Garamond"/>
        </w:rPr>
        <w:t xml:space="preserve"> </w:t>
      </w:r>
      <w:r w:rsidR="00296600" w:rsidRPr="002A606E">
        <w:rPr>
          <w:rFonts w:ascii="Garamond" w:hAnsi="Garamond"/>
        </w:rPr>
        <w:t>člen</w:t>
      </w:r>
      <w:r w:rsidR="003E67B4" w:rsidRPr="002A606E">
        <w:rPr>
          <w:rFonts w:ascii="Garamond" w:hAnsi="Garamond"/>
        </w:rPr>
        <w:t xml:space="preserve"> </w:t>
      </w:r>
      <w:r w:rsidR="00296600" w:rsidRPr="002A606E">
        <w:rPr>
          <w:rFonts w:ascii="Garamond" w:hAnsi="Garamond"/>
        </w:rPr>
        <w:t>predstavenstva</w:t>
      </w:r>
      <w:r w:rsidR="00BC1AE2" w:rsidRPr="002A606E">
        <w:rPr>
          <w:rFonts w:ascii="Garamond" w:hAnsi="Garamond"/>
        </w:rPr>
        <w:t xml:space="preserve"> </w:t>
      </w:r>
      <w:r w:rsidR="00B92E86" w:rsidRPr="002A606E">
        <w:rPr>
          <w:rFonts w:ascii="Garamond" w:hAnsi="Garamond"/>
        </w:rPr>
        <w:t>–</w:t>
      </w:r>
      <w:r w:rsidR="00BC1AE2" w:rsidRPr="002A606E">
        <w:rPr>
          <w:rFonts w:ascii="Garamond" w:hAnsi="Garamond"/>
        </w:rPr>
        <w:t xml:space="preserve"> CIO</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2BC2BC44"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0"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color w:val="000000" w:themeColor="text1"/>
        </w:rPr>
        <w:t xml:space="preserve">“ </w:t>
      </w:r>
      <w:bookmarkEnd w:id="0"/>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nasl.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1"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1"/>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4444FF69"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2"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b/>
          <w:color w:val="000000" w:themeColor="text1"/>
        </w:rPr>
        <w:t>_S</w:t>
      </w:r>
      <w:r w:rsidR="00340167">
        <w:rPr>
          <w:rFonts w:ascii="Garamond" w:hAnsi="Garamond"/>
          <w:b/>
          <w:color w:val="000000" w:themeColor="text1"/>
        </w:rPr>
        <w:t>2</w:t>
      </w:r>
      <w:r w:rsidR="00B660C9" w:rsidRPr="002A606E">
        <w:rPr>
          <w:rFonts w:ascii="Garamond" w:hAnsi="Garamond"/>
          <w:b/>
          <w:color w:val="000000" w:themeColor="text1"/>
        </w:rPr>
        <w:t>1/2021</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2"/>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3" w:name="_Hlk82511627"/>
      <w:r w:rsidRPr="002A606E">
        <w:rPr>
          <w:rFonts w:ascii="Garamond" w:hAnsi="Garamond"/>
          <w:color w:val="000000" w:themeColor="text1"/>
        </w:rPr>
        <w:t xml:space="preserve"> </w:t>
      </w:r>
      <w:bookmarkEnd w:id="3"/>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22410546" w:rsidR="00434746" w:rsidRPr="006025C3"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06B8D917" w14:textId="77777777" w:rsidR="006025C3" w:rsidRDefault="006025C3" w:rsidP="006025C3">
      <w:pPr>
        <w:pStyle w:val="Odsekzoznamu"/>
        <w:rPr>
          <w:rFonts w:ascii="Garamond" w:hAnsi="Garamond"/>
          <w:b/>
        </w:rPr>
      </w:pPr>
    </w:p>
    <w:p w14:paraId="337410E4" w14:textId="7774EC47" w:rsidR="006025C3" w:rsidRPr="002A606E" w:rsidRDefault="006025C3" w:rsidP="00690A8E">
      <w:pPr>
        <w:widowControl w:val="0"/>
        <w:numPr>
          <w:ilvl w:val="0"/>
          <w:numId w:val="15"/>
        </w:numPr>
        <w:ind w:left="1418" w:hanging="710"/>
        <w:contextualSpacing/>
        <w:jc w:val="both"/>
        <w:rPr>
          <w:rFonts w:ascii="Garamond" w:hAnsi="Garamond"/>
          <w:b/>
        </w:rPr>
      </w:pPr>
      <w:r w:rsidRPr="006025C3">
        <w:rPr>
          <w:rFonts w:ascii="Garamond" w:hAnsi="Garamond"/>
          <w:b/>
          <w:bCs/>
          <w:color w:val="000000"/>
          <w:shd w:val="clear" w:color="auto" w:fill="FFFFFF"/>
        </w:rPr>
        <w:t xml:space="preserve">Zálohová banková záruka znamená </w:t>
      </w:r>
      <w:r w:rsidRPr="006025C3">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w:t>
      </w:r>
      <w:r w:rsidRPr="006025C3">
        <w:rPr>
          <w:rFonts w:ascii="Garamond" w:hAnsi="Garamond"/>
          <w:color w:val="000000"/>
        </w:rPr>
        <w:t>všetkých práv námietok a obrany vyplývajúcich zo záväzkových vzťahov založených Zmluvou,</w:t>
      </w:r>
      <w:r w:rsidRPr="006025C3">
        <w:rPr>
          <w:rFonts w:ascii="Garamond" w:hAnsi="Garamond"/>
        </w:rPr>
        <w:t xml:space="preserve"> zaväzuje uspokojiť Objednávateľa do výšky 90 % Ceny za Dielo v prospech bankového účtu Objednávateľa uvedeného v záhlaví Zmluvy, ak za podmienok stanovených Zmluvou vznikne Zhotoviteľovi záväzok vrátiť Objednávateľovi prvú časť Cena za Dielo, pričom Zálohová banková záruka musí byť platná ešte mesiac po uplynutí príslušnej lehoty plnenia podľa </w:t>
      </w:r>
      <w:r w:rsidRPr="008F5B0B">
        <w:rPr>
          <w:rFonts w:ascii="Garamond" w:hAnsi="Garamond"/>
        </w:rPr>
        <w:t>článku 3 bod 3.1 Zmluvy</w:t>
      </w:r>
      <w:r w:rsidRPr="006025C3">
        <w:rPr>
          <w:rFonts w:ascii="Garamond" w:hAnsi="Garamond"/>
        </w:rPr>
        <w:t xml:space="preserve">, ktorá sa vzťahuje na vykonanie Diela na základe objednávky, ktorá je podkladom pre vystavenie zálohovej faktúry </w:t>
      </w:r>
      <w:r w:rsidRPr="00837158">
        <w:rPr>
          <w:rFonts w:ascii="Garamond" w:hAnsi="Garamond"/>
        </w:rPr>
        <w:t xml:space="preserve">podľa </w:t>
      </w:r>
      <w:r w:rsidRPr="008F5B0B">
        <w:rPr>
          <w:rFonts w:ascii="Garamond" w:hAnsi="Garamond"/>
        </w:rPr>
        <w:t>článku 5 bod 5.2 písm. (a) Zmluvy</w:t>
      </w:r>
      <w:r w:rsidR="003E6460" w:rsidRPr="00837158">
        <w:rPr>
          <w:rFonts w:ascii="Garamond" w:hAnsi="Garamond"/>
        </w:rPr>
        <w:t>.</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w:t>
      </w:r>
      <w:r w:rsidRPr="002A606E">
        <w:rPr>
          <w:rFonts w:ascii="Garamond" w:hAnsi="Garamond"/>
        </w:rPr>
        <w:lastRenderedPageBreak/>
        <w:t xml:space="preserve">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r w:rsidRPr="002A606E">
        <w:rPr>
          <w:rFonts w:ascii="Garamond" w:hAnsi="Garamond"/>
        </w:rPr>
        <w:t>novácií;</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02298468" w:rsidR="00322938" w:rsidRPr="002A606E" w:rsidRDefault="00424C79" w:rsidP="00690A8E">
      <w:pPr>
        <w:pStyle w:val="Odsekzoznamu"/>
        <w:widowControl w:val="0"/>
        <w:numPr>
          <w:ilvl w:val="1"/>
          <w:numId w:val="4"/>
        </w:numPr>
        <w:jc w:val="both"/>
        <w:rPr>
          <w:rFonts w:ascii="Garamond" w:hAnsi="Garamond"/>
        </w:rPr>
      </w:pPr>
      <w:bookmarkStart w:id="4"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4"/>
      <w:r w:rsidR="00E51A96" w:rsidRPr="002A606E">
        <w:rPr>
          <w:rFonts w:ascii="Garamond" w:hAnsi="Garamond"/>
          <w:b/>
        </w:rPr>
        <w:t xml:space="preserve">do </w:t>
      </w:r>
      <w:r w:rsidR="009E2957" w:rsidRPr="002A606E">
        <w:rPr>
          <w:rFonts w:ascii="Garamond" w:hAnsi="Garamond"/>
          <w:b/>
          <w:color w:val="000000" w:themeColor="text1"/>
        </w:rPr>
        <w:t>[</w:t>
      </w:r>
      <w:r w:rsidR="009E2957" w:rsidRPr="002A606E">
        <w:rPr>
          <w:rFonts w:ascii="Garamond" w:hAnsi="Garamond"/>
          <w:b/>
          <w:color w:val="000000" w:themeColor="text1"/>
          <w:highlight w:val="yellow"/>
        </w:rPr>
        <w:t>doplniť</w:t>
      </w:r>
      <w:r w:rsidR="009E2957" w:rsidRPr="002A606E">
        <w:rPr>
          <w:rFonts w:ascii="Garamond" w:hAnsi="Garamond"/>
          <w:b/>
          <w:color w:val="000000" w:themeColor="text1"/>
        </w:rPr>
        <w:t>]</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w:t>
      </w:r>
      <w:r w:rsidRPr="002A606E">
        <w:rPr>
          <w:rFonts w:ascii="Garamond" w:hAnsi="Garamond"/>
        </w:rPr>
        <w:lastRenderedPageBreak/>
        <w:t xml:space="preserve">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3CE98EBE"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p>
    <w:p w14:paraId="0913B0FF" w14:textId="77777777"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p>
    <w:p w14:paraId="724DF303" w14:textId="77777777" w:rsidR="00C4152D" w:rsidRPr="002A606E" w:rsidRDefault="00C4152D" w:rsidP="00690A8E">
      <w:pPr>
        <w:pStyle w:val="Odsekzoznamu"/>
        <w:widowControl w:val="0"/>
        <w:jc w:val="both"/>
        <w:rPr>
          <w:rFonts w:ascii="Garamond" w:hAnsi="Garamond"/>
        </w:rPr>
      </w:pPr>
      <w:r w:rsidRPr="002A606E">
        <w:rPr>
          <w:rFonts w:ascii="Garamond" w:hAnsi="Garamond"/>
        </w:rPr>
        <w:t>v rozsahu:</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0A05F1D8"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p>
    <w:p w14:paraId="6715EBA2" w14:textId="3FEAF4F1" w:rsidR="00197152" w:rsidRPr="002A606E" w:rsidRDefault="00C4152D" w:rsidP="00690A8E">
      <w:pPr>
        <w:pStyle w:val="Odsekzoznamu"/>
        <w:widowControl w:val="0"/>
        <w:jc w:val="both"/>
        <w:rPr>
          <w:rFonts w:ascii="Garamond" w:hAnsi="Garamond"/>
        </w:rPr>
      </w:pPr>
      <w:r w:rsidRPr="002A606E">
        <w:rPr>
          <w:rFonts w:ascii="Garamond" w:hAnsi="Garamond"/>
        </w:rPr>
        <w:t>v rozsahu:</w:t>
      </w:r>
    </w:p>
    <w:p w14:paraId="243EF7B8" w14:textId="35CE7824"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p>
    <w:p w14:paraId="4CE3D08C" w14:textId="2D301035"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71648335" w14:textId="596D99A8" w:rsidR="00664C14" w:rsidRPr="002A606E" w:rsidRDefault="00664C14" w:rsidP="00690A8E">
      <w:pPr>
        <w:pStyle w:val="Odsekzoznamu"/>
        <w:widowControl w:val="0"/>
        <w:jc w:val="both"/>
        <w:rPr>
          <w:rFonts w:ascii="Garamond" w:hAnsi="Garamond"/>
        </w:rPr>
      </w:pPr>
      <w:r w:rsidRPr="002A606E">
        <w:rPr>
          <w:rFonts w:ascii="Garamond" w:hAnsi="Garamond"/>
        </w:rPr>
        <w:t>Objednávateľ poveruje funkciou</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2A606E">
        <w:rPr>
          <w:rFonts w:ascii="Garamond" w:hAnsi="Garamond"/>
          <w:color w:val="FF0000"/>
        </w:rPr>
        <w:t xml:space="preserve"> </w:t>
      </w:r>
      <w:r w:rsidRPr="00690A8E">
        <w:rPr>
          <w:rFonts w:ascii="Garamond" w:hAnsi="Garamond"/>
          <w:color w:val="FF0000"/>
        </w:rPr>
        <w:t xml:space="preserve"> </w:t>
      </w:r>
      <w:r w:rsidRPr="002A606E">
        <w:rPr>
          <w:rFonts w:ascii="Garamond" w:hAnsi="Garamond"/>
        </w:rPr>
        <w:t>dozoru osobu:</w:t>
      </w:r>
    </w:p>
    <w:p w14:paraId="7E478826" w14:textId="77777777" w:rsidR="00664C14" w:rsidRPr="002A606E" w:rsidRDefault="00664C14" w:rsidP="00690A8E">
      <w:pPr>
        <w:pStyle w:val="Odsekzoznamu"/>
        <w:widowControl w:val="0"/>
        <w:jc w:val="both"/>
        <w:rPr>
          <w:rFonts w:ascii="Garamond" w:hAnsi="Garamond"/>
        </w:rPr>
      </w:pPr>
      <w:r w:rsidRPr="002A606E">
        <w:rPr>
          <w:rFonts w:ascii="Garamond" w:hAnsi="Garamond"/>
        </w:rPr>
        <w:t>Mobil:</w:t>
      </w:r>
    </w:p>
    <w:p w14:paraId="64E13B1E" w14:textId="0E0AD51F" w:rsidR="00664C14" w:rsidRPr="002A606E" w:rsidRDefault="00382ECA" w:rsidP="00690A8E">
      <w:pPr>
        <w:pStyle w:val="Odsekzoznamu"/>
        <w:widowControl w:val="0"/>
        <w:jc w:val="both"/>
        <w:rPr>
          <w:rFonts w:ascii="Garamond" w:hAnsi="Garamond"/>
        </w:rPr>
      </w:pPr>
      <w:r w:rsidRPr="002A606E">
        <w:rPr>
          <w:rFonts w:ascii="Garamond" w:hAnsi="Garamond"/>
        </w:rPr>
        <w:t>E</w:t>
      </w:r>
      <w:r w:rsidR="00664C14" w:rsidRPr="002A606E">
        <w:rPr>
          <w:rFonts w:ascii="Garamond" w:hAnsi="Garamond"/>
        </w:rPr>
        <w:t>-mail:</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lastRenderedPageBreak/>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ostatných súvisiacich osobitných predpisov, všeobecne záväzných nariadení hlavného mesta Slovenskej republiky Bratislavy a dotknutých mestských častí, slovenských technických noriem a iných technických </w:t>
      </w:r>
      <w:r w:rsidRPr="002A606E">
        <w:rPr>
          <w:rFonts w:ascii="Garamond" w:hAnsi="Garamond"/>
        </w:rPr>
        <w:lastRenderedPageBreak/>
        <w:t>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1D0320E"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že </w:t>
      </w:r>
      <w:r w:rsidR="00661809">
        <w:rPr>
          <w:rFonts w:ascii="Garamond" w:hAnsi="Garamond"/>
        </w:rPr>
        <w:t>u</w:t>
      </w:r>
      <w:r w:rsidRPr="002A606E">
        <w:rPr>
          <w:rFonts w:ascii="Garamond" w:hAnsi="Garamond"/>
        </w:rPr>
        <w:t xml:space="preserve"> fyzických osôb, prostredníctvom ktorých </w:t>
      </w:r>
      <w:r w:rsidR="00661809">
        <w:rPr>
          <w:rFonts w:ascii="Garamond" w:hAnsi="Garamond"/>
        </w:rPr>
        <w:t xml:space="preserve">vykonáva Dielo </w:t>
      </w:r>
      <w:r w:rsidRPr="002A606E">
        <w:rPr>
          <w:rFonts w:ascii="Garamond" w:hAnsi="Garamond"/>
        </w:rPr>
        <w:t>,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5" w:name="_Hlk74135435"/>
      <w:r w:rsidRPr="002A606E">
        <w:rPr>
          <w:rFonts w:ascii="Garamond" w:hAnsi="Garamond"/>
        </w:rPr>
        <w:t>doklady preukazujúce vzdelanie a odbornú prax alebo odbornú kvalifikáciu</w:t>
      </w:r>
      <w:bookmarkEnd w:id="5"/>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1F3C7A82"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 xml:space="preserve">Zhotoviteľ je povinný </w:t>
      </w:r>
      <w:r w:rsidR="00661809">
        <w:rPr>
          <w:rFonts w:ascii="Garamond" w:hAnsi="Garamond"/>
        </w:rPr>
        <w:t xml:space="preserve">do 2 </w:t>
      </w:r>
      <w:r w:rsidR="00837158">
        <w:rPr>
          <w:rFonts w:ascii="Garamond" w:hAnsi="Garamond"/>
        </w:rPr>
        <w:t>P</w:t>
      </w:r>
      <w:r w:rsidR="00661809">
        <w:rPr>
          <w:rFonts w:ascii="Garamond" w:hAnsi="Garamond"/>
        </w:rPr>
        <w:t xml:space="preserve">racovných dní odo dňa doručenia </w:t>
      </w:r>
      <w:r w:rsidR="007E0598" w:rsidRPr="002A606E">
        <w:rPr>
          <w:rFonts w:ascii="Garamond" w:hAnsi="Garamond"/>
        </w:rPr>
        <w:t>výzv</w:t>
      </w:r>
      <w:r w:rsidR="00661809">
        <w:rPr>
          <w:rFonts w:ascii="Garamond" w:hAnsi="Garamond"/>
        </w:rPr>
        <w:t>y</w:t>
      </w:r>
      <w:r w:rsidR="007E0598" w:rsidRPr="002A606E">
        <w:rPr>
          <w:rFonts w:ascii="Garamond" w:hAnsi="Garamond"/>
        </w:rPr>
        <w:t xml:space="preserve">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 xml:space="preserve">predloží Objednávateľovi na odsúhlasenie súpis skutočne vykonaných prác, ktorý bude podkladom pre </w:t>
      </w:r>
      <w:r w:rsidRPr="002A606E">
        <w:rPr>
          <w:rFonts w:ascii="Garamond" w:hAnsi="Garamond"/>
        </w:rPr>
        <w:lastRenderedPageBreak/>
        <w:t>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63D3F537" w:rsidR="00CD3C1F"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rozkopávkové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0BAAA755" w14:textId="77777777" w:rsidR="006025C3" w:rsidRPr="006025C3" w:rsidRDefault="006025C3" w:rsidP="006025C3">
      <w:pPr>
        <w:rPr>
          <w:rFonts w:ascii="Calibri" w:eastAsia="Calibri" w:hAnsi="Calibri" w:cs="Calibri"/>
          <w:sz w:val="22"/>
          <w:szCs w:val="22"/>
        </w:rPr>
      </w:pPr>
    </w:p>
    <w:p w14:paraId="2CE22493" w14:textId="4EE8F92C" w:rsidR="006025C3" w:rsidRPr="006025C3" w:rsidRDefault="006025C3" w:rsidP="006025C3">
      <w:pPr>
        <w:keepNext/>
        <w:numPr>
          <w:ilvl w:val="0"/>
          <w:numId w:val="42"/>
        </w:numPr>
        <w:ind w:hanging="720"/>
        <w:contextualSpacing/>
        <w:jc w:val="both"/>
        <w:rPr>
          <w:rFonts w:ascii="Garamond" w:eastAsia="Calibri" w:hAnsi="Garamond" w:cs="Calibri"/>
        </w:rPr>
      </w:pPr>
      <w:r w:rsidRPr="006025C3">
        <w:rPr>
          <w:rFonts w:ascii="Garamond" w:eastAsia="Calibri" w:hAnsi="Garamond" w:cs="Calibri"/>
          <w:lang w:eastAsia="ar-SA"/>
        </w:rPr>
        <w:t>Zmluvné</w:t>
      </w:r>
      <w:r w:rsidRPr="006025C3">
        <w:rPr>
          <w:rFonts w:ascii="Garamond" w:eastAsia="Calibri" w:hAnsi="Garamond" w:cs="Calibri"/>
        </w:rPr>
        <w:t xml:space="preserve"> strany sa dohodli, že Cena za Dielo objednané na základe objednávky doručenej </w:t>
      </w:r>
      <w:r w:rsidR="00661809">
        <w:rPr>
          <w:rFonts w:ascii="Garamond" w:eastAsia="Calibri" w:hAnsi="Garamond" w:cs="Calibri"/>
        </w:rPr>
        <w:t>Zhotovite</w:t>
      </w:r>
      <w:r w:rsidR="008F5B0B">
        <w:rPr>
          <w:rFonts w:ascii="Garamond" w:eastAsia="Calibri" w:hAnsi="Garamond" w:cs="Calibri"/>
        </w:rPr>
        <w:t>ľ</w:t>
      </w:r>
      <w:r w:rsidR="00C818DA">
        <w:rPr>
          <w:rFonts w:ascii="Garamond" w:eastAsia="Calibri" w:hAnsi="Garamond" w:cs="Calibri"/>
        </w:rPr>
        <w:t>ovi</w:t>
      </w:r>
      <w:r w:rsidR="008F5B0B">
        <w:rPr>
          <w:rFonts w:ascii="Garamond" w:eastAsia="Calibri" w:hAnsi="Garamond" w:cs="Calibri"/>
        </w:rPr>
        <w:t xml:space="preserve"> </w:t>
      </w:r>
      <w:r w:rsidRPr="006025C3">
        <w:rPr>
          <w:rFonts w:ascii="Garamond" w:eastAsia="Calibri" w:hAnsi="Garamond" w:cs="Calibri"/>
        </w:rPr>
        <w:t>najneskôr do 31.12.</w:t>
      </w:r>
      <w:r w:rsidR="00E87B70">
        <w:rPr>
          <w:rFonts w:ascii="Garamond" w:eastAsia="Calibri" w:hAnsi="Garamond" w:cs="Calibri"/>
        </w:rPr>
        <w:t>2022</w:t>
      </w:r>
      <w:r w:rsidR="00E87B70" w:rsidRPr="006025C3">
        <w:rPr>
          <w:rFonts w:ascii="Garamond" w:eastAsia="Calibri" w:hAnsi="Garamond" w:cs="Calibri"/>
        </w:rPr>
        <w:t xml:space="preserve"> </w:t>
      </w:r>
      <w:r w:rsidRPr="006025C3">
        <w:rPr>
          <w:rFonts w:ascii="Garamond" w:eastAsia="Calibri" w:hAnsi="Garamond" w:cs="Calibri"/>
        </w:rPr>
        <w:t xml:space="preserve">je splatná nasledovne: </w:t>
      </w:r>
    </w:p>
    <w:p w14:paraId="7AA1DF52" w14:textId="77777777" w:rsidR="006025C3" w:rsidRPr="006025C3" w:rsidRDefault="006025C3" w:rsidP="006025C3">
      <w:pPr>
        <w:keepNext/>
        <w:autoSpaceDE w:val="0"/>
        <w:autoSpaceDN w:val="0"/>
        <w:ind w:left="1440"/>
        <w:jc w:val="both"/>
        <w:rPr>
          <w:rFonts w:eastAsia="Calibri"/>
          <w:color w:val="000000"/>
          <w:lang w:val="cs-CZ"/>
        </w:rPr>
      </w:pPr>
    </w:p>
    <w:p w14:paraId="2F015306" w14:textId="77777777" w:rsidR="006025C3" w:rsidRPr="006025C3" w:rsidRDefault="006025C3" w:rsidP="006025C3">
      <w:pPr>
        <w:keepNext/>
        <w:numPr>
          <w:ilvl w:val="4"/>
          <w:numId w:val="43"/>
        </w:numPr>
        <w:autoSpaceDE w:val="0"/>
        <w:autoSpaceDN w:val="0"/>
        <w:jc w:val="both"/>
        <w:rPr>
          <w:rFonts w:eastAsia="Calibri"/>
          <w:color w:val="000000"/>
        </w:rPr>
      </w:pPr>
      <w:r w:rsidRPr="006025C3">
        <w:rPr>
          <w:rFonts w:ascii="Garamond" w:eastAsia="Calibri" w:hAnsi="Garamond"/>
          <w:color w:val="000000"/>
        </w:rPr>
        <w:t xml:space="preserve">prvú časť Ceny za Dielo </w:t>
      </w:r>
      <w:r w:rsidRPr="006025C3">
        <w:rPr>
          <w:rFonts w:ascii="Garamond" w:eastAsia="Calibri" w:hAnsi="Garamond"/>
          <w:b/>
          <w:bCs/>
          <w:color w:val="000000"/>
        </w:rPr>
        <w:t>vo výške do 90 % z Ceny za Dielo</w:t>
      </w:r>
      <w:r w:rsidRPr="006025C3">
        <w:rPr>
          <w:rFonts w:ascii="Garamond" w:eastAsia="Calibri" w:hAnsi="Garamond"/>
          <w:color w:val="000000"/>
        </w:rPr>
        <w:t xml:space="preserve"> zaplatí Objednávateľ Zhotoviteľovi ako zálohu </w:t>
      </w:r>
      <w:r w:rsidRPr="006025C3">
        <w:rPr>
          <w:rFonts w:ascii="Garamond" w:eastAsia="Calibri" w:hAnsi="Garamond"/>
          <w:color w:val="000000"/>
          <w:lang w:eastAsia="ar-SA"/>
        </w:rPr>
        <w:t xml:space="preserve">na základe faktúry, ktorú vystaví Zhotoviteľ a doručí ju Objednávateľovi </w:t>
      </w:r>
      <w:r w:rsidRPr="006025C3">
        <w:rPr>
          <w:rFonts w:ascii="Garamond" w:eastAsia="Calibri" w:hAnsi="Garamond"/>
          <w:color w:val="000000"/>
        </w:rPr>
        <w:t xml:space="preserve">najneskôr </w:t>
      </w:r>
      <w:r w:rsidRPr="006025C3">
        <w:rPr>
          <w:rFonts w:ascii="Garamond" w:eastAsia="Calibri" w:hAnsi="Garamond"/>
          <w:b/>
          <w:bCs/>
          <w:color w:val="000000"/>
        </w:rPr>
        <w:t xml:space="preserve">do 3 (troch) Pracovných dní </w:t>
      </w:r>
      <w:r w:rsidRPr="006025C3">
        <w:rPr>
          <w:rFonts w:ascii="Garamond" w:eastAsia="Calibri" w:hAnsi="Garamond"/>
          <w:color w:val="000000"/>
        </w:rPr>
        <w:t xml:space="preserve">odo dňa doručenia Objednávky podľa článku 2 bod 2.2 Zmluvy, za podmienky, že Objednávka je Zhotoviteľovi doručená </w:t>
      </w:r>
      <w:r w:rsidRPr="00837158">
        <w:rPr>
          <w:rFonts w:ascii="Garamond" w:eastAsia="Calibri" w:hAnsi="Garamond"/>
          <w:color w:val="000000"/>
        </w:rPr>
        <w:t xml:space="preserve">najneskôr </w:t>
      </w:r>
      <w:r w:rsidRPr="008F5B0B">
        <w:rPr>
          <w:rFonts w:ascii="Garamond" w:eastAsia="Calibri" w:hAnsi="Garamond"/>
          <w:color w:val="000000"/>
        </w:rPr>
        <w:t>do 31.12.2022</w:t>
      </w:r>
      <w:r w:rsidRPr="006025C3">
        <w:rPr>
          <w:rFonts w:ascii="Garamond" w:eastAsia="Calibri" w:hAnsi="Garamond"/>
          <w:color w:val="000000"/>
        </w:rPr>
        <w:t xml:space="preserve">. </w:t>
      </w:r>
      <w:r w:rsidRPr="006025C3">
        <w:rPr>
          <w:rFonts w:ascii="Garamond" w:eastAsia="Calibri" w:hAnsi="Garamond"/>
          <w:color w:val="000000"/>
          <w:lang w:eastAsia="ar-SA"/>
        </w:rPr>
        <w:t xml:space="preserve">Splatnosť faktúry za túto časť Ceny za Dielo je </w:t>
      </w:r>
      <w:r w:rsidRPr="006025C3">
        <w:rPr>
          <w:rFonts w:ascii="Garamond" w:eastAsia="Calibri" w:hAnsi="Garamond"/>
          <w:b/>
          <w:bCs/>
          <w:color w:val="000000"/>
        </w:rPr>
        <w:t>14 (štrnásť) dní</w:t>
      </w:r>
      <w:r w:rsidRPr="006025C3">
        <w:rPr>
          <w:rFonts w:ascii="Garamond" w:eastAsia="Calibri" w:hAnsi="Garamond"/>
          <w:color w:val="000000"/>
          <w:lang w:eastAsia="ar-SA"/>
        </w:rPr>
        <w:t xml:space="preserve"> odo dňa jej doručenia Objednávateľovi, najneskôr však </w:t>
      </w:r>
      <w:r w:rsidRPr="00837158">
        <w:rPr>
          <w:rFonts w:ascii="Garamond" w:eastAsia="Calibri" w:hAnsi="Garamond"/>
          <w:color w:val="000000"/>
        </w:rPr>
        <w:t>do</w:t>
      </w:r>
      <w:r w:rsidRPr="008F5B0B">
        <w:rPr>
          <w:rFonts w:ascii="Garamond" w:eastAsia="Calibri" w:hAnsi="Garamond"/>
          <w:color w:val="000000"/>
        </w:rPr>
        <w:t xml:space="preserve"> 31.12.2022</w:t>
      </w:r>
      <w:r w:rsidRPr="00837158">
        <w:rPr>
          <w:rFonts w:ascii="Garamond" w:eastAsia="Calibri" w:hAnsi="Garamond"/>
          <w:color w:val="000000"/>
          <w:lang w:eastAsia="ar-SA"/>
        </w:rPr>
        <w:t>.</w:t>
      </w:r>
      <w:r w:rsidRPr="006025C3">
        <w:rPr>
          <w:rFonts w:ascii="Garamond" w:eastAsia="Calibri" w:hAnsi="Garamond"/>
          <w:color w:val="000000"/>
          <w:lang w:eastAsia="ar-SA"/>
        </w:rPr>
        <w:t xml:space="preserve"> </w:t>
      </w:r>
      <w:r w:rsidRPr="006025C3">
        <w:rPr>
          <w:rFonts w:ascii="Garamond" w:eastAsia="Calibri" w:hAnsi="Garamond"/>
          <w:color w:val="000000"/>
        </w:rPr>
        <w:t xml:space="preserve">Pohľadávka Objednávateľa požadovať za podmienok stanovených Zmluvou od Zhotoviteľa vrátenie prvej </w:t>
      </w:r>
      <w:r w:rsidRPr="006025C3">
        <w:rPr>
          <w:rFonts w:ascii="Garamond" w:eastAsia="Calibri" w:hAnsi="Garamond"/>
          <w:color w:val="000000"/>
        </w:rPr>
        <w:lastRenderedPageBreak/>
        <w:t>časti Ceny za Dielo bude zabezpečená Zálohovou bankovou zárukou, ktorú je Zhotoviteľ povinný predložiť Objednávateľovi spolu so zálohovou faktúrou; a</w:t>
      </w:r>
    </w:p>
    <w:p w14:paraId="60DAE392" w14:textId="77777777" w:rsidR="006025C3" w:rsidRPr="006025C3" w:rsidRDefault="006025C3" w:rsidP="006025C3">
      <w:pPr>
        <w:keepNext/>
        <w:ind w:left="1418"/>
        <w:jc w:val="both"/>
        <w:rPr>
          <w:rFonts w:ascii="Garamond" w:eastAsia="Calibri" w:hAnsi="Garamond"/>
          <w:lang w:eastAsia="ar-SA"/>
        </w:rPr>
      </w:pPr>
    </w:p>
    <w:p w14:paraId="48594270" w14:textId="77777777" w:rsidR="006025C3" w:rsidRPr="006025C3" w:rsidRDefault="006025C3" w:rsidP="006025C3">
      <w:pPr>
        <w:keepNext/>
        <w:numPr>
          <w:ilvl w:val="4"/>
          <w:numId w:val="3"/>
        </w:numPr>
        <w:ind w:left="1418" w:hanging="709"/>
        <w:jc w:val="both"/>
        <w:rPr>
          <w:rFonts w:ascii="Garamond" w:eastAsia="Calibri" w:hAnsi="Garamond"/>
          <w:lang w:eastAsia="ar-SA"/>
        </w:rPr>
      </w:pPr>
      <w:r w:rsidRPr="006025C3">
        <w:rPr>
          <w:rFonts w:ascii="Garamond" w:eastAsia="Calibri" w:hAnsi="Garamond"/>
          <w:lang w:eastAsia="ar-SA"/>
        </w:rPr>
        <w:t xml:space="preserve">druhú časť Ceny sa Dielo </w:t>
      </w:r>
      <w:r w:rsidRPr="006025C3">
        <w:rPr>
          <w:rFonts w:ascii="Garamond" w:eastAsia="Calibri" w:hAnsi="Garamond"/>
          <w:b/>
          <w:bCs/>
          <w:lang w:eastAsia="ar-SA"/>
        </w:rPr>
        <w:t xml:space="preserve">po odpočítaní zálohy </w:t>
      </w:r>
      <w:r w:rsidRPr="006025C3">
        <w:rPr>
          <w:rFonts w:ascii="Garamond" w:eastAsia="Calibri" w:hAnsi="Garamond"/>
          <w:lang w:eastAsia="ar-SA"/>
        </w:rPr>
        <w:t xml:space="preserve">podľa tohto článku tohto bodu písm. (a) Zmluvy zaplatí Objednávateľ Zhotoviteľovi po riadnom dokončení a odovzdaní Diela </w:t>
      </w:r>
      <w:r w:rsidRPr="00837158">
        <w:rPr>
          <w:rFonts w:ascii="Garamond" w:eastAsia="Calibri" w:hAnsi="Garamond"/>
          <w:lang w:eastAsia="ar-SA"/>
        </w:rPr>
        <w:t xml:space="preserve">podľa </w:t>
      </w:r>
      <w:r w:rsidRPr="008F5B0B">
        <w:rPr>
          <w:rFonts w:ascii="Garamond" w:eastAsia="Calibri" w:hAnsi="Garamond"/>
          <w:lang w:eastAsia="ar-SA"/>
        </w:rPr>
        <w:t>článku 4 bod 4.3 Zmluvy</w:t>
      </w:r>
      <w:r w:rsidRPr="006025C3">
        <w:rPr>
          <w:rFonts w:ascii="Garamond" w:eastAsia="Calibri" w:hAnsi="Garamond"/>
          <w:lang w:eastAsia="ar-SA"/>
        </w:rPr>
        <w:t>.</w:t>
      </w:r>
      <w:r w:rsidRPr="006025C3">
        <w:rPr>
          <w:rFonts w:ascii="Garamond" w:eastAsia="Calibri" w:hAnsi="Garamond"/>
          <w:color w:val="000000"/>
          <w:lang w:eastAsia="ar-SA"/>
        </w:rPr>
        <w:t xml:space="preserve"> Zhotoviteľ vystaví Objednávateľovi faktúru a doručí ju Objednávateľovi najneskôr do 3 (troch) Pracovných </w:t>
      </w:r>
      <w:r w:rsidRPr="006025C3">
        <w:rPr>
          <w:rFonts w:ascii="Garamond" w:eastAsia="Calibri" w:hAnsi="Garamond"/>
          <w:lang w:eastAsia="ar-SA"/>
        </w:rPr>
        <w:t>dní</w:t>
      </w:r>
      <w:r w:rsidRPr="006025C3">
        <w:rPr>
          <w:rFonts w:ascii="Garamond" w:eastAsia="Calibri" w:hAnsi="Garamond"/>
          <w:color w:val="000000"/>
          <w:lang w:eastAsia="ar-SA"/>
        </w:rPr>
        <w:t xml:space="preserve"> </w:t>
      </w:r>
      <w:r w:rsidRPr="006025C3">
        <w:rPr>
          <w:rFonts w:ascii="Garamond" w:eastAsia="Calibri" w:hAnsi="Garamond"/>
          <w:lang w:eastAsia="ar-SA"/>
        </w:rPr>
        <w:t>odo</w:t>
      </w:r>
      <w:r w:rsidRPr="006025C3">
        <w:rPr>
          <w:rFonts w:ascii="Garamond" w:eastAsia="Calibri" w:hAnsi="Garamond"/>
          <w:color w:val="000000"/>
          <w:lang w:eastAsia="ar-SA"/>
        </w:rPr>
        <w:t xml:space="preserve"> dňa </w:t>
      </w:r>
      <w:r w:rsidRPr="006025C3">
        <w:rPr>
          <w:rFonts w:ascii="Garamond" w:eastAsia="Calibri" w:hAnsi="Garamond"/>
          <w:lang w:eastAsia="ar-SA"/>
        </w:rPr>
        <w:t>podpisu Preberacieho protokolu, pričom prílohou faktúry bude Zmluvnými stranami podpísaný Preberací protokol. Objednávateľ sa zaväzuje zaplatiť fakturovanú cenu v lehote splatnosti</w:t>
      </w:r>
      <w:r w:rsidRPr="006025C3">
        <w:rPr>
          <w:rFonts w:ascii="Garamond" w:eastAsia="Calibri" w:hAnsi="Garamond"/>
          <w:b/>
          <w:bCs/>
          <w:lang w:eastAsia="ar-SA"/>
        </w:rPr>
        <w:t xml:space="preserve"> 60 (šesťdesiat) dní </w:t>
      </w:r>
      <w:r w:rsidRPr="006025C3">
        <w:rPr>
          <w:rFonts w:ascii="Garamond" w:eastAsia="Calibri" w:hAnsi="Garamond"/>
          <w:lang w:eastAsia="ar-SA"/>
        </w:rPr>
        <w:t>odo dňa doručenia faktúry.</w:t>
      </w:r>
    </w:p>
    <w:p w14:paraId="235699D5" w14:textId="77777777" w:rsidR="006025C3" w:rsidRPr="006025C3" w:rsidRDefault="006025C3" w:rsidP="006025C3">
      <w:pPr>
        <w:keepNext/>
        <w:ind w:left="720"/>
        <w:contextualSpacing/>
        <w:jc w:val="both"/>
        <w:rPr>
          <w:rFonts w:eastAsia="Calibri"/>
        </w:rPr>
      </w:pPr>
    </w:p>
    <w:p w14:paraId="557332D2" w14:textId="7958180C" w:rsidR="006025C3" w:rsidRPr="002A606E" w:rsidRDefault="006025C3" w:rsidP="006025C3">
      <w:pPr>
        <w:widowControl w:val="0"/>
        <w:numPr>
          <w:ilvl w:val="0"/>
          <w:numId w:val="29"/>
        </w:numPr>
        <w:suppressAutoHyphens/>
        <w:ind w:hanging="720"/>
        <w:contextualSpacing/>
        <w:jc w:val="both"/>
        <w:rPr>
          <w:rFonts w:ascii="Garamond" w:hAnsi="Garamond"/>
        </w:rPr>
      </w:pPr>
      <w:bookmarkStart w:id="6" w:name="_Hlk119058138"/>
      <w:r w:rsidRPr="006025C3">
        <w:rPr>
          <w:rFonts w:ascii="Garamond" w:eastAsia="Calibri" w:hAnsi="Garamond" w:cs="Calibri"/>
        </w:rPr>
        <w:t xml:space="preserve">Pre vylúčenie akýchkoľvek pochybností sa Zmluvné strany dohodli, že právo na zaplatenie Cena za Dielo </w:t>
      </w:r>
      <w:r w:rsidRPr="006025C3">
        <w:rPr>
          <w:rFonts w:ascii="Garamond" w:eastAsia="Calibri" w:hAnsi="Garamond" w:cs="Calibri"/>
          <w:lang w:eastAsia="ar-SA"/>
        </w:rPr>
        <w:t>objednané</w:t>
      </w:r>
      <w:r w:rsidRPr="006025C3">
        <w:rPr>
          <w:rFonts w:ascii="Garamond" w:eastAsia="Calibri" w:hAnsi="Garamond" w:cs="Calibri"/>
        </w:rPr>
        <w:t xml:space="preserve"> na základe objednávky doručenej Zhotoviteľovi po </w:t>
      </w:r>
      <w:r w:rsidRPr="00837158">
        <w:rPr>
          <w:rFonts w:ascii="Garamond" w:eastAsia="Calibri" w:hAnsi="Garamond" w:cs="Calibri"/>
        </w:rPr>
        <w:t>termíne</w:t>
      </w:r>
      <w:r w:rsidRPr="008F5B0B">
        <w:rPr>
          <w:rFonts w:ascii="Garamond" w:eastAsia="Calibri" w:hAnsi="Garamond" w:cs="Calibri"/>
        </w:rPr>
        <w:t xml:space="preserve"> 31.12.2022</w:t>
      </w:r>
      <w:r w:rsidRPr="00837158">
        <w:rPr>
          <w:rFonts w:ascii="Garamond" w:eastAsia="Calibri" w:hAnsi="Garamond" w:cs="Calibri"/>
        </w:rPr>
        <w:t xml:space="preserve"> vzniká</w:t>
      </w:r>
      <w:r w:rsidRPr="006025C3">
        <w:rPr>
          <w:rFonts w:ascii="Garamond" w:eastAsia="Calibri" w:hAnsi="Garamond" w:cs="Calibri"/>
        </w:rPr>
        <w:t xml:space="preserve"> Zhotoviteľovi </w:t>
      </w:r>
      <w:r w:rsidRPr="006025C3">
        <w:rPr>
          <w:rFonts w:ascii="Garamond" w:eastAsia="Calibri" w:hAnsi="Garamond" w:cs="Calibri"/>
          <w:lang w:eastAsia="ar-SA"/>
        </w:rPr>
        <w:t xml:space="preserve">po riadnom dokončení a odovzdaní Diela </w:t>
      </w:r>
      <w:r w:rsidRPr="00837158">
        <w:rPr>
          <w:rFonts w:ascii="Garamond" w:eastAsia="Calibri" w:hAnsi="Garamond" w:cs="Calibri"/>
          <w:lang w:eastAsia="ar-SA"/>
        </w:rPr>
        <w:t xml:space="preserve">podľa </w:t>
      </w:r>
      <w:r w:rsidRPr="008F5B0B">
        <w:rPr>
          <w:rFonts w:ascii="Garamond" w:eastAsia="Calibri" w:hAnsi="Garamond" w:cs="Calibri"/>
          <w:lang w:eastAsia="ar-SA"/>
        </w:rPr>
        <w:t>článku 4 bod 4.3 Zmluvy</w:t>
      </w:r>
      <w:r w:rsidRPr="006025C3">
        <w:rPr>
          <w:rFonts w:ascii="Garamond" w:eastAsia="Calibri" w:hAnsi="Garamond" w:cs="Calibri"/>
          <w:lang w:eastAsia="ar-SA"/>
        </w:rPr>
        <w:t xml:space="preserve">. </w:t>
      </w:r>
      <w:r w:rsidRPr="006025C3">
        <w:rPr>
          <w:rFonts w:ascii="Garamond" w:eastAsia="Calibri" w:hAnsi="Garamond" w:cs="Calibri"/>
          <w:color w:val="000000"/>
        </w:rPr>
        <w:t xml:space="preserve">Zhotoviteľ vystaví Objednávateľovi faktúru a doručí ju Objednávateľovi najneskôr do 3 (troch) Pracovných </w:t>
      </w:r>
      <w:r w:rsidRPr="006025C3">
        <w:rPr>
          <w:rFonts w:ascii="Garamond" w:eastAsia="Calibri" w:hAnsi="Garamond" w:cs="Calibri"/>
        </w:rPr>
        <w:t>dní</w:t>
      </w:r>
      <w:r w:rsidRPr="006025C3">
        <w:rPr>
          <w:rFonts w:ascii="Garamond" w:eastAsia="Calibri" w:hAnsi="Garamond" w:cs="Calibri"/>
          <w:color w:val="000000"/>
        </w:rPr>
        <w:t xml:space="preserve"> </w:t>
      </w:r>
      <w:r w:rsidRPr="006025C3">
        <w:rPr>
          <w:rFonts w:ascii="Garamond" w:eastAsia="Calibri" w:hAnsi="Garamond" w:cs="Calibri"/>
          <w:lang w:eastAsia="ar-SA"/>
        </w:rPr>
        <w:t>odo</w:t>
      </w:r>
      <w:r w:rsidRPr="006025C3">
        <w:rPr>
          <w:rFonts w:ascii="Garamond" w:eastAsia="Calibri" w:hAnsi="Garamond" w:cs="Calibri"/>
          <w:color w:val="000000"/>
        </w:rPr>
        <w:t xml:space="preserve"> dňa </w:t>
      </w:r>
      <w:r w:rsidRPr="006025C3">
        <w:rPr>
          <w:rFonts w:ascii="Garamond" w:eastAsia="Calibri" w:hAnsi="Garamond" w:cs="Calibri"/>
          <w:lang w:eastAsia="ar-SA"/>
        </w:rPr>
        <w:t>podpisu Preberacieho protokolu</w:t>
      </w:r>
      <w:r w:rsidRPr="006025C3">
        <w:rPr>
          <w:rFonts w:ascii="Garamond" w:eastAsia="Calibri" w:hAnsi="Garamond" w:cs="Calibri"/>
        </w:rPr>
        <w:t>, pričom prílohou faktúry bude Zmluvnými stranami podpísaný Preberací protokol. Objednávateľ sa zaväzuje zaplatiť fakturovanú cenu v lehote splatnosti</w:t>
      </w:r>
      <w:r w:rsidRPr="006025C3">
        <w:rPr>
          <w:rFonts w:ascii="Garamond" w:eastAsia="Calibri" w:hAnsi="Garamond" w:cs="Calibri"/>
          <w:b/>
          <w:bCs/>
        </w:rPr>
        <w:t xml:space="preserve"> 60 (šesťdesiat) dní </w:t>
      </w:r>
      <w:r w:rsidRPr="006025C3">
        <w:rPr>
          <w:rFonts w:ascii="Garamond" w:eastAsia="Calibri" w:hAnsi="Garamond" w:cs="Calibri"/>
        </w:rPr>
        <w:t>odo dňa doručenia faktúry</w:t>
      </w:r>
      <w:bookmarkEnd w:id="6"/>
      <w:r w:rsidR="00565E7C">
        <w:rPr>
          <w:rFonts w:ascii="Garamond" w:eastAsia="Calibri" w:hAnsi="Garamond" w:cs="Calibri"/>
        </w:rPr>
        <w:t>.</w:t>
      </w:r>
    </w:p>
    <w:p w14:paraId="1D80C07F" w14:textId="2405CACB" w:rsidR="00B37EB5" w:rsidRPr="002A606E" w:rsidRDefault="00B37EB5" w:rsidP="008F5B0B">
      <w:pPr>
        <w:widowControl w:val="0"/>
        <w:contextualSpacing/>
        <w:jc w:val="both"/>
        <w:rPr>
          <w:rFonts w:ascii="Garamond" w:hAnsi="Garamond"/>
        </w:rPr>
      </w:pP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1CF5014"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bookmarkStart w:id="7" w:name="_Hlk119058238"/>
      <w:r w:rsidR="00AF6A39">
        <w:rPr>
          <w:rFonts w:ascii="Garamond" w:hAnsi="Garamond"/>
        </w:rPr>
        <w:t xml:space="preserve">podľa tohto článku bodu 5.2. písm. a) Zmluvy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AF6A39">
        <w:rPr>
          <w:rFonts w:ascii="Garamond" w:hAnsi="Garamond"/>
        </w:rPr>
        <w:t xml:space="preserve"> a Zálohová banková záruka</w:t>
      </w:r>
      <w:r w:rsidR="00715474" w:rsidRPr="002A606E">
        <w:rPr>
          <w:rFonts w:ascii="Garamond" w:hAnsi="Garamond"/>
        </w:rPr>
        <w:t xml:space="preserve">, </w:t>
      </w:r>
      <w:r w:rsidR="00AF6A39">
        <w:rPr>
          <w:rFonts w:ascii="Garamond" w:hAnsi="Garamond"/>
        </w:rPr>
        <w:t>a k faktúre podľa toh</w:t>
      </w:r>
      <w:r w:rsidR="00500B94">
        <w:rPr>
          <w:rFonts w:ascii="Garamond" w:hAnsi="Garamond"/>
        </w:rPr>
        <w:t>to</w:t>
      </w:r>
      <w:r w:rsidR="00AF6A39">
        <w:rPr>
          <w:rFonts w:ascii="Garamond" w:hAnsi="Garamond"/>
        </w:rPr>
        <w:t xml:space="preserve"> článku bod </w:t>
      </w:r>
      <w:r w:rsidR="00500B94">
        <w:rPr>
          <w:rFonts w:ascii="Garamond" w:hAnsi="Garamond"/>
        </w:rPr>
        <w:t xml:space="preserve">5.2. písm. b) Zmluvy  bude pripojený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w:t>
      </w:r>
      <w:r w:rsidR="00500B94">
        <w:rPr>
          <w:rFonts w:ascii="Garamond" w:hAnsi="Garamond"/>
        </w:rPr>
        <w:t xml:space="preserve"> v ostatných prípadoch podľa tohto článku bod 5.3. Zmluvy bude k faktúre pripojená objednávka , Preberací protokol a súpis skutočne vykonaných prác.</w:t>
      </w:r>
      <w:bookmarkEnd w:id="7"/>
      <w:r w:rsidR="00715474" w:rsidRPr="002A606E">
        <w:rPr>
          <w:rFonts w:ascii="Garamond" w:hAnsi="Garamond"/>
        </w:rPr>
        <w:t xml:space="preserve">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704182"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Ak</w:t>
      </w:r>
      <w:r w:rsidR="003E67B4" w:rsidRPr="002A606E">
        <w:rPr>
          <w:rFonts w:ascii="Garamond" w:hAnsi="Garamond"/>
        </w:rPr>
        <w:t xml:space="preserve"> </w:t>
      </w:r>
      <w:r w:rsidRPr="002A606E">
        <w:rPr>
          <w:rFonts w:ascii="Garamond" w:hAnsi="Garamond"/>
        </w:rPr>
        <w:t>deň</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8F5B0B">
        <w:rPr>
          <w:rFonts w:ascii="Garamond" w:hAnsi="Garamond"/>
        </w:rPr>
        <w:t xml:space="preserve"> </w:t>
      </w:r>
      <w:r w:rsidR="003E67B4" w:rsidRPr="002A606E">
        <w:rPr>
          <w:rFonts w:ascii="Garamond" w:hAnsi="Garamond"/>
        </w:rPr>
        <w:t xml:space="preserve"> </w:t>
      </w:r>
      <w:r w:rsidRPr="002A606E">
        <w:rPr>
          <w:rFonts w:ascii="Garamond" w:hAnsi="Garamond"/>
        </w:rPr>
        <w:t>pripadne</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sobotu,</w:t>
      </w:r>
      <w:r w:rsidR="003E67B4" w:rsidRPr="002A606E">
        <w:rPr>
          <w:rFonts w:ascii="Garamond" w:hAnsi="Garamond"/>
        </w:rPr>
        <w:t xml:space="preserve"> </w:t>
      </w:r>
      <w:r w:rsidRPr="002A606E">
        <w:rPr>
          <w:rFonts w:ascii="Garamond" w:hAnsi="Garamond"/>
        </w:rPr>
        <w:t>nedeľu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sviatok,</w:t>
      </w:r>
      <w:r w:rsidR="003E67B4" w:rsidRPr="002A606E">
        <w:rPr>
          <w:rFonts w:ascii="Garamond" w:hAnsi="Garamond"/>
        </w:rPr>
        <w:t xml:space="preserve"> </w:t>
      </w:r>
      <w:r w:rsidRPr="002A606E">
        <w:rPr>
          <w:rFonts w:ascii="Garamond" w:hAnsi="Garamond"/>
        </w:rPr>
        <w:t>splatnosť</w:t>
      </w:r>
      <w:r w:rsidR="003E67B4" w:rsidRPr="002A606E">
        <w:rPr>
          <w:rFonts w:ascii="Garamond" w:hAnsi="Garamond"/>
        </w:rPr>
        <w:t xml:space="preserve"> </w:t>
      </w:r>
      <w:r w:rsidRPr="002A606E">
        <w:rPr>
          <w:rFonts w:ascii="Garamond" w:hAnsi="Garamond"/>
        </w:rPr>
        <w:t>takejto</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posúva</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najbližší</w:t>
      </w:r>
      <w:r w:rsidR="003E67B4" w:rsidRPr="002A606E">
        <w:rPr>
          <w:rFonts w:ascii="Garamond" w:hAnsi="Garamond"/>
        </w:rPr>
        <w:t xml:space="preserve"> </w:t>
      </w:r>
      <w:r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Pr="002A606E">
        <w:rPr>
          <w:rFonts w:ascii="Garamond" w:hAnsi="Garamond"/>
        </w:rPr>
        <w:t>racovný</w:t>
      </w:r>
      <w:r w:rsidR="003E67B4" w:rsidRPr="002A606E">
        <w:rPr>
          <w:rFonts w:ascii="Garamond" w:hAnsi="Garamond"/>
        </w:rPr>
        <w:t xml:space="preserve"> </w:t>
      </w:r>
      <w:r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72CA8CEB"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500B94">
        <w:rPr>
          <w:rFonts w:ascii="Garamond" w:hAnsi="Garamond"/>
        </w:rPr>
        <w:t xml:space="preserve"> </w:t>
      </w:r>
      <w:bookmarkStart w:id="8" w:name="_Hlk119058321"/>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bookmarkEnd w:id="8"/>
      <w:r w:rsidR="001235BE">
        <w:rPr>
          <w:rFonts w:ascii="Garamond" w:hAnsi="Garamond"/>
        </w:rPr>
        <w:t xml:space="preserve">Dielo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pričom záručná doba začína plynúť odo dňa riadneho odovzdania a prevzatia Diela podľa článku 4 Zmluvy.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DA6BCFB"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požadovanému rozsahu</w:t>
      </w:r>
      <w:r w:rsidR="00F12903" w:rsidRPr="002A606E">
        <w:rPr>
          <w:rFonts w:ascii="Garamond" w:hAnsi="Garamond"/>
        </w:rPr>
        <w:t xml:space="preserve"> stanoven</w:t>
      </w:r>
      <w:r w:rsidR="00500B94">
        <w:rPr>
          <w:rFonts w:ascii="Garamond" w:hAnsi="Garamond"/>
        </w:rPr>
        <w:t xml:space="preserve">om </w:t>
      </w:r>
      <w:r w:rsidR="00F12903" w:rsidRPr="002A606E">
        <w:rPr>
          <w:rFonts w:ascii="Garamond" w:hAnsi="Garamond"/>
        </w:rPr>
        <w:t xml:space="preserve">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Pokiaľ Zhotoviteľ nesplní svoju povinnosť odstrániť vady Diela v lehote stanovenej podľa tohto článku bodu 6.6 </w:t>
      </w:r>
      <w:r w:rsidRPr="002A606E">
        <w:rPr>
          <w:rFonts w:ascii="Garamond" w:hAnsi="Garamond"/>
        </w:rPr>
        <w:lastRenderedPageBreak/>
        <w:t>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t.j.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3B7DE847"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w:t>
      </w:r>
      <w:r w:rsidR="00837158">
        <w:rPr>
          <w:rFonts w:ascii="Garamond" w:hAnsi="Garamond"/>
          <w:sz w:val="20"/>
        </w:rPr>
        <w:t xml:space="preserve"> </w:t>
      </w:r>
      <w:r w:rsidRPr="002A606E">
        <w:rPr>
          <w:rFonts w:ascii="Garamond" w:hAnsi="Garamond"/>
          <w:sz w:val="20"/>
        </w:rPr>
        <w:t xml:space="preserve">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w:t>
      </w:r>
      <w:r w:rsidRPr="002A606E">
        <w:rPr>
          <w:rFonts w:ascii="Garamond" w:hAnsi="Garamond"/>
          <w:sz w:val="20"/>
        </w:rPr>
        <w:lastRenderedPageBreak/>
        <w:t xml:space="preserve">zmeny Subdodávateľa, </w:t>
      </w:r>
      <w:bookmarkStart w:id="9"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9"/>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785D96E6"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w:t>
      </w:r>
      <w:r w:rsidR="005A3536">
        <w:rPr>
          <w:rFonts w:ascii="Garamond" w:hAnsi="Garamond"/>
        </w:rPr>
        <w:t>3</w:t>
      </w:r>
      <w:r w:rsidR="00F12903" w:rsidRPr="002A606E">
        <w:rPr>
          <w:rFonts w:ascii="Garamond" w:hAnsi="Garamond"/>
        </w:rPr>
        <w:t xml:space="preserve"> bod 1</w:t>
      </w:r>
      <w:r w:rsidR="005A3536">
        <w:rPr>
          <w:rFonts w:ascii="Garamond" w:hAnsi="Garamond"/>
        </w:rPr>
        <w:t>3</w:t>
      </w:r>
      <w:r w:rsidR="00F12903" w:rsidRPr="002A606E">
        <w:rPr>
          <w:rFonts w:ascii="Garamond" w:hAnsi="Garamond"/>
        </w:rPr>
        <w:t>.10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a nasl.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je spoločnosťou riadne založenou a existujúcou podľa právneho poriadku Slovenskej republiky, neexistuje žiaden dôvod neplatnosti spoločnosti, má všetky potrebné právomoci a oprávnenia na objednanie činností, </w:t>
      </w:r>
      <w:r w:rsidRPr="002A606E">
        <w:rPr>
          <w:rFonts w:ascii="Garamond" w:hAnsi="Garamond"/>
        </w:rPr>
        <w:lastRenderedPageBreak/>
        <w:t>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2A606E" w:rsidRDefault="0041465F"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nie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akákoľvek</w:t>
      </w:r>
      <w:r w:rsidR="003E67B4" w:rsidRPr="002A606E">
        <w:rPr>
          <w:rFonts w:ascii="Garamond" w:hAnsi="Garamond"/>
        </w:rPr>
        <w:t xml:space="preserve"> </w:t>
      </w:r>
      <w:r w:rsidRPr="002A606E">
        <w:rPr>
          <w:rFonts w:ascii="Garamond" w:hAnsi="Garamond"/>
        </w:rPr>
        <w:t>komunikácia</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úkony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súvislosti</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Zmluvou</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plnením,</w:t>
      </w:r>
      <w:r w:rsidR="003E67B4" w:rsidRPr="002A606E">
        <w:rPr>
          <w:rFonts w:ascii="Garamond" w:hAnsi="Garamond"/>
        </w:rPr>
        <w:t xml:space="preserve"> </w:t>
      </w:r>
      <w:r w:rsidRPr="002A606E">
        <w:rPr>
          <w:rFonts w:ascii="Garamond" w:hAnsi="Garamond"/>
        </w:rPr>
        <w:t>musia</w:t>
      </w:r>
      <w:r w:rsidR="003E67B4" w:rsidRPr="002A606E">
        <w:rPr>
          <w:rFonts w:ascii="Garamond" w:hAnsi="Garamond"/>
        </w:rPr>
        <w:t xml:space="preserve"> </w:t>
      </w:r>
      <w:r w:rsidRPr="002A606E">
        <w:rPr>
          <w:rFonts w:ascii="Garamond" w:hAnsi="Garamond"/>
        </w:rPr>
        <w:t>byť</w:t>
      </w:r>
      <w:r w:rsidR="003E67B4" w:rsidRPr="002A606E">
        <w:rPr>
          <w:rFonts w:ascii="Garamond" w:hAnsi="Garamond"/>
        </w:rPr>
        <w:t xml:space="preserve"> </w:t>
      </w:r>
      <w:r w:rsidRPr="002A606E">
        <w:rPr>
          <w:rFonts w:ascii="Garamond" w:hAnsi="Garamond"/>
        </w:rPr>
        <w:t>urobené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písomnej</w:t>
      </w:r>
      <w:r w:rsidR="003E67B4" w:rsidRPr="002A606E">
        <w:rPr>
          <w:rFonts w:ascii="Garamond" w:hAnsi="Garamond"/>
        </w:rPr>
        <w:t xml:space="preserve"> </w:t>
      </w:r>
      <w:r w:rsidRPr="002A606E">
        <w:rPr>
          <w:rFonts w:ascii="Garamond" w:hAnsi="Garamond"/>
        </w:rPr>
        <w:t>forme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doručené</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záhlaví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kontaktné</w:t>
      </w:r>
      <w:r w:rsidR="003E67B4" w:rsidRPr="002A606E">
        <w:rPr>
          <w:rFonts w:ascii="Garamond" w:hAnsi="Garamond"/>
        </w:rPr>
        <w:t xml:space="preserve"> </w:t>
      </w:r>
      <w:r w:rsidRPr="002A606E">
        <w:rPr>
          <w:rFonts w:ascii="Garamond" w:hAnsi="Garamond"/>
        </w:rPr>
        <w:t>osoby,</w:t>
      </w:r>
      <w:r w:rsidR="003E67B4" w:rsidRPr="002A606E">
        <w:rPr>
          <w:rFonts w:ascii="Garamond" w:hAnsi="Garamond"/>
        </w:rPr>
        <w:t xml:space="preserve"> </w:t>
      </w:r>
      <w:r w:rsidRPr="002A606E">
        <w:rPr>
          <w:rFonts w:ascii="Garamond" w:hAnsi="Garamond"/>
        </w:rPr>
        <w:t>ktoré</w:t>
      </w:r>
      <w:r w:rsidR="003E67B4" w:rsidRPr="002A606E">
        <w:rPr>
          <w:rFonts w:ascii="Garamond" w:hAnsi="Garamond"/>
        </w:rPr>
        <w:t xml:space="preserve"> </w:t>
      </w:r>
      <w:r w:rsidRPr="002A606E">
        <w:rPr>
          <w:rFonts w:ascii="Garamond" w:hAnsi="Garamond"/>
        </w:rPr>
        <w:t>si</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strany</w:t>
      </w:r>
      <w:r w:rsidR="003E67B4" w:rsidRPr="002A606E">
        <w:rPr>
          <w:rFonts w:ascii="Garamond" w:hAnsi="Garamond"/>
        </w:rPr>
        <w:t xml:space="preserve"> </w:t>
      </w:r>
      <w:r w:rsidRPr="002A606E">
        <w:rPr>
          <w:rFonts w:ascii="Garamond" w:hAnsi="Garamond"/>
        </w:rPr>
        <w:t>navzájom</w:t>
      </w:r>
      <w:r w:rsidR="003E67B4" w:rsidRPr="002A606E">
        <w:rPr>
          <w:rFonts w:ascii="Garamond" w:hAnsi="Garamond"/>
        </w:rPr>
        <w:t xml:space="preserve"> </w:t>
      </w:r>
      <w:r w:rsidRPr="002A606E">
        <w:rPr>
          <w:rFonts w:ascii="Garamond" w:hAnsi="Garamond"/>
        </w:rPr>
        <w:t>písomne</w:t>
      </w:r>
      <w:r w:rsidR="003E67B4" w:rsidRPr="002A606E">
        <w:rPr>
          <w:rFonts w:ascii="Garamond" w:hAnsi="Garamond"/>
        </w:rPr>
        <w:t xml:space="preserve"> </w:t>
      </w:r>
      <w:r w:rsidRPr="002A606E">
        <w:rPr>
          <w:rFonts w:ascii="Garamond" w:hAnsi="Garamond"/>
        </w:rPr>
        <w:t>oznámia.</w:t>
      </w: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06C6B692"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500B94">
        <w:rPr>
          <w:rFonts w:ascii="Garamond" w:hAnsi="Garamond"/>
        </w:rPr>
        <w:t>1</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 xml:space="preserve">mi a/alebo pri vykonávaní Diela nepostupuje s odbornou starostlivosťou, a ak Zhotoviteľ nezjedná nápravu ani po výzve Objednávateľa, v ktorej Objednávateľ poskytne dodatočnú </w:t>
      </w:r>
      <w:r w:rsidRPr="002A606E">
        <w:rPr>
          <w:rFonts w:ascii="Garamond" w:hAnsi="Garamond"/>
        </w:rPr>
        <w:lastRenderedPageBreak/>
        <w:t>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167C6F4A"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w:t>
      </w:r>
      <w:r w:rsidR="00F53CE5">
        <w:rPr>
          <w:rFonts w:ascii="Garamond" w:hAnsi="Garamond"/>
        </w:rPr>
        <w:t xml:space="preserve"> a článku 13. bod 13.10.Zmluvy</w:t>
      </w:r>
      <w:r w:rsidR="0091528B" w:rsidRPr="002A606E">
        <w:rPr>
          <w:rFonts w:ascii="Garamond" w:hAnsi="Garamond"/>
        </w:rPr>
        <w:t xml:space="preserve">;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0D54EE52" w:rsidR="00EE1D68"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w:t>
      </w:r>
      <w:r w:rsidR="00500B94">
        <w:rPr>
          <w:rFonts w:ascii="Garamond" w:hAnsi="Garamond"/>
        </w:rPr>
        <w:t> </w:t>
      </w:r>
      <w:r w:rsidRPr="002A606E">
        <w:rPr>
          <w:rFonts w:ascii="Garamond" w:hAnsi="Garamond"/>
        </w:rPr>
        <w:t>Zmluv</w:t>
      </w:r>
      <w:r w:rsidR="00EE1D68" w:rsidRPr="002A606E">
        <w:rPr>
          <w:rFonts w:ascii="Garamond" w:hAnsi="Garamond"/>
        </w:rPr>
        <w:t>e</w:t>
      </w:r>
      <w:r w:rsidR="00500B94">
        <w:rPr>
          <w:rFonts w:ascii="Garamond" w:hAnsi="Garamond"/>
        </w:rPr>
        <w:t>;</w:t>
      </w:r>
    </w:p>
    <w:p w14:paraId="1A876EFF" w14:textId="77777777" w:rsidR="00500B94" w:rsidRPr="008F5B0B" w:rsidRDefault="00500B94" w:rsidP="008F5B0B">
      <w:pPr>
        <w:pStyle w:val="Odsekzoznamu"/>
        <w:rPr>
          <w:rFonts w:ascii="Garamond" w:hAnsi="Garamond"/>
        </w:rPr>
      </w:pPr>
    </w:p>
    <w:p w14:paraId="5AD43879" w14:textId="462511FA" w:rsidR="00500B94" w:rsidRPr="002A606E" w:rsidRDefault="00500B94" w:rsidP="00F33892">
      <w:pPr>
        <w:pStyle w:val="Odsekzoznamu"/>
        <w:widowControl w:val="0"/>
        <w:numPr>
          <w:ilvl w:val="0"/>
          <w:numId w:val="23"/>
        </w:numPr>
        <w:tabs>
          <w:tab w:val="left" w:pos="-142"/>
        </w:tabs>
        <w:ind w:left="1418" w:hanging="709"/>
        <w:jc w:val="both"/>
        <w:rPr>
          <w:rFonts w:ascii="Garamond" w:hAnsi="Garamond"/>
        </w:rPr>
      </w:pPr>
      <w:bookmarkStart w:id="10" w:name="_Hlk119058575"/>
      <w:r>
        <w:rPr>
          <w:rFonts w:ascii="Garamond" w:hAnsi="Garamond"/>
        </w:rPr>
        <w:t xml:space="preserve">poruší </w:t>
      </w:r>
      <w:r w:rsidR="00F53CE5">
        <w:rPr>
          <w:rFonts w:ascii="Garamond" w:hAnsi="Garamond"/>
        </w:rPr>
        <w:t xml:space="preserve">svoje </w:t>
      </w:r>
      <w:r>
        <w:rPr>
          <w:rFonts w:ascii="Garamond" w:hAnsi="Garamond"/>
        </w:rPr>
        <w:t xml:space="preserve">povinnosti </w:t>
      </w:r>
      <w:r w:rsidR="00F53CE5">
        <w:rPr>
          <w:rFonts w:ascii="Garamond" w:hAnsi="Garamond"/>
        </w:rPr>
        <w:t>uvedené v článku 12 Zmluvy</w:t>
      </w:r>
      <w:bookmarkEnd w:id="10"/>
      <w:r w:rsidR="00F53CE5">
        <w:rPr>
          <w:rFonts w:ascii="Garamond" w:hAnsi="Garamond"/>
        </w:rPr>
        <w:t>;</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B8F4E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w:t>
      </w:r>
      <w:r w:rsidR="00F53CE5">
        <w:rPr>
          <w:rFonts w:ascii="Garamond" w:hAnsi="Garamond"/>
        </w:rPr>
        <w:t>30</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1E1B93CC"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w:t>
      </w:r>
      <w:r w:rsidRPr="00E46394">
        <w:rPr>
          <w:rFonts w:ascii="Garamond" w:hAnsi="Garamond"/>
        </w:rPr>
        <w:lastRenderedPageBreak/>
        <w:t xml:space="preserve">užívateľov výhod a </w:t>
      </w:r>
      <w:bookmarkStart w:id="11"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11"/>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1AA347F1"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Zhotoviteľ je povinný bezodkladne oznámiť Objednávateľovi akúkoľvek zmenu údajov o</w:t>
      </w:r>
      <w:r w:rsidR="00F53CE5">
        <w:rPr>
          <w:rFonts w:ascii="Garamond" w:hAnsi="Garamond"/>
        </w:rPr>
        <w:t> </w:t>
      </w:r>
      <w:r w:rsidRPr="00E46394">
        <w:rPr>
          <w:rFonts w:ascii="Garamond" w:hAnsi="Garamond"/>
        </w:rPr>
        <w:t>Subdodávateľovi</w:t>
      </w:r>
      <w:r w:rsidR="00F53CE5">
        <w:rPr>
          <w:rFonts w:ascii="Garamond" w:hAnsi="Garamond"/>
        </w:rPr>
        <w:t xml:space="preserve"> </w:t>
      </w:r>
      <w:bookmarkStart w:id="12" w:name="_Hlk119058726"/>
      <w:r w:rsidR="00F53CE5">
        <w:rPr>
          <w:rFonts w:ascii="Garamond" w:hAnsi="Garamond"/>
        </w:rPr>
        <w:t>alebo doplnenie nového Subdodávateľa</w:t>
      </w:r>
      <w:r w:rsidRPr="00E46394">
        <w:rPr>
          <w:rFonts w:ascii="Garamond" w:hAnsi="Garamond"/>
        </w:rPr>
        <w:t>.</w:t>
      </w:r>
      <w:bookmarkEnd w:id="12"/>
      <w:r w:rsidRPr="00E46394">
        <w:rPr>
          <w:rFonts w:ascii="Garamond" w:hAnsi="Garamond"/>
        </w:rPr>
        <w:t xml:space="preserve"> V prípade zmeny Subdodávateľa</w:t>
      </w:r>
      <w:r w:rsidR="00F53CE5">
        <w:rPr>
          <w:rFonts w:ascii="Garamond" w:hAnsi="Garamond"/>
        </w:rPr>
        <w:t xml:space="preserve"> </w:t>
      </w:r>
      <w:bookmarkStart w:id="13" w:name="_Hlk119058744"/>
      <w:r w:rsidR="00F53CE5">
        <w:rPr>
          <w:rFonts w:ascii="Garamond" w:hAnsi="Garamond"/>
        </w:rPr>
        <w:t xml:space="preserve">alebo doplnenia Subdodávateľa </w:t>
      </w:r>
      <w:r w:rsidRPr="00E46394">
        <w:rPr>
          <w:rFonts w:ascii="Garamond" w:hAnsi="Garamond"/>
        </w:rPr>
        <w:t xml:space="preserve"> </w:t>
      </w:r>
      <w:bookmarkEnd w:id="13"/>
      <w:r w:rsidRPr="00E46394">
        <w:rPr>
          <w:rFonts w:ascii="Garamond" w:hAnsi="Garamond"/>
        </w:rPr>
        <w:t xml:space="preserve">počas trvania Zmluvy, musí Subdodávateľ, ktorého sa návrh na zmenu </w:t>
      </w:r>
      <w:bookmarkStart w:id="14" w:name="_Hlk119058762"/>
      <w:r w:rsidR="00F53CE5">
        <w:rPr>
          <w:rFonts w:ascii="Garamond" w:hAnsi="Garamond"/>
        </w:rPr>
        <w:t xml:space="preserve">alebo doplnenie </w:t>
      </w:r>
      <w:bookmarkEnd w:id="14"/>
      <w:r w:rsidRPr="00E46394">
        <w:rPr>
          <w:rFonts w:ascii="Garamond" w:hAnsi="Garamond"/>
        </w:rPr>
        <w:t xml:space="preserve">týka, byť zapísaný v Registri partnerov verejného sektora podľa § 11 </w:t>
      </w:r>
      <w:bookmarkStart w:id="15"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15"/>
      <w:r w:rsidRPr="00E46394">
        <w:rPr>
          <w:rFonts w:ascii="Garamond" w:hAnsi="Garamond"/>
        </w:rPr>
        <w:t>. Zhotoviteľ je povinný Objednávateľovi najneskôr 3 (tri) Pracovné dni pred zmenou Subdodávateľa</w:t>
      </w:r>
      <w:r w:rsidR="00F53CE5">
        <w:rPr>
          <w:rFonts w:ascii="Garamond" w:hAnsi="Garamond"/>
        </w:rPr>
        <w:t xml:space="preserve"> </w:t>
      </w:r>
      <w:bookmarkStart w:id="16" w:name="_Hlk119058789"/>
      <w:r w:rsidR="00F53CE5">
        <w:rPr>
          <w:rFonts w:ascii="Garamond" w:hAnsi="Garamond"/>
        </w:rPr>
        <w:t>alebo doplnením nového Subdodávateľa</w:t>
      </w:r>
      <w:bookmarkEnd w:id="16"/>
      <w:r w:rsidRPr="00E46394">
        <w:rPr>
          <w:rFonts w:ascii="Garamond" w:hAnsi="Garamond"/>
        </w:rPr>
        <w:t>, predložiť písomné oznámenie o zmene Subdodávateľa</w:t>
      </w:r>
      <w:r w:rsidR="00F53CE5">
        <w:rPr>
          <w:rFonts w:ascii="Garamond" w:hAnsi="Garamond"/>
        </w:rPr>
        <w:t xml:space="preserve"> </w:t>
      </w:r>
      <w:bookmarkStart w:id="17" w:name="_Hlk119058813"/>
      <w:r w:rsidR="00F53CE5">
        <w:rPr>
          <w:rFonts w:ascii="Garamond" w:hAnsi="Garamond"/>
        </w:rPr>
        <w:t>alebo doplnenie Subdodávateľa</w:t>
      </w:r>
      <w:bookmarkEnd w:id="17"/>
      <w:r w:rsidRPr="00E46394">
        <w:rPr>
          <w:rFonts w:ascii="Garamond" w:hAnsi="Garamond"/>
        </w:rPr>
        <w:t xml:space="preserve">,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8"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8"/>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9"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20" w:name="_Hlk84918498"/>
      <w:r w:rsidRPr="00E46394">
        <w:rPr>
          <w:rFonts w:ascii="Garamond" w:hAnsi="Garamond"/>
          <w:color w:val="000000" w:themeColor="text1"/>
        </w:rPr>
        <w:t>doklady o kvalite materiálov, výrobkov a konštrukcií zabudovaných do príslušného stavebného objektu</w:t>
      </w:r>
      <w:bookmarkEnd w:id="20"/>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9"/>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Medziskládky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0D888B3"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t>Ing.</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Martin</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Rybanský</w:t>
      </w:r>
    </w:p>
    <w:p w14:paraId="746AD006" w14:textId="624E92DD" w:rsidR="00EE45B8" w:rsidRPr="00E46394" w:rsidRDefault="00EE45B8" w:rsidP="00690A8E">
      <w:pPr>
        <w:pStyle w:val="AONormal"/>
        <w:widowControl w:val="0"/>
        <w:spacing w:line="240" w:lineRule="auto"/>
        <w:ind w:left="1430" w:hanging="1430"/>
        <w:rPr>
          <w:rFonts w:ascii="Garamond" w:hAnsi="Garamond"/>
          <w:color w:val="000000" w:themeColor="text1"/>
          <w:sz w:val="20"/>
        </w:rPr>
      </w:pPr>
      <w:r w:rsidRPr="00E46394">
        <w:rPr>
          <w:rFonts w:ascii="Garamond" w:hAnsi="Garamond"/>
          <w:color w:val="000000" w:themeColor="text1"/>
          <w:sz w:val="20"/>
        </w:rPr>
        <w:t>Funkcia:</w:t>
      </w:r>
      <w:r w:rsidRPr="00E46394">
        <w:rPr>
          <w:rFonts w:ascii="Garamond" w:hAnsi="Garamond"/>
          <w:color w:val="000000" w:themeColor="text1"/>
          <w:sz w:val="20"/>
        </w:rPr>
        <w:tab/>
        <w:t>predseda</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p>
    <w:p w14:paraId="40BB7509" w14:textId="3BE281A3"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94234D" w14:textId="44A62682"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35202AA2" w14:textId="2E1067CA"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3258BC4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9750EF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7285A1AC" w14:textId="7ADC4727"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Pr="00E46394">
        <w:rPr>
          <w:rFonts w:ascii="Garamond" w:hAnsi="Garamond"/>
          <w:sz w:val="20"/>
        </w:rPr>
        <w:t>Ing.</w:t>
      </w:r>
      <w:r w:rsidR="003E67B4" w:rsidRPr="00E46394">
        <w:rPr>
          <w:rFonts w:ascii="Garamond" w:hAnsi="Garamond"/>
          <w:sz w:val="20"/>
        </w:rPr>
        <w:t xml:space="preserve"> </w:t>
      </w:r>
      <w:r w:rsidR="00FA2C9D" w:rsidRPr="00E46394">
        <w:rPr>
          <w:rFonts w:ascii="Garamond" w:hAnsi="Garamond"/>
          <w:sz w:val="20"/>
        </w:rPr>
        <w:t>Michal Halomi</w:t>
      </w:r>
    </w:p>
    <w:p w14:paraId="0B9847A9" w14:textId="7303E6B1"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Funkcia:</w:t>
      </w:r>
      <w:r w:rsidRPr="00690A8E">
        <w:rPr>
          <w:rFonts w:ascii="Garamond" w:hAnsi="Garamond"/>
          <w:color w:val="000000" w:themeColor="text1"/>
          <w:sz w:val="20"/>
          <w:szCs w:val="20"/>
        </w:rPr>
        <w:tab/>
      </w:r>
      <w:r w:rsidR="00A35B0D" w:rsidRPr="00E46394">
        <w:rPr>
          <w:rFonts w:ascii="Garamond" w:hAnsi="Garamond"/>
          <w:color w:val="000000" w:themeColor="text1"/>
          <w:sz w:val="20"/>
        </w:rPr>
        <w:tab/>
      </w:r>
      <w:r w:rsidRPr="00E46394">
        <w:rPr>
          <w:rFonts w:ascii="Garamond" w:hAnsi="Garamond"/>
          <w:color w:val="000000" w:themeColor="text1"/>
          <w:sz w:val="20"/>
        </w:rPr>
        <w:t>člen</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r w:rsidR="0023422B" w:rsidRPr="00E46394">
        <w:rPr>
          <w:rFonts w:ascii="Garamond" w:hAnsi="Garamond"/>
          <w:color w:val="000000" w:themeColor="text1"/>
          <w:sz w:val="20"/>
        </w:rPr>
        <w:t>–</w:t>
      </w:r>
      <w:r w:rsidR="00FA2C9D" w:rsidRPr="00E46394">
        <w:rPr>
          <w:rFonts w:ascii="Garamond" w:hAnsi="Garamond"/>
          <w:color w:val="000000" w:themeColor="text1"/>
          <w:sz w:val="20"/>
        </w:rPr>
        <w:t xml:space="preserve"> CIO</w:t>
      </w:r>
      <w:r w:rsidR="0023422B" w:rsidRPr="00E46394">
        <w:rPr>
          <w:rFonts w:ascii="Garamond" w:hAnsi="Garamond"/>
          <w:color w:val="000000" w:themeColor="text1"/>
          <w:sz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C0B0" w14:textId="77777777" w:rsidR="00C30974" w:rsidRDefault="00C30974">
      <w:r>
        <w:separator/>
      </w:r>
    </w:p>
  </w:endnote>
  <w:endnote w:type="continuationSeparator" w:id="0">
    <w:p w14:paraId="444E1C03" w14:textId="77777777" w:rsidR="00C30974" w:rsidRDefault="00C30974">
      <w:r>
        <w:continuationSeparator/>
      </w:r>
    </w:p>
  </w:endnote>
  <w:endnote w:type="continuationNotice" w:id="1">
    <w:p w14:paraId="18DFAD8A" w14:textId="77777777" w:rsidR="00C30974" w:rsidRDefault="00C3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0F58" w14:textId="77777777" w:rsidR="00C30974" w:rsidRDefault="00C30974">
      <w:r>
        <w:separator/>
      </w:r>
    </w:p>
  </w:footnote>
  <w:footnote w:type="continuationSeparator" w:id="0">
    <w:p w14:paraId="3B504FCA" w14:textId="77777777" w:rsidR="00C30974" w:rsidRDefault="00C30974">
      <w:r>
        <w:continuationSeparator/>
      </w:r>
    </w:p>
  </w:footnote>
  <w:footnote w:type="continuationNotice" w:id="1">
    <w:p w14:paraId="2B2E23BD" w14:textId="77777777" w:rsidR="00C30974" w:rsidRDefault="00C30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 w:numId="42" w16cid:durableId="11614596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9687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3407"/>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C44"/>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5BE"/>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167"/>
    <w:rsid w:val="00340532"/>
    <w:rsid w:val="003436A6"/>
    <w:rsid w:val="00343AA5"/>
    <w:rsid w:val="00344572"/>
    <w:rsid w:val="0034579E"/>
    <w:rsid w:val="00347C32"/>
    <w:rsid w:val="00350D0F"/>
    <w:rsid w:val="00352B6D"/>
    <w:rsid w:val="00354CCC"/>
    <w:rsid w:val="00355A0B"/>
    <w:rsid w:val="00360BA8"/>
    <w:rsid w:val="00360EA0"/>
    <w:rsid w:val="00361777"/>
    <w:rsid w:val="00366ABD"/>
    <w:rsid w:val="00367C7C"/>
    <w:rsid w:val="00370D68"/>
    <w:rsid w:val="00371140"/>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460"/>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51C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B9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65E7C"/>
    <w:rsid w:val="00572224"/>
    <w:rsid w:val="00572BD9"/>
    <w:rsid w:val="005752DA"/>
    <w:rsid w:val="00575EAF"/>
    <w:rsid w:val="0057673E"/>
    <w:rsid w:val="00576F2D"/>
    <w:rsid w:val="00577D1D"/>
    <w:rsid w:val="00582DEF"/>
    <w:rsid w:val="005900C1"/>
    <w:rsid w:val="0059396A"/>
    <w:rsid w:val="005952BD"/>
    <w:rsid w:val="005964B7"/>
    <w:rsid w:val="005977F4"/>
    <w:rsid w:val="005A3536"/>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5C3"/>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1809"/>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6A74"/>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37158"/>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B0B"/>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1BB"/>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39"/>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2D15"/>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0974"/>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8DA"/>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57AC"/>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87B70"/>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5F88"/>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CE5"/>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6618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82085264">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19</Pages>
  <Words>9591</Words>
  <Characters>54673</Characters>
  <Application>Microsoft Office Word</Application>
  <DocSecurity>0</DocSecurity>
  <Lines>455</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18</cp:revision>
  <cp:lastPrinted>2022-11-11T09:01:00Z</cp:lastPrinted>
  <dcterms:created xsi:type="dcterms:W3CDTF">2022-05-05T07:44:00Z</dcterms:created>
  <dcterms:modified xsi:type="dcterms:W3CDTF">2022-12-15T16:12:00Z</dcterms:modified>
</cp:coreProperties>
</file>