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231E" w14:textId="3CAF3F41" w:rsidR="00952B00" w:rsidRPr="003C1A6E" w:rsidRDefault="00952B00" w:rsidP="00952B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Zmluva o dielo č.:         </w:t>
      </w:r>
      <w:r w:rsidRPr="00D12E66">
        <w:rPr>
          <w:b/>
          <w:bCs/>
        </w:rPr>
        <w:t>/202</w:t>
      </w:r>
      <w:r w:rsidR="00F43926">
        <w:rPr>
          <w:b/>
          <w:bCs/>
        </w:rPr>
        <w:t>3</w:t>
      </w:r>
      <w:r>
        <w:rPr>
          <w:b/>
          <w:bCs/>
        </w:rPr>
        <w:t xml:space="preserve"> </w:t>
      </w:r>
    </w:p>
    <w:p w14:paraId="021F0D1E" w14:textId="77777777" w:rsidR="00952B00" w:rsidRDefault="00952B00" w:rsidP="00952B0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>podľa § 536 a nasl. zákona č. 513/1991 Zb. Obchodný zákonník v znení neskorších predpisov</w:t>
      </w:r>
    </w:p>
    <w:p w14:paraId="7C46FBDB" w14:textId="179126B0" w:rsidR="00952B00" w:rsidRPr="00DA292F" w:rsidRDefault="00952B00" w:rsidP="00952B00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4A38F719" w14:textId="77777777" w:rsidR="00952B00" w:rsidRPr="00281ED6" w:rsidRDefault="00952B00" w:rsidP="00952B00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952B00" w14:paraId="049D1941" w14:textId="77777777" w:rsidTr="009B635A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066C5247" w14:textId="77777777" w:rsidR="00952B00" w:rsidRPr="003C1A6E" w:rsidRDefault="00952B00" w:rsidP="009B635A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52B00" w14:paraId="76364440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19DE9394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0AD05AC1" w14:textId="77777777" w:rsidR="00952B00" w:rsidRPr="003C1A6E" w:rsidRDefault="00952B00" w:rsidP="009B635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952B00" w14:paraId="1D600776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1AE5368D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666A76E4" w14:textId="77777777" w:rsidR="00952B00" w:rsidRPr="003C1A6E" w:rsidRDefault="00952B00" w:rsidP="009B635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952B00" w14:paraId="7C71147F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080AEC4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2617DC74" w14:textId="77777777" w:rsidR="00952B00" w:rsidRPr="003C1A6E" w:rsidRDefault="00952B00" w:rsidP="009B635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952B00" w14:paraId="0A046687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192C3B7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50F2B486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2020318256</w:t>
            </w:r>
          </w:p>
        </w:tc>
      </w:tr>
      <w:tr w:rsidR="00952B00" w14:paraId="18F16657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65DE0775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1D0F91C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SK2020318256</w:t>
            </w:r>
          </w:p>
        </w:tc>
      </w:tr>
      <w:tr w:rsidR="00952B00" w14:paraId="6308908C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7FEFCFC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E03CE28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SK37 7500 0000 0000 2533 2773</w:t>
            </w:r>
          </w:p>
        </w:tc>
      </w:tr>
      <w:tr w:rsidR="00952B00" w14:paraId="193B2AC2" w14:textId="77777777" w:rsidTr="009B635A">
        <w:trPr>
          <w:trHeight w:val="183"/>
        </w:trPr>
        <w:tc>
          <w:tcPr>
            <w:tcW w:w="1696" w:type="dxa"/>
            <w:shd w:val="clear" w:color="auto" w:fill="D9D9D9" w:themeFill="background1" w:themeFillShade="D9"/>
          </w:tcPr>
          <w:p w14:paraId="5A9E37A7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02C9F7FC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952B00" w14:paraId="59E3FA58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0DE40E67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01093933" w14:textId="35A70DB5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952B00" w14:paraId="521B0E58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1A07F13E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3DBE8C59" w14:textId="4D8BD48D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0A1FEE7E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730221E7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33DB9640" w14:textId="086607AF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05295D6E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060D1811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3F60F1CF" w14:textId="4D416B9D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EF20687" w14:textId="77777777" w:rsidR="00952B00" w:rsidRPr="003C1A6E" w:rsidRDefault="00952B00" w:rsidP="00952B00">
      <w:pPr>
        <w:pStyle w:val="Default"/>
        <w:jc w:val="both"/>
        <w:rPr>
          <w:sz w:val="10"/>
          <w:szCs w:val="10"/>
        </w:rPr>
      </w:pPr>
    </w:p>
    <w:p w14:paraId="45F11A0C" w14:textId="77777777" w:rsidR="00952B00" w:rsidRPr="003C1A6E" w:rsidRDefault="00952B00" w:rsidP="00952B00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4D811041" w14:textId="77777777" w:rsidR="00952B00" w:rsidRPr="003C1A6E" w:rsidRDefault="00952B00" w:rsidP="00952B00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952B00" w14:paraId="62F35B81" w14:textId="77777777" w:rsidTr="009B635A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6B597BE8" w14:textId="77777777" w:rsidR="00952B00" w:rsidRPr="003C1A6E" w:rsidRDefault="00952B00" w:rsidP="009B635A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52B00" w14:paraId="453D8607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2D0A572E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00BF4819" w14:textId="77777777" w:rsidR="00952B00" w:rsidRPr="003C1A6E" w:rsidRDefault="00952B00" w:rsidP="009B635A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52B00" w14:paraId="6307ED0C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644B950E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42A22F93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76A15D58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421DCC9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0C3F620E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727D1357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2786E3E5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7CE18375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2DF34455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435BE9EA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382992D8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7BE4B49D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68913EE1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27261AF3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30B5B5E0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0FF1F129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4FBD6AC4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0E59DCD4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460F0F97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4AD5FD0E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59AA71A9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28796338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53E029A5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78641464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7AD74E9C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0EFBE4B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52B00" w14:paraId="696E6540" w14:textId="77777777" w:rsidTr="009B635A">
        <w:tc>
          <w:tcPr>
            <w:tcW w:w="1696" w:type="dxa"/>
            <w:shd w:val="clear" w:color="auto" w:fill="D9D9D9" w:themeFill="background1" w:themeFillShade="D9"/>
          </w:tcPr>
          <w:p w14:paraId="326F35AB" w14:textId="77777777" w:rsidR="00952B00" w:rsidRPr="003C1A6E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F6AA5FA" w14:textId="77777777" w:rsidR="00952B00" w:rsidRPr="00602C58" w:rsidRDefault="00952B00" w:rsidP="009B635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B2F24C9" w14:textId="77777777" w:rsidR="00952B00" w:rsidRDefault="00952B00" w:rsidP="00952B00">
      <w:pPr>
        <w:pStyle w:val="Default"/>
        <w:jc w:val="both"/>
        <w:rPr>
          <w:b/>
          <w:bCs/>
          <w:sz w:val="18"/>
          <w:szCs w:val="18"/>
        </w:rPr>
      </w:pPr>
    </w:p>
    <w:p w14:paraId="6AA3195F" w14:textId="77777777" w:rsidR="00952B00" w:rsidRDefault="00952B00" w:rsidP="00952B00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zhotoviteľ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0E113000" w14:textId="77777777" w:rsidR="00952B00" w:rsidRDefault="00952B00" w:rsidP="00952B00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446B2559" w14:textId="77777777" w:rsidR="00952B00" w:rsidRDefault="00952B00" w:rsidP="00952B00">
      <w:pPr>
        <w:pStyle w:val="Default"/>
        <w:jc w:val="both"/>
        <w:rPr>
          <w:b/>
          <w:bCs/>
          <w:sz w:val="18"/>
          <w:szCs w:val="18"/>
        </w:rPr>
      </w:pPr>
    </w:p>
    <w:p w14:paraId="5D84ADC2" w14:textId="77777777" w:rsidR="00952B00" w:rsidRDefault="00952B00" w:rsidP="00952B00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460AD0EE" w14:textId="77777777" w:rsidR="00952B00" w:rsidRPr="00B6537D" w:rsidRDefault="00952B00" w:rsidP="00952B00">
      <w:pPr>
        <w:pStyle w:val="Default"/>
        <w:jc w:val="center"/>
        <w:rPr>
          <w:b/>
          <w:bCs/>
          <w:sz w:val="10"/>
          <w:szCs w:val="10"/>
        </w:rPr>
      </w:pPr>
    </w:p>
    <w:p w14:paraId="27FE120E" w14:textId="77777777" w:rsidR="00952B00" w:rsidRPr="00DF6E34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>
        <w:rPr>
          <w:sz w:val="18"/>
          <w:szCs w:val="18"/>
        </w:rPr>
        <w:t>špecifikácie:</w:t>
      </w:r>
    </w:p>
    <w:p w14:paraId="59076386" w14:textId="77777777" w:rsidR="00952B00" w:rsidRPr="005923CD" w:rsidRDefault="00952B00" w:rsidP="00952B00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694"/>
        <w:gridCol w:w="993"/>
        <w:gridCol w:w="4029"/>
      </w:tblGrid>
      <w:tr w:rsidR="00952B00" w14:paraId="12856306" w14:textId="77777777" w:rsidTr="009B635A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0B81ED9D" w14:textId="77777777" w:rsidR="00952B00" w:rsidRPr="00DF6E34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diela:</w:t>
            </w:r>
          </w:p>
        </w:tc>
      </w:tr>
      <w:tr w:rsidR="00952B00" w14:paraId="1B8EBFC1" w14:textId="77777777" w:rsidTr="009B635A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7A87E46E" w14:textId="1A08CBF2" w:rsidR="0050707F" w:rsidRDefault="00952B00" w:rsidP="0050707F">
            <w:pPr>
              <w:pStyle w:val="Bezriadkovania"/>
              <w:spacing w:before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v rozsahu a za podmienok ďalej uvedených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a na základe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zákona č. 343/2015 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 w:rsidR="00336327">
              <w:rPr>
                <w:rFonts w:ascii="Arial" w:hAnsi="Arial" w:cs="Arial"/>
                <w:sz w:val="18"/>
                <w:szCs w:val="18"/>
              </w:rPr>
              <w:t>predmetom</w:t>
            </w:r>
            <w:r w:rsidR="00336327" w:rsidRPr="00473B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F43926" w:rsidRPr="00F4392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Servis špeciálnych nadstavieb nákladných motorových vozidiel vrátane vykonania odbornej prehliadky, odbornej skúšky, vyhotovenia príslušných dokladov a dodanie náhradných dielov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>.</w:t>
            </w:r>
            <w:r w:rsidR="005070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2E5230" w14:textId="259DE9B8" w:rsidR="00BE57DC" w:rsidRDefault="00984377" w:rsidP="0050707F">
            <w:pPr>
              <w:pStyle w:val="Bezriadkovania"/>
              <w:spacing w:before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4377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 w:rsidR="00336327">
              <w:rPr>
                <w:rFonts w:ascii="Arial" w:hAnsi="Arial" w:cs="Arial"/>
                <w:sz w:val="18"/>
                <w:szCs w:val="18"/>
              </w:rPr>
              <w:t>zmluvy</w:t>
            </w:r>
            <w:r w:rsidR="00336327" w:rsidRPr="009843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4377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B07190">
              <w:rPr>
                <w:rFonts w:ascii="Arial" w:hAnsi="Arial" w:cs="Arial"/>
                <w:sz w:val="18"/>
                <w:szCs w:val="18"/>
              </w:rPr>
              <w:t xml:space="preserve">záväzok zhotoviteľa </w:t>
            </w:r>
            <w:r w:rsidRPr="00984377">
              <w:rPr>
                <w:rFonts w:ascii="Arial" w:hAnsi="Arial" w:cs="Arial"/>
                <w:sz w:val="18"/>
                <w:szCs w:val="18"/>
              </w:rPr>
              <w:t>zabezpeč</w:t>
            </w:r>
            <w:r w:rsidR="00B07190">
              <w:rPr>
                <w:rFonts w:ascii="Arial" w:hAnsi="Arial" w:cs="Arial"/>
                <w:sz w:val="18"/>
                <w:szCs w:val="18"/>
              </w:rPr>
              <w:t>iť pre objednávateľa</w:t>
            </w:r>
            <w:r w:rsidRPr="00984377">
              <w:rPr>
                <w:rFonts w:ascii="Arial" w:hAnsi="Arial" w:cs="Arial"/>
                <w:sz w:val="18"/>
                <w:szCs w:val="18"/>
              </w:rPr>
              <w:t xml:space="preserve"> servisn</w:t>
            </w:r>
            <w:r w:rsidR="00B07190">
              <w:rPr>
                <w:rFonts w:ascii="Arial" w:hAnsi="Arial" w:cs="Arial"/>
                <w:sz w:val="18"/>
                <w:szCs w:val="18"/>
              </w:rPr>
              <w:t>é</w:t>
            </w:r>
            <w:r w:rsidRPr="00984377">
              <w:rPr>
                <w:rFonts w:ascii="Arial" w:hAnsi="Arial" w:cs="Arial"/>
                <w:sz w:val="18"/>
                <w:szCs w:val="18"/>
              </w:rPr>
              <w:t xml:space="preserve"> prác</w:t>
            </w:r>
            <w:r w:rsidR="00B07190">
              <w:rPr>
                <w:rFonts w:ascii="Arial" w:hAnsi="Arial" w:cs="Arial"/>
                <w:sz w:val="18"/>
                <w:szCs w:val="18"/>
              </w:rPr>
              <w:t>e</w:t>
            </w:r>
            <w:r w:rsidRPr="00984377">
              <w:rPr>
                <w:rFonts w:ascii="Arial" w:hAnsi="Arial" w:cs="Arial"/>
                <w:sz w:val="18"/>
                <w:szCs w:val="18"/>
              </w:rPr>
              <w:t>, opr</w:t>
            </w:r>
            <w:r w:rsidR="00B07190">
              <w:rPr>
                <w:rFonts w:ascii="Arial" w:hAnsi="Arial" w:cs="Arial"/>
                <w:sz w:val="18"/>
                <w:szCs w:val="18"/>
              </w:rPr>
              <w:t>avy</w:t>
            </w:r>
            <w:r w:rsidRPr="00984377">
              <w:rPr>
                <w:rFonts w:ascii="Arial" w:hAnsi="Arial" w:cs="Arial"/>
                <w:sz w:val="18"/>
                <w:szCs w:val="18"/>
              </w:rPr>
              <w:t xml:space="preserve"> a údržby špeciálnych nadstavieb nákladných motorových vozidiel s namontovaným hydraulickým čelom, hydraulickou rukou a jednoramenné hákové nosiče vo vlastníctve </w:t>
            </w:r>
            <w:r w:rsidR="00336327">
              <w:rPr>
                <w:rFonts w:ascii="Arial" w:hAnsi="Arial" w:cs="Arial"/>
                <w:sz w:val="18"/>
                <w:szCs w:val="18"/>
              </w:rPr>
              <w:t>objednávateľa</w:t>
            </w:r>
            <w:r w:rsidRPr="009843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6327">
              <w:rPr>
                <w:rFonts w:ascii="Arial" w:hAnsi="Arial" w:cs="Arial"/>
                <w:sz w:val="18"/>
                <w:szCs w:val="18"/>
              </w:rPr>
              <w:t>a</w:t>
            </w:r>
            <w:r w:rsidR="00336327" w:rsidRPr="009843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4377">
              <w:rPr>
                <w:rFonts w:ascii="Arial" w:hAnsi="Arial" w:cs="Arial"/>
                <w:sz w:val="18"/>
                <w:szCs w:val="18"/>
              </w:rPr>
              <w:t>vykonani</w:t>
            </w:r>
            <w:r w:rsidR="007C2D48">
              <w:rPr>
                <w:rFonts w:ascii="Arial" w:hAnsi="Arial" w:cs="Arial"/>
                <w:sz w:val="18"/>
                <w:szCs w:val="18"/>
              </w:rPr>
              <w:t>e</w:t>
            </w:r>
            <w:r w:rsidRPr="00984377">
              <w:rPr>
                <w:rFonts w:ascii="Arial" w:hAnsi="Arial" w:cs="Arial"/>
                <w:sz w:val="18"/>
                <w:szCs w:val="18"/>
              </w:rPr>
              <w:t xml:space="preserve"> odbornej skúšky a odbornej prehliadky s vystavením príslušných dokladov v zmysle vyhlášky </w:t>
            </w:r>
            <w:r w:rsidR="0029257A" w:rsidRPr="0029257A">
              <w:rPr>
                <w:rFonts w:ascii="Arial" w:hAnsi="Arial" w:cs="Arial"/>
                <w:sz w:val="18"/>
                <w:szCs w:val="18"/>
              </w:rPr>
              <w:t>Ministerstva práce, sociálnych vecí a rodiny Slovenskej republiky</w:t>
            </w:r>
            <w:r w:rsidR="00292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4377">
              <w:rPr>
                <w:rFonts w:ascii="Arial" w:hAnsi="Arial" w:cs="Arial"/>
                <w:sz w:val="18"/>
                <w:szCs w:val="18"/>
              </w:rPr>
              <w:t>č. 508/2009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 a dodanie náhradných dielov</w:t>
            </w:r>
            <w:r w:rsidR="00B07190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B07190" w:rsidRPr="00B07190">
              <w:rPr>
                <w:rFonts w:ascii="Arial" w:hAnsi="Arial" w:cs="Arial"/>
                <w:b/>
                <w:bCs/>
                <w:sz w:val="18"/>
                <w:szCs w:val="18"/>
              </w:rPr>
              <w:t>dielo</w:t>
            </w:r>
            <w:r w:rsidR="00B07190">
              <w:rPr>
                <w:rFonts w:ascii="Arial" w:hAnsi="Arial" w:cs="Arial"/>
                <w:sz w:val="18"/>
                <w:szCs w:val="18"/>
              </w:rPr>
              <w:t xml:space="preserve">“) a záväzok </w:t>
            </w:r>
            <w:r w:rsidR="007C2D48">
              <w:rPr>
                <w:rFonts w:ascii="Arial" w:hAnsi="Arial" w:cs="Arial"/>
                <w:sz w:val="18"/>
                <w:szCs w:val="18"/>
              </w:rPr>
              <w:t>objednávateľa uhradiť zhotoviteľovi za vykonanie diela cenu podľa tejto zmluvy</w:t>
            </w:r>
            <w:r w:rsidRPr="0098437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8CCD1DD" w14:textId="3C5CDFAA" w:rsidR="0050707F" w:rsidRDefault="008313F1" w:rsidP="0050707F">
            <w:pPr>
              <w:pStyle w:val="Bezriadkovania"/>
              <w:spacing w:before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Podrobná špecifikácia</w:t>
            </w:r>
            <w:r w:rsidR="00952B00" w:rsidRPr="00952B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2D48">
              <w:rPr>
                <w:rFonts w:ascii="Arial" w:hAnsi="Arial" w:cs="Arial"/>
                <w:sz w:val="18"/>
                <w:szCs w:val="18"/>
              </w:rPr>
              <w:t xml:space="preserve">diela </w:t>
            </w:r>
            <w:r w:rsidR="00952B00" w:rsidRPr="00952B00">
              <w:rPr>
                <w:rFonts w:ascii="Arial" w:hAnsi="Arial" w:cs="Arial"/>
                <w:sz w:val="18"/>
                <w:szCs w:val="18"/>
              </w:rPr>
              <w:t>je uveden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  <w:r w:rsidR="00952B00" w:rsidRPr="00952B00">
              <w:rPr>
                <w:rFonts w:ascii="Arial" w:hAnsi="Arial" w:cs="Arial"/>
                <w:sz w:val="18"/>
                <w:szCs w:val="18"/>
              </w:rPr>
              <w:t xml:space="preserve"> v </w:t>
            </w:r>
            <w:r w:rsidR="005526AE">
              <w:rPr>
                <w:rFonts w:ascii="Arial" w:hAnsi="Arial" w:cs="Arial"/>
                <w:sz w:val="18"/>
                <w:szCs w:val="18"/>
              </w:rPr>
              <w:t>p</w:t>
            </w:r>
            <w:r w:rsidR="00952B00" w:rsidRPr="00952B00">
              <w:rPr>
                <w:rFonts w:ascii="Arial" w:hAnsi="Arial" w:cs="Arial"/>
                <w:sz w:val="18"/>
                <w:szCs w:val="18"/>
              </w:rPr>
              <w:t xml:space="preserve">rílohe č. 1 - Technická špecifikácia, ktorá je neoddeliteľnou časťou tejto </w:t>
            </w:r>
            <w:r w:rsidR="005526AE">
              <w:rPr>
                <w:rFonts w:ascii="Arial" w:hAnsi="Arial" w:cs="Arial"/>
                <w:sz w:val="18"/>
                <w:szCs w:val="18"/>
              </w:rPr>
              <w:t>z</w:t>
            </w:r>
            <w:r w:rsidR="00952B00" w:rsidRPr="00952B00">
              <w:rPr>
                <w:rFonts w:ascii="Arial" w:hAnsi="Arial" w:cs="Arial"/>
                <w:sz w:val="18"/>
                <w:szCs w:val="18"/>
              </w:rPr>
              <w:t>mluvy (ďalej len „</w:t>
            </w:r>
            <w:r w:rsidR="00803C64" w:rsidRPr="00803C64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952B00" w:rsidRPr="00952B00">
              <w:rPr>
                <w:rFonts w:ascii="Arial" w:hAnsi="Arial" w:cs="Arial"/>
                <w:b/>
                <w:bCs/>
                <w:sz w:val="18"/>
                <w:szCs w:val="18"/>
              </w:rPr>
              <w:t>ríloha č.1</w:t>
            </w:r>
            <w:r w:rsidR="00952B00" w:rsidRPr="00952B00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  <w:p w14:paraId="7CD89310" w14:textId="77777777" w:rsidR="00952B00" w:rsidRPr="00197738" w:rsidRDefault="00952B00" w:rsidP="00BE57DC">
            <w:pPr>
              <w:pStyle w:val="Bezriadkovania"/>
              <w:spacing w:before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B00" w14:paraId="2F37BC92" w14:textId="77777777" w:rsidTr="009B635A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E5F1B2A" w14:textId="77777777" w:rsidR="00952B00" w:rsidRPr="00197738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3"/>
          </w:tcPr>
          <w:p w14:paraId="31A2021C" w14:textId="51FD62BC" w:rsidR="00952B00" w:rsidRPr="00DA0DE3" w:rsidRDefault="00D368AA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Podľa </w:t>
            </w:r>
            <w:r w:rsidR="00803C64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rílohy č. 1</w:t>
            </w:r>
          </w:p>
        </w:tc>
      </w:tr>
      <w:tr w:rsidR="00952B00" w14:paraId="0DDFF81D" w14:textId="77777777" w:rsidTr="009B635A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84A030F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3"/>
          </w:tcPr>
          <w:p w14:paraId="1A641E02" w14:textId="77777777" w:rsidR="00952B00" w:rsidRPr="00DA0DE3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707F">
              <w:rPr>
                <w:rFonts w:ascii="Arial" w:hAnsi="Arial" w:cs="Arial"/>
                <w:sz w:val="18"/>
                <w:szCs w:val="18"/>
                <w:highlight w:val="yellow"/>
              </w:rPr>
              <w:t>[Doplní zhotoviteľ]</w:t>
            </w:r>
          </w:p>
        </w:tc>
      </w:tr>
      <w:tr w:rsidR="00CD40E5" w14:paraId="631E2850" w14:textId="77777777" w:rsidTr="00EB3BF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43E2BA7" w14:textId="77777777" w:rsidR="00CD40E5" w:rsidRDefault="00CD40E5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694" w:type="dxa"/>
          </w:tcPr>
          <w:p w14:paraId="48803B14" w14:textId="26601B05" w:rsidR="00CD40E5" w:rsidRPr="00B6537D" w:rsidRDefault="00CD40E5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</w:t>
            </w:r>
            <w:r w:rsidR="00C96D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A673C56" w14:textId="77777777" w:rsidR="00CD40E5" w:rsidRPr="00602C58" w:rsidRDefault="00CD40E5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6582B9C8" w14:textId="74EEDADE" w:rsidR="00CD40E5" w:rsidRPr="00602C58" w:rsidRDefault="00CD40E5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6FD6C2B" w14:textId="77777777" w:rsidR="00952B00" w:rsidRDefault="00952B00" w:rsidP="00952B00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132B5EB4" w14:textId="77777777" w:rsidR="00952B00" w:rsidRPr="009F53DA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01DCD1E5" w14:textId="77777777" w:rsidR="00952B00" w:rsidRPr="005923CD" w:rsidRDefault="00952B00" w:rsidP="00952B0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52B00" w14:paraId="6E54CE4D" w14:textId="77777777" w:rsidTr="009B635A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0F6D0201" w14:textId="77777777" w:rsidR="00952B00" w:rsidRPr="00DF6E34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63F2A29A" w14:textId="77777777" w:rsidR="00952B00" w:rsidRPr="00DF6E34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2B00" w14:paraId="03C9CB42" w14:textId="77777777" w:rsidTr="009B635A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467B5071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952B00" w14:paraId="329131E5" w14:textId="77777777" w:rsidTr="009B635A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6F874C09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7CE3CA" w14:textId="77777777" w:rsidR="00952B00" w:rsidRDefault="00952B00" w:rsidP="00952B00">
            <w:pPr>
              <w:pStyle w:val="Odsekzoznamu"/>
              <w:numPr>
                <w:ilvl w:val="0"/>
                <w:numId w:val="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917">
              <w:rPr>
                <w:rFonts w:ascii="Arial" w:hAnsi="Arial" w:cs="Arial"/>
                <w:sz w:val="18"/>
                <w:szCs w:val="18"/>
              </w:rPr>
              <w:t>Zmluvné strany sa dohodli, že táto zmluva je zmluvou rámcovou a celková cena zahŕňa všetky náklady zhotoviteľa za plnenie predmetu zmluvy, pričom objednávateľ nie je povinný vyčerpať celý finančný limit uvedený v tejto zmluve.</w:t>
            </w:r>
            <w:r>
              <w:rPr>
                <w:rFonts w:ascii="Arial" w:hAnsi="Arial" w:cs="Arial"/>
                <w:sz w:val="18"/>
                <w:szCs w:val="18"/>
              </w:rPr>
              <w:t xml:space="preserve"> Zmluvné strany sa dohodli, že vzhľadom na charakter tejto zmluvy osobitné ustanovenia o vykonaní diela podľa čl. IX VOP sa použijú v primeranom rozsahu.</w:t>
            </w:r>
          </w:p>
          <w:p w14:paraId="7D385890" w14:textId="0144402B" w:rsidR="00252E52" w:rsidRPr="00252E52" w:rsidRDefault="00252E52" w:rsidP="00252E52">
            <w:pPr>
              <w:pStyle w:val="Odsekzoznamu"/>
              <w:numPr>
                <w:ilvl w:val="0"/>
                <w:numId w:val="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</w:t>
            </w:r>
            <w:r w:rsidR="0050707F" w:rsidRPr="003F03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07F">
              <w:rPr>
                <w:rFonts w:ascii="Arial" w:hAnsi="Arial" w:cs="Arial"/>
                <w:sz w:val="18"/>
                <w:szCs w:val="18"/>
              </w:rPr>
              <w:t xml:space="preserve">je povinný </w:t>
            </w:r>
            <w:r w:rsidR="0050707F" w:rsidRPr="003F0334">
              <w:rPr>
                <w:rFonts w:ascii="Arial" w:hAnsi="Arial" w:cs="Arial"/>
                <w:sz w:val="18"/>
                <w:szCs w:val="18"/>
              </w:rPr>
              <w:t>v čase podpisu tejto zmluvy m</w:t>
            </w:r>
            <w:r w:rsidR="0050707F">
              <w:rPr>
                <w:rFonts w:ascii="Arial" w:hAnsi="Arial" w:cs="Arial"/>
                <w:sz w:val="18"/>
                <w:szCs w:val="18"/>
              </w:rPr>
              <w:t>ať</w:t>
            </w:r>
            <w:r w:rsidR="0050707F" w:rsidRPr="003F0334">
              <w:rPr>
                <w:rFonts w:ascii="Arial" w:hAnsi="Arial" w:cs="Arial"/>
                <w:sz w:val="18"/>
                <w:szCs w:val="18"/>
              </w:rPr>
              <w:t xml:space="preserve"> platne uzatvorenú poistnú zmluvu na poistenie zodpovednosti za škodu spôsobenú pri výkone </w:t>
            </w:r>
            <w:r w:rsidR="0050707F">
              <w:rPr>
                <w:rFonts w:ascii="Arial" w:hAnsi="Arial" w:cs="Arial"/>
                <w:sz w:val="18"/>
                <w:szCs w:val="18"/>
              </w:rPr>
              <w:t>predmetu zmluvy za účelom krytia prípadnej straty a škody na nákladných motorových vozidlách prevzatých na plnenie predmetu zmluvy.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2E52">
              <w:rPr>
                <w:rFonts w:ascii="Arial" w:hAnsi="Arial" w:cs="Arial"/>
                <w:sz w:val="18"/>
                <w:szCs w:val="18"/>
              </w:rPr>
              <w:t xml:space="preserve">Zhotoviteľ vyhlasuje, že má ku dňu podpisu tejto zmluvy uzatvorené poistenie zodpovednosti za škodu s poisťovňou </w:t>
            </w:r>
            <w:r w:rsidRPr="00252E52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Pr="00252E52">
              <w:rPr>
                <w:rFonts w:ascii="Arial" w:hAnsi="Arial" w:cs="Arial"/>
                <w:sz w:val="18"/>
                <w:szCs w:val="18"/>
              </w:rPr>
              <w:t xml:space="preserve"> na poistnú sumu minimálne</w:t>
            </w:r>
            <w:r w:rsidR="001F3BDB">
              <w:rPr>
                <w:rFonts w:ascii="Arial" w:hAnsi="Arial" w:cs="Arial"/>
                <w:sz w:val="18"/>
                <w:szCs w:val="18"/>
              </w:rPr>
              <w:t xml:space="preserve"> vo výške</w:t>
            </w:r>
            <w:r w:rsidRPr="00252E5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52E52">
              <w:rPr>
                <w:rFonts w:ascii="Arial" w:hAnsi="Arial" w:cs="Arial"/>
                <w:sz w:val="18"/>
                <w:szCs w:val="18"/>
              </w:rPr>
              <w:t xml:space="preserve">0 000,00 EUR </w:t>
            </w:r>
            <w:r w:rsidRPr="00252E52">
              <w:rPr>
                <w:rFonts w:ascii="Arial" w:hAnsi="Arial" w:cs="Arial"/>
                <w:i/>
                <w:iCs/>
                <w:sz w:val="18"/>
                <w:szCs w:val="18"/>
              </w:rPr>
              <w:t>(slovom: päťdesiattisíc eur)</w:t>
            </w:r>
            <w:r w:rsidRPr="00252E5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D52FA1" w14:textId="75AA911F" w:rsidR="00952B00" w:rsidRPr="00197738" w:rsidRDefault="00952B00" w:rsidP="00252E52">
            <w:pPr>
              <w:pStyle w:val="Odsekzoznamu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33E215" w14:textId="77777777" w:rsidR="00952B00" w:rsidRDefault="00952B00" w:rsidP="00952B0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C74E278" w14:textId="77777777" w:rsidR="00952B00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5B210130" w14:textId="77777777" w:rsidR="00952B00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3D4A53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4A53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3D4A53">
        <w:rPr>
          <w:sz w:val="18"/>
          <w:szCs w:val="18"/>
          <w:highlight w:val="yellow"/>
        </w:rPr>
        <w:t xml:space="preserve"> / </w:t>
      </w:r>
      <w:r w:rsidRPr="003D4A53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4A53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1C378859" w14:textId="77777777" w:rsidR="00952B00" w:rsidRDefault="00952B00" w:rsidP="00952B00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1976861E" w14:textId="77777777" w:rsidR="00952B00" w:rsidRDefault="00952B00" w:rsidP="00952B00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7303E0D2" w14:textId="77777777" w:rsidR="00952B00" w:rsidRDefault="00952B00" w:rsidP="00952B00">
      <w:pPr>
        <w:pStyle w:val="Bezriadkovania"/>
        <w:ind w:left="-6"/>
        <w:jc w:val="center"/>
        <w:rPr>
          <w:rFonts w:ascii="Arial" w:hAnsi="Arial" w:cs="Arial"/>
          <w:b/>
          <w:bCs/>
          <w:sz w:val="18"/>
          <w:szCs w:val="18"/>
        </w:rPr>
      </w:pPr>
      <w:r w:rsidRPr="00DD3F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6D4D3C5" w14:textId="77777777" w:rsidR="00952B00" w:rsidRPr="00DD3FA3" w:rsidRDefault="00952B00" w:rsidP="00952B00">
      <w:pPr>
        <w:pStyle w:val="Bezriadkovania"/>
        <w:ind w:left="-6"/>
        <w:jc w:val="center"/>
        <w:rPr>
          <w:rFonts w:ascii="Arial" w:hAnsi="Arial" w:cs="Arial"/>
          <w:b/>
          <w:bCs/>
          <w:sz w:val="18"/>
          <w:szCs w:val="18"/>
        </w:rPr>
      </w:pPr>
    </w:p>
    <w:p w14:paraId="5DCD1397" w14:textId="59A11BEF" w:rsidR="00952B00" w:rsidRPr="006B5971" w:rsidRDefault="00952B00" w:rsidP="00952B00">
      <w:pPr>
        <w:pStyle w:val="Bezriadkovania"/>
        <w:ind w:left="567" w:hanging="567"/>
        <w:jc w:val="both"/>
        <w:rPr>
          <w:rFonts w:ascii="Arial" w:hAnsi="Arial" w:cs="Arial"/>
          <w:sz w:val="18"/>
          <w:szCs w:val="18"/>
        </w:rPr>
      </w:pPr>
      <w:r w:rsidRPr="006B5971">
        <w:rPr>
          <w:rFonts w:ascii="Arial" w:hAnsi="Arial" w:cs="Arial"/>
          <w:sz w:val="18"/>
          <w:szCs w:val="18"/>
        </w:rPr>
        <w:t>2.1</w:t>
      </w:r>
      <w:r w:rsidRPr="006B5971">
        <w:rPr>
          <w:rFonts w:ascii="Arial" w:hAnsi="Arial" w:cs="Arial"/>
          <w:sz w:val="18"/>
          <w:szCs w:val="18"/>
        </w:rPr>
        <w:tab/>
        <w:t xml:space="preserve">Táto zmluva sa uzatvára na dobu </w:t>
      </w:r>
      <w:r w:rsidR="00DD21F4">
        <w:rPr>
          <w:rFonts w:ascii="Arial" w:hAnsi="Arial" w:cs="Arial"/>
          <w:sz w:val="18"/>
          <w:szCs w:val="18"/>
        </w:rPr>
        <w:t>tridsaťšesť</w:t>
      </w:r>
      <w:r>
        <w:rPr>
          <w:rFonts w:ascii="Arial" w:hAnsi="Arial" w:cs="Arial"/>
          <w:sz w:val="18"/>
          <w:szCs w:val="18"/>
        </w:rPr>
        <w:t xml:space="preserve"> (</w:t>
      </w:r>
      <w:r w:rsidR="00DD21F4">
        <w:rPr>
          <w:rFonts w:ascii="Arial" w:hAnsi="Arial" w:cs="Arial"/>
          <w:sz w:val="18"/>
          <w:szCs w:val="18"/>
        </w:rPr>
        <w:t>36</w:t>
      </w:r>
      <w:r>
        <w:rPr>
          <w:rFonts w:ascii="Arial" w:hAnsi="Arial" w:cs="Arial"/>
          <w:sz w:val="18"/>
          <w:szCs w:val="18"/>
        </w:rPr>
        <w:t>)</w:t>
      </w:r>
      <w:r w:rsidRPr="006B5971">
        <w:rPr>
          <w:rFonts w:ascii="Arial" w:hAnsi="Arial" w:cs="Arial"/>
          <w:sz w:val="18"/>
          <w:szCs w:val="18"/>
        </w:rPr>
        <w:t xml:space="preserve"> mesiacov odo dňa účinnosti tejto zmluvy alebo do vyčerpania stanoveného finančného limitu v </w:t>
      </w:r>
      <w:r w:rsidRPr="00EF3718">
        <w:rPr>
          <w:rFonts w:ascii="Arial" w:hAnsi="Arial" w:cs="Arial"/>
          <w:sz w:val="18"/>
          <w:szCs w:val="18"/>
        </w:rPr>
        <w:t xml:space="preserve">rozsahu </w:t>
      </w:r>
      <w:r w:rsidRPr="00EF3718">
        <w:rPr>
          <w:rFonts w:ascii="Arial" w:hAnsi="Arial" w:cs="Arial"/>
          <w:sz w:val="18"/>
          <w:szCs w:val="18"/>
          <w:highlight w:val="yellow"/>
        </w:rPr>
        <w:t>[●]</w:t>
      </w:r>
      <w:r w:rsidRPr="00EF3718">
        <w:rPr>
          <w:rFonts w:ascii="Arial" w:hAnsi="Arial" w:cs="Arial"/>
          <w:sz w:val="18"/>
          <w:szCs w:val="18"/>
        </w:rPr>
        <w:t xml:space="preserve"> EUR</w:t>
      </w:r>
      <w:r w:rsidRPr="006B5971">
        <w:rPr>
          <w:rFonts w:ascii="Arial" w:hAnsi="Arial" w:cs="Arial"/>
          <w:sz w:val="18"/>
          <w:szCs w:val="18"/>
        </w:rPr>
        <w:t xml:space="preserve"> (slovom: </w:t>
      </w:r>
      <w:r w:rsidRPr="00EF3718">
        <w:rPr>
          <w:rFonts w:ascii="Arial" w:hAnsi="Arial" w:cs="Arial"/>
          <w:sz w:val="18"/>
          <w:szCs w:val="18"/>
          <w:highlight w:val="yellow"/>
        </w:rPr>
        <w:t>[●]</w:t>
      </w:r>
      <w:r w:rsidRPr="006B5971">
        <w:rPr>
          <w:rFonts w:ascii="Arial" w:hAnsi="Arial" w:cs="Arial"/>
          <w:sz w:val="18"/>
          <w:szCs w:val="18"/>
        </w:rPr>
        <w:t xml:space="preserve"> eur) bez DPH podľa toho, ktorá skutočnosť nastane skôr</w:t>
      </w:r>
      <w:r w:rsidR="0087062F">
        <w:rPr>
          <w:rFonts w:ascii="Arial" w:hAnsi="Arial" w:cs="Arial"/>
          <w:sz w:val="18"/>
          <w:szCs w:val="18"/>
        </w:rPr>
        <w:t>.</w:t>
      </w:r>
    </w:p>
    <w:p w14:paraId="1F757EC5" w14:textId="77777777" w:rsidR="00952B00" w:rsidRPr="006B5971" w:rsidRDefault="00952B00" w:rsidP="00952B00">
      <w:pPr>
        <w:pStyle w:val="Bezriadkovania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798D0927" w14:textId="77777777" w:rsidR="00952B00" w:rsidRDefault="00952B00" w:rsidP="00952B00">
      <w:pPr>
        <w:pStyle w:val="Default"/>
        <w:ind w:left="567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III. </w:t>
      </w:r>
      <w:r w:rsidRPr="00FD426D">
        <w:rPr>
          <w:b/>
          <w:bCs/>
          <w:sz w:val="18"/>
          <w:szCs w:val="18"/>
        </w:rPr>
        <w:t xml:space="preserve">Osobitné ustanovenia pre </w:t>
      </w:r>
      <w:r>
        <w:rPr>
          <w:b/>
          <w:bCs/>
          <w:sz w:val="18"/>
          <w:szCs w:val="18"/>
        </w:rPr>
        <w:t>servisné práce</w:t>
      </w:r>
    </w:p>
    <w:p w14:paraId="32A52936" w14:textId="77777777" w:rsidR="00952B00" w:rsidRPr="00A76D20" w:rsidRDefault="00952B00" w:rsidP="00952B00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052AC2D4" w14:textId="77777777" w:rsidR="00952B00" w:rsidRPr="00B758D6" w:rsidRDefault="00952B00" w:rsidP="00952B00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5480FA0F" w14:textId="77777777" w:rsidR="00952B00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technologické zariadenie záruku za akosť, alebo ak je predmetom zmluvy vykonávanie servisných prác, zhotoviteľ sa zaväzuje vykonávať servis v súlade s ustanoveniami zmluvy podľa technického manuálu, návodu alebo odporúčania výrobcu technologického zariadenia, a to počas doby trvania záruky za akosť alebo po dobu vykonávania servisných prác podľa zmluvy.</w:t>
      </w:r>
    </w:p>
    <w:p w14:paraId="7305F061" w14:textId="77777777" w:rsidR="00952B00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Popis, počet a rozsah servisných prehliadok vyplýva zo zmluvy alebo z technického manuálu, návodu alebo odporúčania výrobcu technologického zariadenia. </w:t>
      </w:r>
    </w:p>
    <w:p w14:paraId="45E3BEC3" w14:textId="77777777" w:rsidR="00952B00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technologického zariadenia a podpis vedúceho zamestnanca zhotoviteľa povereného vykonaním servisu.</w:t>
      </w:r>
      <w:r w:rsidRPr="00DF3C61">
        <w:rPr>
          <w:b/>
          <w:bCs/>
          <w:sz w:val="18"/>
          <w:szCs w:val="18"/>
        </w:rPr>
        <w:t xml:space="preserve"> </w:t>
      </w:r>
      <w:r w:rsidRPr="00DF3C61">
        <w:rPr>
          <w:sz w:val="18"/>
          <w:szCs w:val="18"/>
        </w:rPr>
        <w:t>V prípade zistenia vady je zhotoviteľ povinný v písomnom zázname uviesť, či ide o vadu, na ktorú sa vzťahuje záruka alebo ide o vadu, na ktorú sa záruka nevzťahuje.</w:t>
      </w:r>
    </w:p>
    <w:p w14:paraId="4D1A0CB1" w14:textId="77777777" w:rsidR="00952B00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7B65B192" w14:textId="77777777" w:rsidR="00952B00" w:rsidRPr="00FF7EA5" w:rsidRDefault="00952B00" w:rsidP="00952B00">
      <w:pPr>
        <w:pStyle w:val="Default"/>
        <w:numPr>
          <w:ilvl w:val="1"/>
          <w:numId w:val="4"/>
        </w:numPr>
        <w:ind w:left="567" w:hanging="567"/>
        <w:jc w:val="both"/>
        <w:rPr>
          <w:b/>
          <w:bCs/>
          <w:sz w:val="18"/>
          <w:szCs w:val="18"/>
        </w:rPr>
      </w:pPr>
      <w:r w:rsidRPr="00FF7EA5">
        <w:rPr>
          <w:sz w:val="18"/>
          <w:szCs w:val="18"/>
        </w:rPr>
        <w:t>Zhotoviteľ môže výnimočne so súhlasom objednávateľa 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 a technologické zariadenie prevádzkyschopné.</w:t>
      </w:r>
      <w:r w:rsidRPr="00AF4361">
        <w:rPr>
          <w:b/>
          <w:bCs/>
          <w:sz w:val="18"/>
          <w:szCs w:val="18"/>
        </w:rPr>
        <w:t xml:space="preserve"> </w:t>
      </w:r>
    </w:p>
    <w:p w14:paraId="075A34FD" w14:textId="77777777" w:rsidR="00952B00" w:rsidRPr="00ED42AD" w:rsidRDefault="00952B00" w:rsidP="00952B00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2AAF86A2" w14:textId="77777777" w:rsidR="00952B00" w:rsidRPr="008308FF" w:rsidRDefault="00952B00" w:rsidP="00952B00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ACCBB96" w14:textId="77777777" w:rsidR="00952B00" w:rsidRPr="00545B75" w:rsidRDefault="00952B00" w:rsidP="00952B00">
      <w:pPr>
        <w:pStyle w:val="Default"/>
        <w:jc w:val="both"/>
        <w:rPr>
          <w:sz w:val="18"/>
          <w:szCs w:val="18"/>
        </w:rPr>
      </w:pPr>
    </w:p>
    <w:p w14:paraId="0B452EF4" w14:textId="77777777" w:rsidR="00952B00" w:rsidRPr="002F0E62" w:rsidRDefault="00952B00" w:rsidP="00952B00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Pr="002F0E62">
        <w:rPr>
          <w:rFonts w:ascii="Arial" w:hAnsi="Arial" w:cs="Arial"/>
          <w:b/>
          <w:bCs/>
          <w:sz w:val="18"/>
          <w:szCs w:val="18"/>
        </w:rPr>
        <w:t>V. Záverečné ustanovenia</w:t>
      </w:r>
    </w:p>
    <w:p w14:paraId="782708B9" w14:textId="77777777" w:rsidR="00952B00" w:rsidRPr="00F37691" w:rsidRDefault="00952B00" w:rsidP="00952B0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0C86A95B" w14:textId="77777777" w:rsidR="00952B00" w:rsidRPr="008D32B8" w:rsidRDefault="00952B00" w:rsidP="00952B00">
      <w:pPr>
        <w:pStyle w:val="Odsekzoznamu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51BBD2F" w14:textId="77777777" w:rsidR="00952B00" w:rsidRPr="00403EC7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Z.z. o verejnom obstarávaní a o zmene a doplnení niektorých zákonov v znení neskorších predpisov.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34358599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4530A0A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00B4D1BE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33DF0AAA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0EA8EEC8" w14:textId="77777777" w:rsidR="00952B00" w:rsidRPr="00403EC7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01DD3787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1EA7EF1A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2B8C8B5B" w14:textId="77777777" w:rsidR="00952B00" w:rsidRPr="00403EC7" w:rsidRDefault="00952B00" w:rsidP="00952B0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lastRenderedPageBreak/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49CAFF28" w14:textId="77777777" w:rsidR="00952B00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012DBF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dielo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0BAB829B" w14:textId="77777777" w:rsidR="00952B00" w:rsidRPr="008D32B8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4DBE20AA" w14:textId="77777777" w:rsidR="00952B00" w:rsidRPr="002D1858" w:rsidRDefault="00952B00" w:rsidP="00952B0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952B00" w:rsidRPr="00DF6E34" w14:paraId="7356E313" w14:textId="77777777" w:rsidTr="009B635A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11F807FB" w14:textId="77777777" w:rsidR="00952B00" w:rsidRPr="00DF6E34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952B00" w:rsidRPr="00DF6E34" w14:paraId="314C71D9" w14:textId="77777777" w:rsidTr="009B635A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7524743" w14:textId="77777777" w:rsidR="00952B00" w:rsidRPr="002D1858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5A84BCD1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952B00" w:rsidRPr="00DF6E34" w14:paraId="0FB5E99B" w14:textId="77777777" w:rsidTr="009B635A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A551FB6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EAE4C67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bookmarkEnd w:id="1"/>
    </w:tbl>
    <w:p w14:paraId="50CF9F26" w14:textId="77777777" w:rsidR="00952B00" w:rsidRDefault="00952B00" w:rsidP="00952B00">
      <w:pPr>
        <w:pStyle w:val="Default"/>
        <w:ind w:left="567"/>
        <w:jc w:val="both"/>
        <w:rPr>
          <w:sz w:val="18"/>
          <w:szCs w:val="18"/>
        </w:rPr>
      </w:pPr>
    </w:p>
    <w:p w14:paraId="4819455A" w14:textId="77777777" w:rsidR="00952B00" w:rsidRDefault="00952B00" w:rsidP="00952B00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zhotoviteľa. </w:t>
      </w:r>
      <w:bookmarkEnd w:id="2"/>
    </w:p>
    <w:p w14:paraId="0C8671A7" w14:textId="77777777" w:rsidR="00952B00" w:rsidRPr="00281ED6" w:rsidRDefault="00952B00" w:rsidP="00952B00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1CC2D2FC" w14:textId="77777777" w:rsidR="00952B00" w:rsidRDefault="00952B00" w:rsidP="00952B0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52B00" w14:paraId="7A28876E" w14:textId="77777777" w:rsidTr="009B635A">
        <w:tc>
          <w:tcPr>
            <w:tcW w:w="4814" w:type="dxa"/>
          </w:tcPr>
          <w:p w14:paraId="7924D3AD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14D994A7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952B00" w14:paraId="55877080" w14:textId="77777777" w:rsidTr="009B635A">
        <w:tc>
          <w:tcPr>
            <w:tcW w:w="4814" w:type="dxa"/>
          </w:tcPr>
          <w:p w14:paraId="7FE09313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773384" w14:textId="77777777" w:rsidR="00952B00" w:rsidRPr="00281ED6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9003349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BC3351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095BF4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197BF4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0B51116" w14:textId="77777777" w:rsidR="00952B00" w:rsidRPr="00281ED6" w:rsidRDefault="00952B00" w:rsidP="009B635A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4D5D63D7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12CC09B2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89CBC4B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F05FC9" w14:textId="77777777" w:rsidR="00952B00" w:rsidRPr="00281ED6" w:rsidRDefault="00952B00" w:rsidP="009B635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3979A5A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09641C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5251EC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1DBD12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9EB62EE" w14:textId="77777777" w:rsidR="00952B00" w:rsidRPr="00281ED6" w:rsidRDefault="00952B00" w:rsidP="009B635A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563F4D5B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952B00" w14:paraId="5A21058F" w14:textId="77777777" w:rsidTr="009B635A">
        <w:tc>
          <w:tcPr>
            <w:tcW w:w="4814" w:type="dxa"/>
          </w:tcPr>
          <w:p w14:paraId="47F3D38A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072454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09AA7E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6DE86E7" w14:textId="77777777" w:rsidR="00952B00" w:rsidRPr="00F97B37" w:rsidRDefault="00952B00" w:rsidP="009B635A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97B37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31EA31AC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00806097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0630CF" w14:textId="77777777" w:rsidR="00952B00" w:rsidRDefault="00952B00" w:rsidP="009B635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8B58A2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CD3FF36" w14:textId="77777777" w:rsidR="00952B00" w:rsidRPr="00281ED6" w:rsidRDefault="00952B00" w:rsidP="009B635A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6BF2BBF1" w14:textId="77777777" w:rsidR="00952B00" w:rsidRDefault="00952B00" w:rsidP="009B635A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3FDF2647" w14:textId="77777777" w:rsidR="00952B00" w:rsidRDefault="00952B00" w:rsidP="00952B0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ECC37C6" w14:textId="77777777" w:rsidR="00952B00" w:rsidRPr="00DF6E34" w:rsidRDefault="00952B00" w:rsidP="00952B00">
      <w:pPr>
        <w:rPr>
          <w:rFonts w:ascii="Arial" w:hAnsi="Arial" w:cs="Arial"/>
          <w:sz w:val="18"/>
          <w:szCs w:val="18"/>
        </w:rPr>
      </w:pPr>
    </w:p>
    <w:p w14:paraId="2B8499CC" w14:textId="77777777" w:rsidR="00952B00" w:rsidRDefault="00952B00" w:rsidP="00952B00"/>
    <w:p w14:paraId="1105D538" w14:textId="77777777" w:rsidR="009A5107" w:rsidRDefault="009A5107"/>
    <w:sectPr w:rsidR="009A5107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1B3098"/>
    <w:multiLevelType w:val="hybridMultilevel"/>
    <w:tmpl w:val="1108AE00"/>
    <w:lvl w:ilvl="0" w:tplc="3106FB0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B683682"/>
    <w:multiLevelType w:val="multilevel"/>
    <w:tmpl w:val="354854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C9C72F2"/>
    <w:multiLevelType w:val="hybridMultilevel"/>
    <w:tmpl w:val="F3742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00764"/>
    <w:multiLevelType w:val="hybridMultilevel"/>
    <w:tmpl w:val="503C7D96"/>
    <w:lvl w:ilvl="0" w:tplc="5742D224">
      <w:start w:val="1"/>
      <w:numFmt w:val="lowerRoman"/>
      <w:lvlText w:val="(%1)"/>
      <w:lvlJc w:val="left"/>
      <w:pPr>
        <w:ind w:left="10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8" w:hanging="360"/>
      </w:pPr>
    </w:lvl>
    <w:lvl w:ilvl="2" w:tplc="041B001B" w:tentative="1">
      <w:start w:val="1"/>
      <w:numFmt w:val="lowerRoman"/>
      <w:lvlText w:val="%3."/>
      <w:lvlJc w:val="right"/>
      <w:pPr>
        <w:ind w:left="2118" w:hanging="180"/>
      </w:pPr>
    </w:lvl>
    <w:lvl w:ilvl="3" w:tplc="041B000F" w:tentative="1">
      <w:start w:val="1"/>
      <w:numFmt w:val="decimal"/>
      <w:lvlText w:val="%4."/>
      <w:lvlJc w:val="left"/>
      <w:pPr>
        <w:ind w:left="2838" w:hanging="360"/>
      </w:pPr>
    </w:lvl>
    <w:lvl w:ilvl="4" w:tplc="041B0019" w:tentative="1">
      <w:start w:val="1"/>
      <w:numFmt w:val="lowerLetter"/>
      <w:lvlText w:val="%5."/>
      <w:lvlJc w:val="left"/>
      <w:pPr>
        <w:ind w:left="3558" w:hanging="360"/>
      </w:pPr>
    </w:lvl>
    <w:lvl w:ilvl="5" w:tplc="041B001B" w:tentative="1">
      <w:start w:val="1"/>
      <w:numFmt w:val="lowerRoman"/>
      <w:lvlText w:val="%6."/>
      <w:lvlJc w:val="right"/>
      <w:pPr>
        <w:ind w:left="4278" w:hanging="180"/>
      </w:pPr>
    </w:lvl>
    <w:lvl w:ilvl="6" w:tplc="041B000F" w:tentative="1">
      <w:start w:val="1"/>
      <w:numFmt w:val="decimal"/>
      <w:lvlText w:val="%7."/>
      <w:lvlJc w:val="left"/>
      <w:pPr>
        <w:ind w:left="4998" w:hanging="360"/>
      </w:pPr>
    </w:lvl>
    <w:lvl w:ilvl="7" w:tplc="041B0019" w:tentative="1">
      <w:start w:val="1"/>
      <w:numFmt w:val="lowerLetter"/>
      <w:lvlText w:val="%8."/>
      <w:lvlJc w:val="left"/>
      <w:pPr>
        <w:ind w:left="5718" w:hanging="360"/>
      </w:pPr>
    </w:lvl>
    <w:lvl w:ilvl="8" w:tplc="041B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695C373A"/>
    <w:multiLevelType w:val="multilevel"/>
    <w:tmpl w:val="D6AAF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(%3)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4404386">
    <w:abstractNumId w:val="0"/>
  </w:num>
  <w:num w:numId="2" w16cid:durableId="1952393461">
    <w:abstractNumId w:val="3"/>
  </w:num>
  <w:num w:numId="3" w16cid:durableId="257755147">
    <w:abstractNumId w:val="4"/>
  </w:num>
  <w:num w:numId="4" w16cid:durableId="2065568725">
    <w:abstractNumId w:val="2"/>
  </w:num>
  <w:num w:numId="5" w16cid:durableId="2056737212">
    <w:abstractNumId w:val="5"/>
  </w:num>
  <w:num w:numId="6" w16cid:durableId="868881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00"/>
    <w:rsid w:val="00122C03"/>
    <w:rsid w:val="001368D7"/>
    <w:rsid w:val="001C3646"/>
    <w:rsid w:val="001F3BDB"/>
    <w:rsid w:val="002063B4"/>
    <w:rsid w:val="00252E52"/>
    <w:rsid w:val="0029257A"/>
    <w:rsid w:val="002C679D"/>
    <w:rsid w:val="00320BAF"/>
    <w:rsid w:val="00336327"/>
    <w:rsid w:val="003D4A53"/>
    <w:rsid w:val="003E758F"/>
    <w:rsid w:val="0050707F"/>
    <w:rsid w:val="005275E1"/>
    <w:rsid w:val="00534A6A"/>
    <w:rsid w:val="005526AE"/>
    <w:rsid w:val="00566565"/>
    <w:rsid w:val="00640524"/>
    <w:rsid w:val="0069623C"/>
    <w:rsid w:val="006A0C9D"/>
    <w:rsid w:val="007C2D48"/>
    <w:rsid w:val="00803C64"/>
    <w:rsid w:val="008313F1"/>
    <w:rsid w:val="0087062F"/>
    <w:rsid w:val="00952B00"/>
    <w:rsid w:val="00984377"/>
    <w:rsid w:val="00986A1B"/>
    <w:rsid w:val="009A5107"/>
    <w:rsid w:val="00B07190"/>
    <w:rsid w:val="00B95E97"/>
    <w:rsid w:val="00BA6134"/>
    <w:rsid w:val="00BD5B52"/>
    <w:rsid w:val="00BE57DC"/>
    <w:rsid w:val="00C10F97"/>
    <w:rsid w:val="00C96D08"/>
    <w:rsid w:val="00CD40E5"/>
    <w:rsid w:val="00CF3014"/>
    <w:rsid w:val="00D368AA"/>
    <w:rsid w:val="00D968E8"/>
    <w:rsid w:val="00DD21F4"/>
    <w:rsid w:val="00E147EA"/>
    <w:rsid w:val="00EC36E8"/>
    <w:rsid w:val="00EC4756"/>
    <w:rsid w:val="00F4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1C03"/>
  <w15:chartTrackingRefBased/>
  <w15:docId w15:val="{F5C8EE43-961B-4354-AD96-83406587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2B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52B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95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52B00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52B00"/>
    <w:pPr>
      <w:widowControl w:val="0"/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52B00"/>
  </w:style>
  <w:style w:type="character" w:styleId="Hypertextovprepojenie">
    <w:name w:val="Hyperlink"/>
    <w:basedOn w:val="Predvolenpsmoodseku"/>
    <w:uiPriority w:val="99"/>
    <w:semiHidden/>
    <w:unhideWhenUsed/>
    <w:rsid w:val="00952B00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5070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70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707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70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707F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F30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Lúčna Michaela</cp:lastModifiedBy>
  <cp:revision>3</cp:revision>
  <dcterms:created xsi:type="dcterms:W3CDTF">2022-12-16T09:27:00Z</dcterms:created>
  <dcterms:modified xsi:type="dcterms:W3CDTF">2022-12-16T09:28:00Z</dcterms:modified>
</cp:coreProperties>
</file>