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40A1" w14:textId="412BD545"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r w:rsidR="007663CB">
        <w:rPr>
          <w:rFonts w:ascii="Times New Roman" w:eastAsia="Times New Roman" w:hAnsi="Times New Roman" w:cs="Times New Roman"/>
          <w:color w:val="000000"/>
          <w:sz w:val="24"/>
          <w:szCs w:val="24"/>
          <w:lang w:eastAsia="sk-SK"/>
        </w:rPr>
        <w:t xml:space="preserve"> /2022/</w:t>
      </w:r>
      <w:proofErr w:type="spellStart"/>
      <w:r w:rsidR="007663CB">
        <w:rPr>
          <w:rFonts w:ascii="Times New Roman" w:eastAsia="Times New Roman" w:hAnsi="Times New Roman" w:cs="Times New Roman"/>
          <w:color w:val="000000"/>
          <w:sz w:val="24"/>
          <w:szCs w:val="24"/>
          <w:lang w:eastAsia="sk-SK"/>
        </w:rPr>
        <w:t>OVaR</w:t>
      </w:r>
      <w:proofErr w:type="spellEnd"/>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5A6A0950"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083602" w:rsidRPr="00083602">
        <w:rPr>
          <w:rFonts w:ascii="Times New Roman" w:eastAsia="Times New Roman" w:hAnsi="Times New Roman" w:cs="Times New Roman"/>
          <w:b/>
          <w:color w:val="000000"/>
          <w:sz w:val="24"/>
          <w:szCs w:val="24"/>
          <w:lang w:eastAsia="sk-SK"/>
        </w:rPr>
        <w:t>Úprava autobusových zastávok a prechod pre chodcov na ceste II/562 -Cabajská ul., Nitra</w:t>
      </w:r>
      <w:r w:rsidR="00083602" w:rsidRPr="00083602" w:rsidDel="00367679">
        <w:rPr>
          <w:rFonts w:ascii="Times New Roman" w:eastAsia="Times New Roman" w:hAnsi="Times New Roman" w:cs="Times New Roman"/>
          <w:b/>
          <w:color w:val="000000"/>
          <w:sz w:val="24"/>
          <w:szCs w:val="24"/>
          <w:lang w:eastAsia="sk-SK"/>
        </w:rPr>
        <w:t xml:space="preserve"> </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w:t>
      </w:r>
      <w:proofErr w:type="spellStart"/>
      <w:r>
        <w:rPr>
          <w:rFonts w:ascii="Times New Roman" w:eastAsia="Times New Roman" w:hAnsi="Times New Roman" w:cs="Times New Roman"/>
          <w:color w:val="000000"/>
          <w:sz w:val="24"/>
          <w:szCs w:val="24"/>
          <w:lang w:eastAsia="sk-SK"/>
        </w:rPr>
        <w:t>a.s</w:t>
      </w:r>
      <w:proofErr w:type="spellEnd"/>
      <w:r>
        <w:rPr>
          <w:rFonts w:ascii="Times New Roman" w:eastAsia="Times New Roman" w:hAnsi="Times New Roman" w:cs="Times New Roman"/>
          <w:color w:val="000000"/>
          <w:sz w:val="24"/>
          <w:szCs w:val="24"/>
          <w:lang w:eastAsia="sk-SK"/>
        </w:rPr>
        <w:t>.</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35B7A10B"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083602" w:rsidRPr="00083602">
        <w:rPr>
          <w:rFonts w:ascii="Times New Roman" w:eastAsia="Times New Roman" w:hAnsi="Times New Roman" w:cs="Times New Roman"/>
          <w:color w:val="000000"/>
          <w:sz w:val="24"/>
          <w:szCs w:val="24"/>
          <w:lang w:eastAsia="sk-SK"/>
        </w:rPr>
        <w:t>Úprava autobusových zastávok a prechod pre chodcov na ceste II/562 -Cabajská ul., Nitra</w:t>
      </w:r>
      <w:r w:rsidR="00083602" w:rsidRPr="00083602" w:rsidDel="0036767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uskutočnenej v zmysle § </w:t>
      </w:r>
      <w:r w:rsidR="00850057">
        <w:rPr>
          <w:rFonts w:ascii="Times New Roman" w:eastAsia="Times New Roman" w:hAnsi="Times New Roman" w:cs="Times New Roman"/>
          <w:color w:val="000000"/>
          <w:sz w:val="24"/>
          <w:szCs w:val="24"/>
          <w:lang w:eastAsia="sk-SK"/>
        </w:rPr>
        <w:t xml:space="preserve"> 11</w:t>
      </w:r>
      <w:r w:rsidR="00503E2C">
        <w:rPr>
          <w:rFonts w:ascii="Times New Roman" w:eastAsia="Times New Roman" w:hAnsi="Times New Roman" w:cs="Times New Roman"/>
          <w:color w:val="000000"/>
          <w:sz w:val="24"/>
          <w:szCs w:val="24"/>
          <w:lang w:eastAsia="sk-SK"/>
        </w:rPr>
        <w:t>2</w:t>
      </w:r>
      <w:r w:rsidR="00850057">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zákona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2365D5FC"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083602" w:rsidRPr="00083602">
        <w:rPr>
          <w:rFonts w:ascii="Times New Roman" w:eastAsia="Times New Roman" w:hAnsi="Times New Roman" w:cs="Times New Roman"/>
          <w:sz w:val="24"/>
          <w:szCs w:val="24"/>
          <w:lang w:eastAsia="sk-SK"/>
        </w:rPr>
        <w:t>Úprava autobusových zastávok a prechod pre chodcov na ceste II/562 -Cabajská ul., Nitra</w:t>
      </w:r>
      <w:r w:rsidR="00083602" w:rsidRPr="00083602" w:rsidDel="00367679">
        <w:rPr>
          <w:rFonts w:ascii="Times New Roman" w:eastAsia="Times New Roman" w:hAnsi="Times New Roman" w:cs="Times New Roman"/>
          <w:sz w:val="24"/>
          <w:szCs w:val="24"/>
          <w:lang w:eastAsia="sk-SK"/>
        </w:rPr>
        <w:t xml:space="preserve"> </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08813128"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6E4E60" w:rsidRPr="006E4E60">
        <w:rPr>
          <w:rFonts w:ascii="Times New Roman" w:eastAsia="Times New Roman" w:hAnsi="Times New Roman" w:cs="Times New Roman"/>
          <w:sz w:val="24"/>
          <w:szCs w:val="24"/>
          <w:lang w:eastAsia="sk-SK"/>
        </w:rPr>
        <w:t xml:space="preserve">ulica Cabajská, Nitra, </w:t>
      </w:r>
      <w:proofErr w:type="spellStart"/>
      <w:r w:rsidR="006E4E60" w:rsidRPr="006E4E60">
        <w:rPr>
          <w:rFonts w:ascii="Times New Roman" w:eastAsia="Times New Roman" w:hAnsi="Times New Roman" w:cs="Times New Roman"/>
          <w:sz w:val="24"/>
          <w:szCs w:val="24"/>
          <w:lang w:eastAsia="sk-SK"/>
        </w:rPr>
        <w:t>k.ú</w:t>
      </w:r>
      <w:proofErr w:type="spellEnd"/>
      <w:r w:rsidR="006E4E60" w:rsidRPr="006E4E60">
        <w:rPr>
          <w:rFonts w:ascii="Times New Roman" w:eastAsia="Times New Roman" w:hAnsi="Times New Roman" w:cs="Times New Roman"/>
          <w:sz w:val="24"/>
          <w:szCs w:val="24"/>
          <w:lang w:eastAsia="sk-SK"/>
        </w:rPr>
        <w:t xml:space="preserve">. </w:t>
      </w:r>
      <w:proofErr w:type="spellStart"/>
      <w:r w:rsidR="006E4E60" w:rsidRPr="006E4E60">
        <w:rPr>
          <w:rFonts w:ascii="Times New Roman" w:eastAsia="Times New Roman" w:hAnsi="Times New Roman" w:cs="Times New Roman"/>
          <w:sz w:val="24"/>
          <w:szCs w:val="24"/>
          <w:lang w:eastAsia="sk-SK"/>
        </w:rPr>
        <w:t>Čermáň</w:t>
      </w:r>
      <w:proofErr w:type="spellEnd"/>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lastRenderedPageBreak/>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lastRenderedPageBreak/>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geodetickým porealizačným</w:t>
      </w:r>
      <w:bookmarkStart w:id="0" w:name="_GoBack"/>
      <w:bookmarkEnd w:id="0"/>
      <w:r w:rsidR="008E7F94" w:rsidRPr="008E7F94">
        <w:rPr>
          <w:rFonts w:ascii="Times New Roman" w:hAnsi="Times New Roman"/>
          <w:sz w:val="24"/>
          <w:szCs w:val="24"/>
        </w:rPr>
        <w:t xml:space="preserve">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5F477E7B"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083602">
        <w:rPr>
          <w:rFonts w:ascii="Times New Roman" w:eastAsia="Times New Roman" w:hAnsi="Times New Roman" w:cs="Times New Roman"/>
          <w:color w:val="000000"/>
          <w:sz w:val="24"/>
          <w:szCs w:val="24"/>
          <w:lang w:eastAsia="sk-SK"/>
        </w:rPr>
        <w:t>3</w:t>
      </w:r>
      <w:r w:rsidR="00901C34">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lastRenderedPageBreak/>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415581C0" w14:textId="7389A6CC" w:rsidR="008F38F7" w:rsidRDefault="008F38F7" w:rsidP="00DD3692">
      <w:pPr>
        <w:spacing w:after="0" w:line="20" w:lineRule="atLeast"/>
        <w:jc w:val="center"/>
        <w:rPr>
          <w:rFonts w:ascii="Times New Roman" w:hAnsi="Times New Roman" w:cs="Times New Roman"/>
          <w:b/>
          <w:color w:val="000000"/>
          <w:sz w:val="24"/>
          <w:szCs w:val="24"/>
        </w:rPr>
      </w:pPr>
      <w:bookmarkStart w:id="1" w:name="_Hlk77591460"/>
      <w:r>
        <w:rPr>
          <w:rFonts w:ascii="Times New Roman" w:hAnsi="Times New Roman" w:cs="Times New Roman"/>
          <w:b/>
          <w:color w:val="000000"/>
          <w:sz w:val="24"/>
          <w:szCs w:val="24"/>
        </w:rPr>
        <w:lastRenderedPageBreak/>
        <w:t>Čl. VI Plat</w:t>
      </w:r>
      <w:r w:rsidR="0084388F">
        <w:rPr>
          <w:rFonts w:ascii="Times New Roman" w:hAnsi="Times New Roman" w:cs="Times New Roman"/>
          <w:b/>
          <w:color w:val="000000"/>
          <w:sz w:val="24"/>
          <w:szCs w:val="24"/>
        </w:rPr>
        <w:t>o</w:t>
      </w:r>
      <w:r>
        <w:rPr>
          <w:rFonts w:ascii="Times New Roman" w:hAnsi="Times New Roman" w:cs="Times New Roman"/>
          <w:b/>
          <w:color w:val="000000"/>
          <w:sz w:val="24"/>
          <w:szCs w:val="24"/>
        </w:rPr>
        <w:t>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1"/>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604EE2C1" w:rsidR="00A47254"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2"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4AD24850" w14:textId="548CBC6A" w:rsidR="0084388F" w:rsidRPr="00CA31BC" w:rsidRDefault="0084388F" w:rsidP="0084388F">
      <w:pPr>
        <w:pStyle w:val="Odsekzoznamu"/>
        <w:numPr>
          <w:ilvl w:val="0"/>
          <w:numId w:val="7"/>
        </w:numPr>
        <w:spacing w:line="20" w:lineRule="atLeast"/>
        <w:ind w:left="426" w:hanging="426"/>
        <w:jc w:val="both"/>
        <w:rPr>
          <w:rFonts w:ascii="Times New Roman" w:hAnsi="Times New Roman"/>
          <w:sz w:val="24"/>
          <w:szCs w:val="24"/>
        </w:rPr>
      </w:pPr>
      <w:r w:rsidRPr="00CA31BC">
        <w:rPr>
          <w:rFonts w:ascii="Times New Roman" w:hAnsi="Times New Roman"/>
          <w:sz w:val="24"/>
          <w:szCs w:val="24"/>
        </w:rPr>
        <w:t>Dodávateľ je povinný s predložením faktúry predložiť písomné potvrdenie, že má uhradené všetky svoje splatné záväzky voči svojim subdodávateľom  a prípadne objednávateľ je oprávnený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Pozastavenie platby zo strany objednávateľa v súlade s týmto bodom zmluvy sa nepovažuje za porušenie zmluvy a objednávateľ sa nedostáva do akéhokoľvek omeškania.</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3"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3"/>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2"/>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 xml:space="preserve">Dielo, resp. po predložení bankovej záruky. Zádržné bude slúžiť výlučne na úhradu nákladov, ktoré vzniknú objednávateľovi </w:t>
      </w:r>
      <w:r w:rsidRPr="00DD3692">
        <w:rPr>
          <w:rFonts w:ascii="Times New Roman" w:hAnsi="Times New Roman"/>
          <w:color w:val="000000"/>
          <w:sz w:val="24"/>
          <w:szCs w:val="24"/>
        </w:rPr>
        <w:lastRenderedPageBreak/>
        <w:t>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vadným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w:t>
      </w:r>
      <w:r w:rsidRPr="001D7BE5">
        <w:rPr>
          <w:rFonts w:ascii="Times New Roman" w:hAnsi="Times New Roman"/>
          <w:color w:val="000000"/>
          <w:sz w:val="24"/>
          <w:szCs w:val="24"/>
        </w:rPr>
        <w:lastRenderedPageBreak/>
        <w:t xml:space="preserve">s uskutočňovaním diela. Zápisy do stavebného denníka čitateľne zapisuje a podpisuje oprávnený stavbyvedúci vždy v deň, kedy boli práce vykonané alebo keď nastanú okolnosti 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1132123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pri zhotovo</w:t>
      </w:r>
      <w:r w:rsidR="00CA31BC">
        <w:rPr>
          <w:rFonts w:ascii="Times New Roman" w:hAnsi="Times New Roman"/>
          <w:color w:val="000000"/>
          <w:sz w:val="24"/>
          <w:szCs w:val="24"/>
        </w:rPr>
        <w:t>v</w:t>
      </w:r>
      <w:r>
        <w:rPr>
          <w:rFonts w:ascii="Times New Roman" w:hAnsi="Times New Roman"/>
          <w:color w:val="000000"/>
          <w:sz w:val="24"/>
          <w:szCs w:val="24"/>
        </w:rPr>
        <w:t xml:space="preserve">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64DC9818" w14:textId="5A83E697" w:rsidR="008F38F7" w:rsidRDefault="00CA31BC"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w:t>
      </w:r>
      <w:r w:rsidR="008F38F7">
        <w:rPr>
          <w:rFonts w:ascii="Times New Roman" w:hAnsi="Times New Roman" w:cs="Times New Roman"/>
          <w:b/>
          <w:color w:val="000000"/>
          <w:sz w:val="24"/>
          <w:szCs w:val="24"/>
        </w:rPr>
        <w:t xml:space="preserve">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w:t>
      </w:r>
      <w:r w:rsidRPr="00DD3692">
        <w:rPr>
          <w:rFonts w:ascii="Times New Roman" w:hAnsi="Times New Roman"/>
          <w:color w:val="000000"/>
          <w:sz w:val="24"/>
          <w:szCs w:val="24"/>
        </w:rPr>
        <w:lastRenderedPageBreak/>
        <w:t xml:space="preserve">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1948A01B" w14:textId="1E90172E" w:rsidR="008F38F7" w:rsidRDefault="00CA31BC"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w:t>
      </w:r>
      <w:r w:rsidR="008F38F7">
        <w:rPr>
          <w:rFonts w:ascii="Times New Roman" w:hAnsi="Times New Roman" w:cs="Times New Roman"/>
          <w:b/>
          <w:color w:val="000000"/>
          <w:sz w:val="24"/>
          <w:szCs w:val="24"/>
        </w:rPr>
        <w:t xml:space="preserve">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w:t>
      </w:r>
      <w:r>
        <w:rPr>
          <w:rFonts w:ascii="Times New Roman" w:hAnsi="Times New Roman"/>
          <w:color w:val="000000"/>
          <w:sz w:val="24"/>
          <w:szCs w:val="24"/>
        </w:rPr>
        <w:lastRenderedPageBreak/>
        <w:t>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zodpovedá za všetky škody, ktoré vzniknú objednávateľovi v dôsledku porušenia jeho povinností, vyplývajúcich z tejto zmluvy. V prípade vzniku škody </w:t>
      </w:r>
      <w:r>
        <w:rPr>
          <w:rFonts w:ascii="Times New Roman" w:hAnsi="Times New Roman"/>
          <w:color w:val="000000"/>
          <w:sz w:val="24"/>
          <w:szCs w:val="24"/>
        </w:rPr>
        <w:lastRenderedPageBreak/>
        <w:t>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3CD2BAEB"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194313">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01243655" w14:textId="1CE521FD"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 xml:space="preserve">Príloha č. </w:t>
      </w:r>
      <w:r w:rsidR="00503E2C">
        <w:rPr>
          <w:rFonts w:ascii="Times New Roman" w:hAnsi="Times New Roman"/>
          <w:sz w:val="24"/>
          <w:szCs w:val="24"/>
        </w:rPr>
        <w:t>1</w:t>
      </w:r>
      <w:r w:rsidRPr="000053F7">
        <w:rPr>
          <w:rFonts w:ascii="Times New Roman" w:hAnsi="Times New Roman"/>
          <w:sz w:val="24"/>
          <w:szCs w:val="24"/>
        </w:rPr>
        <w:t xml:space="preserve"> – Harmonogram prác</w:t>
      </w:r>
    </w:p>
    <w:p w14:paraId="654511F3" w14:textId="7A35A0EF"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503E2C">
        <w:rPr>
          <w:rFonts w:ascii="Times New Roman" w:hAnsi="Times New Roman"/>
          <w:sz w:val="24"/>
          <w:szCs w:val="24"/>
        </w:rPr>
        <w:t>2</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rsidSect="00503E2C">
          <w:footerReference w:type="default" r:id="rId8"/>
          <w:headerReference w:type="first" r:id="rId9"/>
          <w:pgSz w:w="11906" w:h="16838"/>
          <w:pgMar w:top="1417" w:right="1417" w:bottom="1417" w:left="1417" w:header="708" w:footer="708" w:gutter="0"/>
          <w:cols w:space="708"/>
          <w:titlePg/>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2B212971" w14:textId="77777777" w:rsidR="002838AF" w:rsidRDefault="002838AF" w:rsidP="00DD3692">
      <w:pPr>
        <w:spacing w:after="0" w:line="20" w:lineRule="atLeast"/>
        <w:jc w:val="center"/>
        <w:rPr>
          <w:rFonts w:ascii="Times New Roman" w:hAnsi="Times New Roman" w:cs="Times New Roman"/>
          <w:sz w:val="24"/>
          <w:szCs w:val="24"/>
        </w:rPr>
      </w:pPr>
    </w:p>
    <w:p w14:paraId="323FB097" w14:textId="77777777" w:rsidR="008F38F7" w:rsidRDefault="008F38F7"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0AED085B" w14:textId="77777777" w:rsidR="002838AF" w:rsidRDefault="008F38F7"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sidR="002838AF">
        <w:rPr>
          <w:rFonts w:ascii="Times New Roman" w:hAnsi="Times New Roman" w:cs="Times New Roman"/>
          <w:sz w:val="24"/>
          <w:szCs w:val="24"/>
        </w:rPr>
        <w:br w:type="column"/>
      </w:r>
    </w:p>
    <w:p w14:paraId="5293BB85" w14:textId="77777777" w:rsidR="004C5B50" w:rsidRDefault="004C5B50" w:rsidP="00DD3692">
      <w:pPr>
        <w:spacing w:after="0" w:line="20" w:lineRule="atLeast"/>
        <w:jc w:val="center"/>
        <w:rPr>
          <w:rFonts w:ascii="Times New Roman" w:hAnsi="Times New Roman" w:cs="Times New Roman"/>
          <w:sz w:val="24"/>
          <w:szCs w:val="24"/>
        </w:rPr>
      </w:pPr>
    </w:p>
    <w:p w14:paraId="42664B20" w14:textId="77777777" w:rsidR="002838AF" w:rsidRDefault="002838AF"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18D9" w14:textId="77777777" w:rsidR="00CA7808" w:rsidRDefault="00CA7808" w:rsidP="0075699D">
      <w:pPr>
        <w:spacing w:after="0" w:line="240" w:lineRule="auto"/>
      </w:pPr>
      <w:r>
        <w:separator/>
      </w:r>
    </w:p>
  </w:endnote>
  <w:endnote w:type="continuationSeparator" w:id="0">
    <w:p w14:paraId="63022D52" w14:textId="77777777" w:rsidR="00CA7808" w:rsidRDefault="00CA7808"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876602">
          <w:rPr>
            <w:rFonts w:ascii="Times New Roman" w:hAnsi="Times New Roman" w:cs="Times New Roman"/>
            <w:noProof/>
            <w:sz w:val="24"/>
          </w:rPr>
          <w:t>11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0C3B" w14:textId="77777777" w:rsidR="00CA7808" w:rsidRDefault="00CA7808" w:rsidP="0075699D">
      <w:pPr>
        <w:spacing w:after="0" w:line="240" w:lineRule="auto"/>
      </w:pPr>
      <w:r>
        <w:separator/>
      </w:r>
    </w:p>
  </w:footnote>
  <w:footnote w:type="continuationSeparator" w:id="0">
    <w:p w14:paraId="2ED7E9FC" w14:textId="77777777" w:rsidR="00CA7808" w:rsidRDefault="00CA7808" w:rsidP="0075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1A8F" w14:textId="64331811" w:rsidR="00503E2C" w:rsidRPr="00503E2C" w:rsidRDefault="00503E2C">
    <w:pPr>
      <w:pStyle w:val="Hlavika"/>
      <w:rPr>
        <w:rFonts w:ascii="Times New Roman" w:hAnsi="Times New Roman" w:cs="Times New Roman"/>
      </w:rPr>
    </w:pPr>
    <w:r w:rsidRPr="00503E2C">
      <w:rPr>
        <w:rFonts w:ascii="Times New Roman" w:hAnsi="Times New Roman" w:cs="Times New Roman"/>
      </w:rPr>
      <w:t>Príloha č. 3 Návrh zmluvy o dielo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6"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4"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5"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4"/>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4"/>
  </w:num>
  <w:num w:numId="27">
    <w:abstractNumId w:val="2"/>
  </w:num>
  <w:num w:numId="28">
    <w:abstractNumId w:val="22"/>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8"/>
    <w:rsid w:val="0000230B"/>
    <w:rsid w:val="000053F7"/>
    <w:rsid w:val="00042795"/>
    <w:rsid w:val="00061714"/>
    <w:rsid w:val="00061C56"/>
    <w:rsid w:val="000707C8"/>
    <w:rsid w:val="00075661"/>
    <w:rsid w:val="00083602"/>
    <w:rsid w:val="00084DCA"/>
    <w:rsid w:val="000B5B89"/>
    <w:rsid w:val="000D30CA"/>
    <w:rsid w:val="000E2674"/>
    <w:rsid w:val="000E36CA"/>
    <w:rsid w:val="00155807"/>
    <w:rsid w:val="001855A0"/>
    <w:rsid w:val="00194313"/>
    <w:rsid w:val="00196752"/>
    <w:rsid w:val="001A7CFF"/>
    <w:rsid w:val="001C045E"/>
    <w:rsid w:val="001D628D"/>
    <w:rsid w:val="001D7BE5"/>
    <w:rsid w:val="001E1D8D"/>
    <w:rsid w:val="001E5066"/>
    <w:rsid w:val="00200DCE"/>
    <w:rsid w:val="00207CC1"/>
    <w:rsid w:val="002271A7"/>
    <w:rsid w:val="00227825"/>
    <w:rsid w:val="00237FAB"/>
    <w:rsid w:val="002704FA"/>
    <w:rsid w:val="00271517"/>
    <w:rsid w:val="002808C5"/>
    <w:rsid w:val="002838AF"/>
    <w:rsid w:val="002928F5"/>
    <w:rsid w:val="002B75D8"/>
    <w:rsid w:val="002D1A52"/>
    <w:rsid w:val="002F6459"/>
    <w:rsid w:val="003046B3"/>
    <w:rsid w:val="0030702A"/>
    <w:rsid w:val="00325502"/>
    <w:rsid w:val="003365FC"/>
    <w:rsid w:val="00355A66"/>
    <w:rsid w:val="00367679"/>
    <w:rsid w:val="0037218D"/>
    <w:rsid w:val="00377450"/>
    <w:rsid w:val="00393892"/>
    <w:rsid w:val="00396790"/>
    <w:rsid w:val="003C63A4"/>
    <w:rsid w:val="00420329"/>
    <w:rsid w:val="00436616"/>
    <w:rsid w:val="00437869"/>
    <w:rsid w:val="00443205"/>
    <w:rsid w:val="00445DE6"/>
    <w:rsid w:val="00445FC6"/>
    <w:rsid w:val="004723EA"/>
    <w:rsid w:val="004767A1"/>
    <w:rsid w:val="004868D0"/>
    <w:rsid w:val="00497F5B"/>
    <w:rsid w:val="004C5B50"/>
    <w:rsid w:val="00502BBB"/>
    <w:rsid w:val="00503E2C"/>
    <w:rsid w:val="00516DF2"/>
    <w:rsid w:val="005200A1"/>
    <w:rsid w:val="00524A9C"/>
    <w:rsid w:val="005323E1"/>
    <w:rsid w:val="0054341D"/>
    <w:rsid w:val="005468AD"/>
    <w:rsid w:val="005811BD"/>
    <w:rsid w:val="00581CE4"/>
    <w:rsid w:val="005B3336"/>
    <w:rsid w:val="00614778"/>
    <w:rsid w:val="006204DE"/>
    <w:rsid w:val="00623CF8"/>
    <w:rsid w:val="006375C3"/>
    <w:rsid w:val="00646B57"/>
    <w:rsid w:val="006755E5"/>
    <w:rsid w:val="006927FF"/>
    <w:rsid w:val="006A0A84"/>
    <w:rsid w:val="006A3BF0"/>
    <w:rsid w:val="006B02D2"/>
    <w:rsid w:val="006B260A"/>
    <w:rsid w:val="006C0224"/>
    <w:rsid w:val="006E4E60"/>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D60F0"/>
    <w:rsid w:val="007E5C12"/>
    <w:rsid w:val="007F6FB7"/>
    <w:rsid w:val="00802806"/>
    <w:rsid w:val="00815504"/>
    <w:rsid w:val="008268D8"/>
    <w:rsid w:val="00830D6A"/>
    <w:rsid w:val="0084388F"/>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1477A"/>
    <w:rsid w:val="00926CB5"/>
    <w:rsid w:val="00942039"/>
    <w:rsid w:val="00957415"/>
    <w:rsid w:val="00975EAF"/>
    <w:rsid w:val="00985E4B"/>
    <w:rsid w:val="009A260F"/>
    <w:rsid w:val="009A414E"/>
    <w:rsid w:val="009B5FAF"/>
    <w:rsid w:val="00A20888"/>
    <w:rsid w:val="00A43EDF"/>
    <w:rsid w:val="00A44A06"/>
    <w:rsid w:val="00A47254"/>
    <w:rsid w:val="00A521C6"/>
    <w:rsid w:val="00A74C8D"/>
    <w:rsid w:val="00AB718B"/>
    <w:rsid w:val="00AD099A"/>
    <w:rsid w:val="00AE6E92"/>
    <w:rsid w:val="00B059DD"/>
    <w:rsid w:val="00B36D27"/>
    <w:rsid w:val="00B66E4E"/>
    <w:rsid w:val="00B70416"/>
    <w:rsid w:val="00B91EEC"/>
    <w:rsid w:val="00B930B0"/>
    <w:rsid w:val="00BA5109"/>
    <w:rsid w:val="00BB73AE"/>
    <w:rsid w:val="00BE0C69"/>
    <w:rsid w:val="00BE2D54"/>
    <w:rsid w:val="00BE56D0"/>
    <w:rsid w:val="00C05C14"/>
    <w:rsid w:val="00C34BC0"/>
    <w:rsid w:val="00C41038"/>
    <w:rsid w:val="00C546F3"/>
    <w:rsid w:val="00C55375"/>
    <w:rsid w:val="00C673D7"/>
    <w:rsid w:val="00C767EA"/>
    <w:rsid w:val="00C8019E"/>
    <w:rsid w:val="00C871AA"/>
    <w:rsid w:val="00CA31BC"/>
    <w:rsid w:val="00CA7808"/>
    <w:rsid w:val="00CD37C3"/>
    <w:rsid w:val="00CE1C11"/>
    <w:rsid w:val="00CE60E1"/>
    <w:rsid w:val="00CF0386"/>
    <w:rsid w:val="00D42459"/>
    <w:rsid w:val="00D46033"/>
    <w:rsid w:val="00D6444C"/>
    <w:rsid w:val="00D70F6F"/>
    <w:rsid w:val="00D71476"/>
    <w:rsid w:val="00D74249"/>
    <w:rsid w:val="00DB132C"/>
    <w:rsid w:val="00DC0ECE"/>
    <w:rsid w:val="00DD3692"/>
    <w:rsid w:val="00DE3159"/>
    <w:rsid w:val="00DE6EF1"/>
    <w:rsid w:val="00E25A8F"/>
    <w:rsid w:val="00E31DC0"/>
    <w:rsid w:val="00E4645D"/>
    <w:rsid w:val="00E66576"/>
    <w:rsid w:val="00EC5207"/>
    <w:rsid w:val="00ED6B3E"/>
    <w:rsid w:val="00EE622B"/>
    <w:rsid w:val="00F16F5C"/>
    <w:rsid w:val="00F32E9A"/>
    <w:rsid w:val="00F424CB"/>
    <w:rsid w:val="00F50E4C"/>
    <w:rsid w:val="00F74D89"/>
    <w:rsid w:val="00F80F03"/>
    <w:rsid w:val="00F8345F"/>
    <w:rsid w:val="00F84683"/>
    <w:rsid w:val="00FA58EB"/>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49AA-2F64-4079-B93D-7EBF123E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5636</Words>
  <Characters>32126</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Moravec Viktor, Mgr.</cp:lastModifiedBy>
  <cp:revision>10</cp:revision>
  <cp:lastPrinted>2021-05-28T11:11:00Z</cp:lastPrinted>
  <dcterms:created xsi:type="dcterms:W3CDTF">2022-06-01T13:52:00Z</dcterms:created>
  <dcterms:modified xsi:type="dcterms:W3CDTF">2022-12-27T11:10:00Z</dcterms:modified>
</cp:coreProperties>
</file>