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071B7EBA" w14:textId="1614430B" w:rsidR="0013110C" w:rsidRDefault="0013110C" w:rsidP="0030369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4A53EADA" w14:textId="6C8CBB8F" w:rsidR="00837C5A" w:rsidRPr="0030369B" w:rsidRDefault="0013110C" w:rsidP="00546DD4">
      <w:pPr>
        <w:spacing w:before="120"/>
        <w:jc w:val="both"/>
        <w:rPr>
          <w:rFonts w:ascii="Cambria" w:hAnsi="Cambria" w:cs="Arial"/>
          <w:bCs/>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30369B">
        <w:rPr>
          <w:rFonts w:ascii="Cambria" w:hAnsi="Cambria" w:cs="Arial"/>
          <w:b/>
          <w:lang w:eastAsia="pl-PL"/>
        </w:rPr>
        <w:t>„Wykonywanie usług z zakresu gospodarki leśnej na terenie leśnictw Paliwodzizna i Płonne w roku 2023 – postępowanie drugie”</w:t>
      </w:r>
      <w:r w:rsidR="0030369B">
        <w:rPr>
          <w:rFonts w:ascii="Cambria" w:hAnsi="Cambria" w:cs="Arial"/>
          <w:bCs/>
          <w:lang w:eastAsia="pl-PL"/>
        </w:rPr>
        <w:t xml:space="preserve"> </w:t>
      </w:r>
      <w:r>
        <w:rPr>
          <w:rFonts w:ascii="Cambria" w:hAnsi="Cambria" w:cs="Arial"/>
          <w:sz w:val="22"/>
          <w:szCs w:val="22"/>
          <w:lang w:eastAsia="pl-PL"/>
        </w:rPr>
        <w:t xml:space="preserve">przeprowadzonym w trybie </w:t>
      </w:r>
      <w:r w:rsidR="00546DD4">
        <w:rPr>
          <w:rFonts w:ascii="Cambria" w:hAnsi="Cambria" w:cs="Arial"/>
          <w:sz w:val="22"/>
          <w:szCs w:val="22"/>
          <w:lang w:eastAsia="pl-PL"/>
        </w:rPr>
        <w:t>PN</w:t>
      </w:r>
      <w:r>
        <w:rPr>
          <w:rFonts w:ascii="Cambria" w:hAnsi="Cambria" w:cs="Arial"/>
          <w:sz w:val="22"/>
          <w:szCs w:val="22"/>
          <w:lang w:eastAsia="pl-PL"/>
        </w:rPr>
        <w:t xml:space="preserve"> („Postępowanie”), na podstawie przepisów ustawy z dnia </w:t>
      </w:r>
      <w:r w:rsidRPr="00AB3F6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AB3F6F">
        <w:rPr>
          <w:rFonts w:ascii="Cambria" w:hAnsi="Cambria" w:cs="Arial"/>
          <w:sz w:val="22"/>
          <w:szCs w:val="22"/>
          <w:lang w:eastAsia="pl-PL"/>
        </w:rPr>
        <w:t>(</w:t>
      </w:r>
      <w:r w:rsidR="0092759C" w:rsidRPr="0092759C">
        <w:rPr>
          <w:rFonts w:ascii="Cambria" w:hAnsi="Cambria" w:cs="Arial"/>
          <w:sz w:val="22"/>
          <w:szCs w:val="22"/>
          <w:lang w:eastAsia="pl-PL"/>
        </w:rPr>
        <w:t>tekst jedn.: Dz. U. z 202</w:t>
      </w:r>
      <w:r w:rsidR="00546DD4">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546DD4">
        <w:rPr>
          <w:rFonts w:ascii="Cambria" w:hAnsi="Cambria" w:cs="Arial"/>
          <w:sz w:val="22"/>
          <w:szCs w:val="22"/>
          <w:lang w:eastAsia="pl-PL"/>
        </w:rPr>
        <w:t>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AB3F6F">
        <w:rPr>
          <w:rFonts w:ascii="Cambria" w:hAnsi="Cambria" w:cs="Arial"/>
          <w:sz w:val="22"/>
          <w:szCs w:val="22"/>
          <w:lang w:eastAsia="pl-PL"/>
        </w:rPr>
        <w:t>.</w:t>
      </w:r>
      <w:r w:rsidR="0092759C" w:rsidRPr="00AB3F6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3773BE8E" w14:textId="0A97D46F" w:rsidR="0030369B" w:rsidRDefault="0013110C" w:rsidP="0030369B">
      <w:pPr>
        <w:spacing w:before="120"/>
        <w:jc w:val="both"/>
        <w:rPr>
          <w:rFonts w:ascii="Cambria" w:hAnsi="Cambria" w:cs="Arial"/>
          <w:bCs/>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30369B">
        <w:rPr>
          <w:rFonts w:ascii="Cambria" w:hAnsi="Cambria" w:cs="Arial"/>
          <w:b/>
          <w:lang w:eastAsia="pl-PL"/>
        </w:rPr>
        <w:t>„Wykonywanie usług z zakresu gospodarki leśnej na terenie leśnictw Paliwodzizna i Płonne w roku 2023 – postępowanie drugie</w:t>
      </w:r>
      <w:r w:rsidR="0030369B">
        <w:rPr>
          <w:rFonts w:ascii="Cambria" w:hAnsi="Cambria" w:cs="Arial"/>
          <w:b/>
          <w:lang w:eastAsia="pl-PL"/>
        </w:rPr>
        <w:t xml:space="preserve"> – Pakiet nr……</w:t>
      </w:r>
      <w:r w:rsidR="0030369B">
        <w:rPr>
          <w:rFonts w:ascii="Cambria" w:hAnsi="Cambria" w:cs="Arial"/>
          <w:b/>
          <w:lang w:eastAsia="pl-PL"/>
        </w:rPr>
        <w:t>”</w:t>
      </w:r>
      <w:r w:rsidR="0030369B">
        <w:rPr>
          <w:rFonts w:ascii="Cambria" w:hAnsi="Cambria" w:cs="Arial"/>
          <w:bCs/>
          <w:lang w:eastAsia="pl-PL"/>
        </w:rPr>
        <w:t xml:space="preserve"> </w:t>
      </w:r>
    </w:p>
    <w:p w14:paraId="689D5875" w14:textId="6E622147" w:rsidR="0013110C" w:rsidRPr="00546DD4" w:rsidRDefault="0013110C" w:rsidP="00546DD4">
      <w:pPr>
        <w:spacing w:before="120"/>
        <w:jc w:val="both"/>
        <w:rPr>
          <w:rFonts w:ascii="Cambria" w:hAnsi="Cambria" w:cs="Arial"/>
          <w:bCs/>
          <w:sz w:val="22"/>
          <w:szCs w:val="22"/>
        </w:rPr>
      </w:pPr>
      <w:r>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AB3F6F">
        <w:rPr>
          <w:rFonts w:ascii="Cambria" w:hAnsi="Cambria" w:cs="Arial"/>
          <w:sz w:val="22"/>
          <w:szCs w:val="22"/>
          <w:lang w:eastAsia="pl-PL"/>
        </w:rPr>
        <w:t>i</w:t>
      </w:r>
      <w:proofErr w:type="spellEnd"/>
      <w:r w:rsidRPr="00AB3F6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AB3F6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AB3F6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AB3F6F">
        <w:rPr>
          <w:rFonts w:ascii="Cambria" w:hAnsi="Cambria" w:cs="Arial"/>
          <w:sz w:val="22"/>
          <w:szCs w:val="22"/>
          <w:lang w:eastAsia="pl-PL"/>
        </w:rPr>
        <w:t>20</w:t>
      </w:r>
      <w:r w:rsidR="00E110CB" w:rsidRPr="00AB3F6F">
        <w:rPr>
          <w:rFonts w:ascii="Cambria" w:hAnsi="Cambria" w:cs="Arial"/>
          <w:sz w:val="22"/>
          <w:szCs w:val="22"/>
          <w:lang w:eastAsia="pl-PL"/>
        </w:rPr>
        <w:t xml:space="preserve"> </w:t>
      </w:r>
      <w:r>
        <w:rPr>
          <w:rFonts w:ascii="Cambria" w:hAnsi="Cambria" w:cs="Arial"/>
          <w:sz w:val="22"/>
          <w:szCs w:val="22"/>
          <w:lang w:eastAsia="pl-PL"/>
        </w:rPr>
        <w:t xml:space="preserve">r. poz. </w:t>
      </w:r>
      <w:r w:rsidRPr="00AB3F6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2ECE9B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AB3F6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B3F6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1"/>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9BB3" w14:textId="77777777" w:rsidR="00E92635" w:rsidRDefault="00E92635">
      <w:r>
        <w:separator/>
      </w:r>
    </w:p>
  </w:endnote>
  <w:endnote w:type="continuationSeparator" w:id="0">
    <w:p w14:paraId="74BF3A25" w14:textId="77777777" w:rsidR="00E92635" w:rsidRDefault="00E9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2A86" w14:textId="77777777" w:rsidR="00E92635" w:rsidRDefault="00E92635">
      <w:r>
        <w:separator/>
      </w:r>
    </w:p>
  </w:footnote>
  <w:footnote w:type="continuationSeparator" w:id="0">
    <w:p w14:paraId="602C4A0A" w14:textId="77777777" w:rsidR="00E92635" w:rsidRDefault="00E9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D99A" w14:textId="77777777" w:rsidR="0030369B" w:rsidRDefault="0030369B" w:rsidP="0030369B">
    <w:pPr>
      <w:pStyle w:val="Nagwek"/>
    </w:pPr>
    <w:r>
      <w:t>SA.270.1.15.2022</w:t>
    </w:r>
  </w:p>
  <w:p w14:paraId="03CE2BBD" w14:textId="77777777" w:rsidR="0030369B" w:rsidRDefault="003036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899474">
    <w:abstractNumId w:val="26"/>
    <w:lvlOverride w:ilvl="0">
      <w:startOverride w:val="1"/>
    </w:lvlOverride>
  </w:num>
  <w:num w:numId="2" w16cid:durableId="1949697084">
    <w:abstractNumId w:val="21"/>
    <w:lvlOverride w:ilvl="0">
      <w:startOverride w:val="1"/>
    </w:lvlOverride>
  </w:num>
  <w:num w:numId="3" w16cid:durableId="108614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11007">
    <w:abstractNumId w:val="14"/>
    <w:lvlOverride w:ilvl="0">
      <w:startOverride w:val="1"/>
    </w:lvlOverride>
  </w:num>
  <w:num w:numId="5" w16cid:durableId="2054307461">
    <w:abstractNumId w:val="15"/>
  </w:num>
  <w:num w:numId="6" w16cid:durableId="170608043">
    <w:abstractNumId w:val="8"/>
  </w:num>
  <w:num w:numId="7" w16cid:durableId="572934399">
    <w:abstractNumId w:val="18"/>
  </w:num>
  <w:num w:numId="8" w16cid:durableId="2111122706">
    <w:abstractNumId w:val="25"/>
  </w:num>
  <w:num w:numId="9" w16cid:durableId="818310002">
    <w:abstractNumId w:val="2"/>
  </w:num>
  <w:num w:numId="10" w16cid:durableId="2029600012">
    <w:abstractNumId w:val="3"/>
  </w:num>
  <w:num w:numId="11" w16cid:durableId="1643654566">
    <w:abstractNumId w:val="23"/>
  </w:num>
  <w:num w:numId="12" w16cid:durableId="354690973">
    <w:abstractNumId w:val="20"/>
  </w:num>
  <w:num w:numId="13" w16cid:durableId="91632252">
    <w:abstractNumId w:val="6"/>
  </w:num>
  <w:num w:numId="14" w16cid:durableId="858661362">
    <w:abstractNumId w:val="22"/>
  </w:num>
  <w:num w:numId="15" w16cid:durableId="644743718">
    <w:abstractNumId w:val="32"/>
  </w:num>
  <w:num w:numId="16" w16cid:durableId="2133550966">
    <w:abstractNumId w:val="13"/>
  </w:num>
  <w:num w:numId="17" w16cid:durableId="259028594">
    <w:abstractNumId w:val="12"/>
  </w:num>
  <w:num w:numId="18" w16cid:durableId="980042701">
    <w:abstractNumId w:val="16"/>
  </w:num>
  <w:num w:numId="19" w16cid:durableId="1135759514">
    <w:abstractNumId w:val="29"/>
  </w:num>
  <w:num w:numId="20" w16cid:durableId="1800998995">
    <w:abstractNumId w:val="11"/>
  </w:num>
  <w:num w:numId="21" w16cid:durableId="1091703764">
    <w:abstractNumId w:val="17"/>
  </w:num>
  <w:num w:numId="22" w16cid:durableId="1736077194">
    <w:abstractNumId w:val="9"/>
  </w:num>
  <w:num w:numId="23" w16cid:durableId="222642961">
    <w:abstractNumId w:val="19"/>
  </w:num>
  <w:num w:numId="24" w16cid:durableId="561134525">
    <w:abstractNumId w:val="33"/>
  </w:num>
  <w:num w:numId="25" w16cid:durableId="1802117544">
    <w:abstractNumId w:val="4"/>
  </w:num>
  <w:num w:numId="26" w16cid:durableId="1496914314">
    <w:abstractNumId w:val="27"/>
  </w:num>
  <w:num w:numId="27" w16cid:durableId="460271320">
    <w:abstractNumId w:val="30"/>
  </w:num>
  <w:num w:numId="28" w16cid:durableId="31465988">
    <w:abstractNumId w:val="0"/>
  </w:num>
  <w:num w:numId="29" w16cid:durableId="1613515842">
    <w:abstractNumId w:val="10"/>
  </w:num>
  <w:num w:numId="30" w16cid:durableId="100685417">
    <w:abstractNumId w:val="1"/>
  </w:num>
  <w:num w:numId="31" w16cid:durableId="953825776">
    <w:abstractNumId w:val="31"/>
  </w:num>
  <w:num w:numId="32" w16cid:durableId="811171603">
    <w:abstractNumId w:val="24"/>
  </w:num>
  <w:num w:numId="33" w16cid:durableId="424618763">
    <w:abstractNumId w:val="5"/>
  </w:num>
  <w:num w:numId="34" w16cid:durableId="660816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369B"/>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4B2"/>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6DD4"/>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3F6F"/>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2635"/>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068A"/>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qFormat/>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qFormat/>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91920570">
      <w:bodyDiv w:val="1"/>
      <w:marLeft w:val="0"/>
      <w:marRight w:val="0"/>
      <w:marTop w:val="0"/>
      <w:marBottom w:val="0"/>
      <w:divBdr>
        <w:top w:val="none" w:sz="0" w:space="0" w:color="auto"/>
        <w:left w:val="none" w:sz="0" w:space="0" w:color="auto"/>
        <w:bottom w:val="none" w:sz="0" w:space="0" w:color="auto"/>
        <w:right w:val="none" w:sz="0" w:space="0" w:color="auto"/>
      </w:divBdr>
    </w:div>
    <w:div w:id="1709641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9918</Words>
  <Characters>59512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Marek Wyżlic</cp:lastModifiedBy>
  <cp:revision>3</cp:revision>
  <cp:lastPrinted>2017-05-23T11:32:00Z</cp:lastPrinted>
  <dcterms:created xsi:type="dcterms:W3CDTF">2022-12-04T15:27:00Z</dcterms:created>
  <dcterms:modified xsi:type="dcterms:W3CDTF">2023-01-06T16:05:00Z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